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ED01" w14:textId="77777777" w:rsidR="00570A5E" w:rsidRDefault="00570A5E" w:rsidP="00D87560">
      <w:pPr>
        <w:pStyle w:val="big-header"/>
        <w:ind w:left="0" w:right="1134"/>
        <w:rPr>
          <w:rFonts w:hint="cs"/>
          <w:rtl/>
        </w:rPr>
      </w:pPr>
      <w:r>
        <w:rPr>
          <w:rtl/>
        </w:rPr>
        <w:t xml:space="preserve">צו שעת חירום (הגשת </w:t>
      </w:r>
      <w:r w:rsidR="00D87560">
        <w:rPr>
          <w:rFonts w:hint="cs"/>
          <w:rtl/>
        </w:rPr>
        <w:t xml:space="preserve">דברי דפוס ופרסומים </w:t>
      </w:r>
      <w:r>
        <w:rPr>
          <w:rtl/>
        </w:rPr>
        <w:t>לביק</w:t>
      </w:r>
      <w:r w:rsidR="003A1C4A">
        <w:rPr>
          <w:rtl/>
        </w:rPr>
        <w:t xml:space="preserve">ורת מוקדמת ואיסור </w:t>
      </w:r>
      <w:r w:rsidR="00D87560">
        <w:rPr>
          <w:rFonts w:hint="cs"/>
          <w:rtl/>
        </w:rPr>
        <w:t>דפוס ו</w:t>
      </w:r>
      <w:r w:rsidR="003A1C4A">
        <w:rPr>
          <w:rtl/>
        </w:rPr>
        <w:t>פרסום), תש</w:t>
      </w:r>
      <w:r w:rsidR="00D87560">
        <w:rPr>
          <w:rFonts w:hint="cs"/>
          <w:rtl/>
        </w:rPr>
        <w:t>מ"ט-1988</w:t>
      </w:r>
    </w:p>
    <w:p w14:paraId="0C311D1A" w14:textId="77777777" w:rsidR="00315A5F" w:rsidRDefault="00315A5F" w:rsidP="00315A5F">
      <w:pPr>
        <w:spacing w:line="320" w:lineRule="auto"/>
        <w:jc w:val="left"/>
        <w:rPr>
          <w:rFonts w:cs="FrankRuehl" w:hint="cs"/>
          <w:szCs w:val="26"/>
          <w:rtl/>
        </w:rPr>
      </w:pPr>
    </w:p>
    <w:p w14:paraId="53362AD6" w14:textId="77777777" w:rsidR="00D87560" w:rsidRPr="00315A5F" w:rsidRDefault="00D87560" w:rsidP="00315A5F">
      <w:pPr>
        <w:spacing w:line="320" w:lineRule="auto"/>
        <w:jc w:val="left"/>
        <w:rPr>
          <w:rFonts w:cs="FrankRuehl" w:hint="cs"/>
          <w:szCs w:val="26"/>
          <w:rtl/>
        </w:rPr>
      </w:pPr>
    </w:p>
    <w:p w14:paraId="60163D04" w14:textId="77777777" w:rsidR="00315A5F" w:rsidRDefault="00315A5F" w:rsidP="00315A5F">
      <w:pPr>
        <w:spacing w:line="320" w:lineRule="auto"/>
        <w:jc w:val="left"/>
        <w:rPr>
          <w:rFonts w:cs="FrankRuehl"/>
          <w:szCs w:val="26"/>
          <w:rtl/>
        </w:rPr>
      </w:pPr>
      <w:r w:rsidRPr="00315A5F">
        <w:rPr>
          <w:rFonts w:cs="Miriam"/>
          <w:szCs w:val="22"/>
          <w:rtl/>
        </w:rPr>
        <w:t>בטחון</w:t>
      </w:r>
      <w:r w:rsidRPr="00315A5F">
        <w:rPr>
          <w:rFonts w:cs="FrankRuehl"/>
          <w:szCs w:val="26"/>
          <w:rtl/>
        </w:rPr>
        <w:t xml:space="preserve"> – שעת חירום</w:t>
      </w:r>
    </w:p>
    <w:p w14:paraId="502FA429" w14:textId="77777777" w:rsidR="00315A5F" w:rsidRPr="00315A5F" w:rsidRDefault="00315A5F" w:rsidP="00315A5F">
      <w:pPr>
        <w:spacing w:line="320" w:lineRule="auto"/>
        <w:jc w:val="left"/>
        <w:rPr>
          <w:rFonts w:cs="Miriam" w:hint="cs"/>
          <w:szCs w:val="22"/>
          <w:rtl/>
        </w:rPr>
      </w:pPr>
      <w:r w:rsidRPr="00315A5F">
        <w:rPr>
          <w:rFonts w:cs="Miriam"/>
          <w:szCs w:val="22"/>
          <w:rtl/>
        </w:rPr>
        <w:t>רשויות ומשפט מנהלי</w:t>
      </w:r>
      <w:r w:rsidRPr="00315A5F">
        <w:rPr>
          <w:rFonts w:cs="FrankRuehl"/>
          <w:szCs w:val="26"/>
          <w:rtl/>
        </w:rPr>
        <w:t xml:space="preserve"> – תרבות, פנאי ומועדים – ספרים סרטים ומחזות</w:t>
      </w:r>
    </w:p>
    <w:p w14:paraId="4EB98D57" w14:textId="77777777" w:rsidR="00570A5E" w:rsidRDefault="00570A5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84369" w:rsidRPr="00784369" w14:paraId="21F00BCA" w14:textId="77777777" w:rsidTr="00784369">
        <w:tblPrEx>
          <w:tblCellMar>
            <w:top w:w="0" w:type="dxa"/>
            <w:bottom w:w="0" w:type="dxa"/>
          </w:tblCellMar>
        </w:tblPrEx>
        <w:tc>
          <w:tcPr>
            <w:tcW w:w="1247" w:type="dxa"/>
          </w:tcPr>
          <w:p w14:paraId="3F701148" w14:textId="77777777" w:rsidR="00784369" w:rsidRPr="00784369" w:rsidRDefault="00784369" w:rsidP="00784369">
            <w:pPr>
              <w:spacing w:line="240" w:lineRule="auto"/>
              <w:jc w:val="left"/>
              <w:rPr>
                <w:rFonts w:cs="Frankruhel"/>
                <w:sz w:val="24"/>
                <w:rtl/>
              </w:rPr>
            </w:pPr>
            <w:r>
              <w:rPr>
                <w:rFonts w:cs="Times New Roman"/>
                <w:sz w:val="24"/>
                <w:rtl/>
              </w:rPr>
              <w:t xml:space="preserve">סעיף 1 </w:t>
            </w:r>
          </w:p>
        </w:tc>
        <w:tc>
          <w:tcPr>
            <w:tcW w:w="5669" w:type="dxa"/>
          </w:tcPr>
          <w:p w14:paraId="4953C65B" w14:textId="77777777" w:rsidR="00784369" w:rsidRPr="00784369" w:rsidRDefault="00784369" w:rsidP="00784369">
            <w:pPr>
              <w:spacing w:line="240" w:lineRule="auto"/>
              <w:jc w:val="left"/>
              <w:rPr>
                <w:rFonts w:cs="Frankruhel"/>
                <w:sz w:val="24"/>
                <w:rtl/>
              </w:rPr>
            </w:pPr>
            <w:r>
              <w:rPr>
                <w:rFonts w:cs="Times New Roman"/>
                <w:sz w:val="24"/>
                <w:rtl/>
              </w:rPr>
              <w:t>הגדרות</w:t>
            </w:r>
          </w:p>
        </w:tc>
        <w:tc>
          <w:tcPr>
            <w:tcW w:w="567" w:type="dxa"/>
          </w:tcPr>
          <w:p w14:paraId="2DED6AAD" w14:textId="77777777" w:rsidR="00784369" w:rsidRPr="00784369" w:rsidRDefault="00784369" w:rsidP="00784369">
            <w:pPr>
              <w:spacing w:line="240" w:lineRule="auto"/>
              <w:jc w:val="left"/>
              <w:rPr>
                <w:rStyle w:val="Hyperlink"/>
                <w:rtl/>
              </w:rPr>
            </w:pPr>
            <w:hyperlink w:anchor="Seif1" w:tooltip="הגדרות" w:history="1">
              <w:r w:rsidRPr="00784369">
                <w:rPr>
                  <w:rStyle w:val="Hyperlink"/>
                </w:rPr>
                <w:t>Go</w:t>
              </w:r>
            </w:hyperlink>
          </w:p>
        </w:tc>
        <w:tc>
          <w:tcPr>
            <w:tcW w:w="850" w:type="dxa"/>
          </w:tcPr>
          <w:p w14:paraId="08222B9E" w14:textId="77777777" w:rsidR="00784369" w:rsidRPr="00784369" w:rsidRDefault="00784369" w:rsidP="007843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84369" w:rsidRPr="00784369" w14:paraId="4A3AC573" w14:textId="77777777" w:rsidTr="00784369">
        <w:tblPrEx>
          <w:tblCellMar>
            <w:top w:w="0" w:type="dxa"/>
            <w:bottom w:w="0" w:type="dxa"/>
          </w:tblCellMar>
        </w:tblPrEx>
        <w:tc>
          <w:tcPr>
            <w:tcW w:w="1247" w:type="dxa"/>
          </w:tcPr>
          <w:p w14:paraId="1101117D" w14:textId="77777777" w:rsidR="00784369" w:rsidRPr="00784369" w:rsidRDefault="00784369" w:rsidP="00784369">
            <w:pPr>
              <w:spacing w:line="240" w:lineRule="auto"/>
              <w:jc w:val="left"/>
              <w:rPr>
                <w:rFonts w:cs="Frankruhel"/>
                <w:sz w:val="24"/>
                <w:rtl/>
              </w:rPr>
            </w:pPr>
            <w:r>
              <w:rPr>
                <w:rFonts w:cs="Times New Roman"/>
                <w:sz w:val="24"/>
                <w:rtl/>
              </w:rPr>
              <w:t xml:space="preserve">סעיף 2 </w:t>
            </w:r>
          </w:p>
        </w:tc>
        <w:tc>
          <w:tcPr>
            <w:tcW w:w="5669" w:type="dxa"/>
          </w:tcPr>
          <w:p w14:paraId="7108985D" w14:textId="77777777" w:rsidR="00784369" w:rsidRPr="00784369" w:rsidRDefault="00784369" w:rsidP="00784369">
            <w:pPr>
              <w:spacing w:line="240" w:lineRule="auto"/>
              <w:jc w:val="left"/>
              <w:rPr>
                <w:rFonts w:cs="Frankruhel"/>
                <w:sz w:val="24"/>
                <w:rtl/>
              </w:rPr>
            </w:pPr>
            <w:r>
              <w:rPr>
                <w:rFonts w:cs="Times New Roman"/>
                <w:sz w:val="24"/>
                <w:rtl/>
              </w:rPr>
              <w:t>הגשה לבדיקה מוקדמת</w:t>
            </w:r>
          </w:p>
        </w:tc>
        <w:tc>
          <w:tcPr>
            <w:tcW w:w="567" w:type="dxa"/>
          </w:tcPr>
          <w:p w14:paraId="71CA0B36" w14:textId="77777777" w:rsidR="00784369" w:rsidRPr="00784369" w:rsidRDefault="00784369" w:rsidP="00784369">
            <w:pPr>
              <w:spacing w:line="240" w:lineRule="auto"/>
              <w:jc w:val="left"/>
              <w:rPr>
                <w:rStyle w:val="Hyperlink"/>
                <w:rtl/>
              </w:rPr>
            </w:pPr>
            <w:hyperlink w:anchor="Seif2" w:tooltip="הגשה לבדיקה מוקדמת" w:history="1">
              <w:r w:rsidRPr="00784369">
                <w:rPr>
                  <w:rStyle w:val="Hyperlink"/>
                </w:rPr>
                <w:t>Go</w:t>
              </w:r>
            </w:hyperlink>
          </w:p>
        </w:tc>
        <w:tc>
          <w:tcPr>
            <w:tcW w:w="850" w:type="dxa"/>
          </w:tcPr>
          <w:p w14:paraId="6F1D1851" w14:textId="77777777" w:rsidR="00784369" w:rsidRPr="00784369" w:rsidRDefault="00784369" w:rsidP="007843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84369" w:rsidRPr="00784369" w14:paraId="47F5001E" w14:textId="77777777" w:rsidTr="00784369">
        <w:tblPrEx>
          <w:tblCellMar>
            <w:top w:w="0" w:type="dxa"/>
            <w:bottom w:w="0" w:type="dxa"/>
          </w:tblCellMar>
        </w:tblPrEx>
        <w:tc>
          <w:tcPr>
            <w:tcW w:w="1247" w:type="dxa"/>
          </w:tcPr>
          <w:p w14:paraId="4BB5A784" w14:textId="77777777" w:rsidR="00784369" w:rsidRPr="00784369" w:rsidRDefault="00784369" w:rsidP="00784369">
            <w:pPr>
              <w:spacing w:line="240" w:lineRule="auto"/>
              <w:jc w:val="left"/>
              <w:rPr>
                <w:rFonts w:cs="Frankruhel"/>
                <w:sz w:val="24"/>
                <w:rtl/>
              </w:rPr>
            </w:pPr>
            <w:r>
              <w:rPr>
                <w:rFonts w:cs="Times New Roman"/>
                <w:sz w:val="24"/>
                <w:rtl/>
              </w:rPr>
              <w:t xml:space="preserve">סעיף 3 </w:t>
            </w:r>
          </w:p>
        </w:tc>
        <w:tc>
          <w:tcPr>
            <w:tcW w:w="5669" w:type="dxa"/>
          </w:tcPr>
          <w:p w14:paraId="12E84B85" w14:textId="77777777" w:rsidR="00784369" w:rsidRPr="00784369" w:rsidRDefault="00784369" w:rsidP="00784369">
            <w:pPr>
              <w:spacing w:line="240" w:lineRule="auto"/>
              <w:jc w:val="left"/>
              <w:rPr>
                <w:rFonts w:cs="Frankruhel"/>
                <w:sz w:val="24"/>
                <w:rtl/>
              </w:rPr>
            </w:pPr>
            <w:r>
              <w:rPr>
                <w:rFonts w:cs="Times New Roman"/>
                <w:sz w:val="24"/>
                <w:rtl/>
              </w:rPr>
              <w:t>איסור פרסום</w:t>
            </w:r>
          </w:p>
        </w:tc>
        <w:tc>
          <w:tcPr>
            <w:tcW w:w="567" w:type="dxa"/>
          </w:tcPr>
          <w:p w14:paraId="74A5FB9D" w14:textId="77777777" w:rsidR="00784369" w:rsidRPr="00784369" w:rsidRDefault="00784369" w:rsidP="00784369">
            <w:pPr>
              <w:spacing w:line="240" w:lineRule="auto"/>
              <w:jc w:val="left"/>
              <w:rPr>
                <w:rStyle w:val="Hyperlink"/>
                <w:rtl/>
              </w:rPr>
            </w:pPr>
            <w:hyperlink w:anchor="Seif3" w:tooltip="איסור פרסום" w:history="1">
              <w:r w:rsidRPr="00784369">
                <w:rPr>
                  <w:rStyle w:val="Hyperlink"/>
                </w:rPr>
                <w:t>Go</w:t>
              </w:r>
            </w:hyperlink>
          </w:p>
        </w:tc>
        <w:tc>
          <w:tcPr>
            <w:tcW w:w="850" w:type="dxa"/>
          </w:tcPr>
          <w:p w14:paraId="1EB2AF1F" w14:textId="77777777" w:rsidR="00784369" w:rsidRPr="00784369" w:rsidRDefault="00784369" w:rsidP="007843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84369" w:rsidRPr="00784369" w14:paraId="7C561587" w14:textId="77777777" w:rsidTr="00784369">
        <w:tblPrEx>
          <w:tblCellMar>
            <w:top w:w="0" w:type="dxa"/>
            <w:bottom w:w="0" w:type="dxa"/>
          </w:tblCellMar>
        </w:tblPrEx>
        <w:tc>
          <w:tcPr>
            <w:tcW w:w="1247" w:type="dxa"/>
          </w:tcPr>
          <w:p w14:paraId="1D126028" w14:textId="77777777" w:rsidR="00784369" w:rsidRPr="00784369" w:rsidRDefault="00784369" w:rsidP="00784369">
            <w:pPr>
              <w:spacing w:line="240" w:lineRule="auto"/>
              <w:jc w:val="left"/>
              <w:rPr>
                <w:rFonts w:cs="Frankruhel"/>
                <w:sz w:val="24"/>
                <w:rtl/>
              </w:rPr>
            </w:pPr>
            <w:r>
              <w:rPr>
                <w:rFonts w:cs="Times New Roman"/>
                <w:sz w:val="24"/>
                <w:rtl/>
              </w:rPr>
              <w:t xml:space="preserve">סעיף 4 </w:t>
            </w:r>
          </w:p>
        </w:tc>
        <w:tc>
          <w:tcPr>
            <w:tcW w:w="5669" w:type="dxa"/>
          </w:tcPr>
          <w:p w14:paraId="64FFAF87" w14:textId="77777777" w:rsidR="00784369" w:rsidRPr="00784369" w:rsidRDefault="00784369" w:rsidP="00784369">
            <w:pPr>
              <w:spacing w:line="240" w:lineRule="auto"/>
              <w:jc w:val="left"/>
              <w:rPr>
                <w:rFonts w:cs="Frankruhel"/>
                <w:sz w:val="24"/>
                <w:rtl/>
              </w:rPr>
            </w:pPr>
            <w:r>
              <w:rPr>
                <w:rFonts w:cs="Times New Roman"/>
                <w:sz w:val="24"/>
                <w:rtl/>
              </w:rPr>
              <w:t>סייג לתחולה</w:t>
            </w:r>
          </w:p>
        </w:tc>
        <w:tc>
          <w:tcPr>
            <w:tcW w:w="567" w:type="dxa"/>
          </w:tcPr>
          <w:p w14:paraId="3FFDB572" w14:textId="77777777" w:rsidR="00784369" w:rsidRPr="00784369" w:rsidRDefault="00784369" w:rsidP="00784369">
            <w:pPr>
              <w:spacing w:line="240" w:lineRule="auto"/>
              <w:jc w:val="left"/>
              <w:rPr>
                <w:rStyle w:val="Hyperlink"/>
                <w:rtl/>
              </w:rPr>
            </w:pPr>
            <w:hyperlink w:anchor="Seif4" w:tooltip="סייג לתחולה" w:history="1">
              <w:r w:rsidRPr="00784369">
                <w:rPr>
                  <w:rStyle w:val="Hyperlink"/>
                </w:rPr>
                <w:t>Go</w:t>
              </w:r>
            </w:hyperlink>
          </w:p>
        </w:tc>
        <w:tc>
          <w:tcPr>
            <w:tcW w:w="850" w:type="dxa"/>
          </w:tcPr>
          <w:p w14:paraId="0326A35F" w14:textId="77777777" w:rsidR="00784369" w:rsidRPr="00784369" w:rsidRDefault="00784369" w:rsidP="0078436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0D84C7B8" w14:textId="77777777" w:rsidR="00570A5E" w:rsidRDefault="00570A5E">
      <w:pPr>
        <w:pStyle w:val="big-header"/>
        <w:ind w:left="0" w:right="1134"/>
        <w:rPr>
          <w:rtl/>
        </w:rPr>
      </w:pPr>
    </w:p>
    <w:p w14:paraId="39EEA8FF" w14:textId="77777777" w:rsidR="00570A5E" w:rsidRPr="00334D2F" w:rsidRDefault="00570A5E" w:rsidP="00D87560">
      <w:pPr>
        <w:pStyle w:val="big-header"/>
        <w:ind w:left="0" w:right="1134"/>
        <w:rPr>
          <w:rStyle w:val="default"/>
          <w:rFonts w:cs="FrankRuehl" w:hint="cs"/>
          <w:szCs w:val="32"/>
          <w:rtl/>
        </w:rPr>
      </w:pPr>
      <w:r>
        <w:rPr>
          <w:rtl/>
        </w:rPr>
        <w:br w:type="page"/>
      </w:r>
      <w:r w:rsidR="00D87560">
        <w:rPr>
          <w:rtl/>
        </w:rPr>
        <w:lastRenderedPageBreak/>
        <w:t xml:space="preserve">צו שעת חירום (הגשת </w:t>
      </w:r>
      <w:r w:rsidR="00D87560">
        <w:rPr>
          <w:rFonts w:hint="cs"/>
          <w:rtl/>
        </w:rPr>
        <w:t xml:space="preserve">דברי דפוס ופרסומים </w:t>
      </w:r>
      <w:r w:rsidR="00D87560">
        <w:rPr>
          <w:rtl/>
        </w:rPr>
        <w:t xml:space="preserve">לביקורת מוקדמת ואיסור </w:t>
      </w:r>
      <w:r w:rsidR="00D87560">
        <w:rPr>
          <w:rFonts w:hint="cs"/>
          <w:rtl/>
        </w:rPr>
        <w:t>דפוס ו</w:t>
      </w:r>
      <w:r w:rsidR="00D87560">
        <w:rPr>
          <w:rtl/>
        </w:rPr>
        <w:t>פרסום), תש</w:t>
      </w:r>
      <w:r w:rsidR="00D87560">
        <w:rPr>
          <w:rFonts w:hint="cs"/>
          <w:rtl/>
        </w:rPr>
        <w:t>מ"ט-1988</w:t>
      </w:r>
      <w:r w:rsidR="003A1C4A">
        <w:rPr>
          <w:rStyle w:val="a6"/>
          <w:rtl/>
        </w:rPr>
        <w:footnoteReference w:customMarkFollows="1" w:id="1"/>
        <w:t>*</w:t>
      </w:r>
    </w:p>
    <w:p w14:paraId="13D61F99" w14:textId="77777777" w:rsidR="00570A5E" w:rsidRDefault="00570A5E" w:rsidP="00D87560">
      <w:pPr>
        <w:pStyle w:val="P00"/>
        <w:ind w:left="0" w:right="1134"/>
        <w:rPr>
          <w:rStyle w:val="default"/>
          <w:rFonts w:cs="FrankRuehl" w:hint="cs"/>
          <w:rtl/>
        </w:rPr>
      </w:pPr>
      <w:r>
        <w:rPr>
          <w:rtl/>
        </w:rPr>
        <w:tab/>
      </w:r>
      <w:r>
        <w:rPr>
          <w:rStyle w:val="default"/>
          <w:rFonts w:cs="FrankRuehl"/>
          <w:rtl/>
        </w:rPr>
        <w:t>ב</w:t>
      </w:r>
      <w:r w:rsidR="00422D35">
        <w:rPr>
          <w:rStyle w:val="default"/>
          <w:rFonts w:cs="FrankRuehl" w:hint="cs"/>
          <w:rtl/>
        </w:rPr>
        <w:t>תוקף סמכותי לפי תקנות 87 ו-97</w:t>
      </w:r>
      <w:r>
        <w:rPr>
          <w:rStyle w:val="default"/>
          <w:rFonts w:cs="FrankRuehl" w:hint="cs"/>
          <w:rtl/>
        </w:rPr>
        <w:t xml:space="preserve"> לתקנות ההגנה (שעת</w:t>
      </w:r>
      <w:r w:rsidR="00D87560">
        <w:rPr>
          <w:rStyle w:val="default"/>
          <w:rFonts w:cs="FrankRuehl" w:hint="cs"/>
          <w:rtl/>
        </w:rPr>
        <w:t xml:space="preserve"> </w:t>
      </w:r>
      <w:r>
        <w:rPr>
          <w:rStyle w:val="default"/>
          <w:rFonts w:cs="FrankRuehl" w:hint="cs"/>
          <w:rtl/>
        </w:rPr>
        <w:t xml:space="preserve">חירום), 1945 (להלן </w:t>
      </w:r>
      <w:r w:rsidR="00D87560">
        <w:rPr>
          <w:rStyle w:val="default"/>
          <w:rFonts w:cs="FrankRuehl"/>
          <w:rtl/>
        </w:rPr>
        <w:t>–</w:t>
      </w:r>
      <w:r>
        <w:rPr>
          <w:rStyle w:val="default"/>
          <w:rFonts w:cs="FrankRuehl" w:hint="cs"/>
          <w:rtl/>
        </w:rPr>
        <w:t xml:space="preserve"> התקנות), אני מצווה לאמור:</w:t>
      </w:r>
    </w:p>
    <w:p w14:paraId="1886E5B5" w14:textId="77777777" w:rsidR="00570A5E" w:rsidRDefault="00570A5E">
      <w:pPr>
        <w:pStyle w:val="P00"/>
        <w:ind w:left="0" w:right="1134"/>
        <w:rPr>
          <w:rStyle w:val="default"/>
          <w:rFonts w:cs="FrankRuehl" w:hint="cs"/>
          <w:rtl/>
        </w:rPr>
      </w:pPr>
      <w:bookmarkStart w:id="0" w:name="Seif1"/>
      <w:bookmarkEnd w:id="0"/>
      <w:r>
        <w:rPr>
          <w:lang w:val="he-IL"/>
        </w:rPr>
        <w:pict w14:anchorId="587D69D6">
          <v:rect id="_x0000_s1026" style="position:absolute;left:0;text-align:left;margin-left:464.5pt;margin-top:8.05pt;width:75.05pt;height:10pt;z-index:251656192" o:allowincell="f" filled="f" stroked="f" strokecolor="lime" strokeweight=".25pt">
            <v:textbox inset="0,0,0,0">
              <w:txbxContent>
                <w:p w14:paraId="4FF04ADD" w14:textId="77777777" w:rsidR="00570A5E" w:rsidRDefault="00570A5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צו זה </w:t>
      </w:r>
      <w:r w:rsidR="00D87560">
        <w:rPr>
          <w:rStyle w:val="default"/>
          <w:rFonts w:cs="FrankRuehl"/>
          <w:rtl/>
        </w:rPr>
        <w:t>–</w:t>
      </w:r>
    </w:p>
    <w:p w14:paraId="0A272248" w14:textId="77777777" w:rsidR="00570A5E" w:rsidRDefault="00570A5E" w:rsidP="00D87560">
      <w:pPr>
        <w:pStyle w:val="P00"/>
        <w:ind w:left="0" w:right="1134"/>
        <w:rPr>
          <w:rStyle w:val="default"/>
          <w:rFonts w:cs="FrankRuehl"/>
          <w:rtl/>
        </w:rPr>
      </w:pPr>
      <w:r>
        <w:rPr>
          <w:rtl/>
        </w:rPr>
        <w:tab/>
      </w:r>
      <w:r w:rsidR="00D87560">
        <w:rPr>
          <w:rStyle w:val="default"/>
          <w:rFonts w:cs="FrankRuehl" w:hint="cs"/>
          <w:rtl/>
        </w:rPr>
        <w:t xml:space="preserve">"דפוס", "פרסם" ו"פרסום" </w:t>
      </w:r>
      <w:r w:rsidR="00D87560">
        <w:rPr>
          <w:rStyle w:val="default"/>
          <w:rFonts w:cs="FrankRuehl"/>
          <w:rtl/>
        </w:rPr>
        <w:t>–</w:t>
      </w:r>
      <w:r w:rsidR="00D87560">
        <w:rPr>
          <w:rStyle w:val="default"/>
          <w:rFonts w:cs="FrankRuehl" w:hint="cs"/>
          <w:rtl/>
        </w:rPr>
        <w:t xml:space="preserve"> כמשמעותם בתקנה 86 לתקנות</w:t>
      </w:r>
      <w:r>
        <w:rPr>
          <w:rStyle w:val="default"/>
          <w:rFonts w:cs="FrankRuehl" w:hint="cs"/>
          <w:rtl/>
        </w:rPr>
        <w:t>;</w:t>
      </w:r>
    </w:p>
    <w:p w14:paraId="1A5AC940" w14:textId="77777777" w:rsidR="00570A5E" w:rsidRDefault="00570A5E" w:rsidP="00D87560">
      <w:pPr>
        <w:pStyle w:val="P00"/>
        <w:ind w:left="0" w:right="1134"/>
        <w:rPr>
          <w:rStyle w:val="default"/>
          <w:rFonts w:cs="FrankRuehl" w:hint="cs"/>
          <w:rtl/>
        </w:rPr>
      </w:pPr>
      <w:r>
        <w:rPr>
          <w:rtl/>
        </w:rPr>
        <w:tab/>
      </w:r>
      <w:r>
        <w:rPr>
          <w:rStyle w:val="default"/>
          <w:rFonts w:cs="FrankRuehl"/>
          <w:rtl/>
        </w:rPr>
        <w:t>"</w:t>
      </w:r>
      <w:r w:rsidR="00D87560">
        <w:rPr>
          <w:rStyle w:val="default"/>
          <w:rFonts w:cs="FrankRuehl" w:hint="cs"/>
          <w:rtl/>
        </w:rPr>
        <w:t>פרסום</w:t>
      </w:r>
      <w:r>
        <w:rPr>
          <w:rStyle w:val="default"/>
          <w:rFonts w:cs="FrankRuehl" w:hint="cs"/>
          <w:rtl/>
        </w:rPr>
        <w:t xml:space="preserve"> הנוגע לבטחון המדינה" </w:t>
      </w:r>
      <w:r w:rsidR="00D87560">
        <w:rPr>
          <w:rStyle w:val="default"/>
          <w:rFonts w:cs="FrankRuehl"/>
          <w:rtl/>
        </w:rPr>
        <w:t>–</w:t>
      </w:r>
      <w:r>
        <w:rPr>
          <w:rStyle w:val="default"/>
          <w:rFonts w:cs="FrankRuehl" w:hint="cs"/>
          <w:rtl/>
        </w:rPr>
        <w:t xml:space="preserve"> </w:t>
      </w:r>
      <w:r w:rsidR="00D87560">
        <w:rPr>
          <w:rStyle w:val="default"/>
          <w:rFonts w:cs="FrankRuehl" w:hint="cs"/>
          <w:rtl/>
        </w:rPr>
        <w:t>כל פרסום או דפוס של חומר הנוגע לבטחון המדינה, שלום הציבור והסדר הציבורי בישראל או באזור יהודה, שומרון וחבל עזה, או ליחסי ישראל ערב, אף אם המידע שבפרסום כאמור כבר פורסם</w:t>
      </w:r>
      <w:r>
        <w:rPr>
          <w:rStyle w:val="default"/>
          <w:rFonts w:cs="FrankRuehl" w:hint="cs"/>
          <w:rtl/>
        </w:rPr>
        <w:t>;</w:t>
      </w:r>
    </w:p>
    <w:p w14:paraId="27E74C5B" w14:textId="77777777" w:rsidR="00570A5E" w:rsidRDefault="00570A5E" w:rsidP="00D87560">
      <w:pPr>
        <w:pStyle w:val="P00"/>
        <w:ind w:left="0" w:right="1134"/>
        <w:rPr>
          <w:rStyle w:val="default"/>
          <w:rFonts w:cs="FrankRuehl" w:hint="cs"/>
          <w:rtl/>
        </w:rPr>
      </w:pPr>
      <w:r>
        <w:rPr>
          <w:rtl/>
        </w:rPr>
        <w:tab/>
      </w:r>
      <w:r>
        <w:rPr>
          <w:rStyle w:val="default"/>
          <w:rFonts w:cs="FrankRuehl"/>
          <w:rtl/>
        </w:rPr>
        <w:t>"</w:t>
      </w:r>
      <w:r w:rsidR="00D87560">
        <w:rPr>
          <w:rStyle w:val="default"/>
          <w:rFonts w:cs="FrankRuehl" w:hint="cs"/>
          <w:rtl/>
        </w:rPr>
        <w:t xml:space="preserve">אדם המדפיס", "אדם המפרסם" </w:t>
      </w:r>
      <w:r w:rsidR="00D87560">
        <w:rPr>
          <w:rStyle w:val="default"/>
          <w:rFonts w:cs="FrankRuehl"/>
          <w:rtl/>
        </w:rPr>
        <w:t>–</w:t>
      </w:r>
      <w:r w:rsidR="00D87560">
        <w:rPr>
          <w:rStyle w:val="default"/>
          <w:rFonts w:cs="FrankRuehl" w:hint="cs"/>
          <w:rtl/>
        </w:rPr>
        <w:t xml:space="preserve"> בעליו, עורכו, מדפיסו או מוציאו לאור של כל פרסום או בעליו או מנהלו של כל בית דפוס או עסק של דפוס או מחברו של כל חומר, או כל אדם העומד להדפיס או לפרסם כל חומר</w:t>
      </w:r>
      <w:r>
        <w:rPr>
          <w:rStyle w:val="default"/>
          <w:rFonts w:cs="FrankRuehl" w:hint="cs"/>
          <w:rtl/>
        </w:rPr>
        <w:t>.</w:t>
      </w:r>
    </w:p>
    <w:p w14:paraId="6F690A0F" w14:textId="77777777" w:rsidR="00570A5E" w:rsidRDefault="00570A5E" w:rsidP="00D87560">
      <w:pPr>
        <w:pStyle w:val="P00"/>
        <w:ind w:left="0" w:right="1134"/>
        <w:rPr>
          <w:rStyle w:val="default"/>
          <w:rFonts w:cs="FrankRuehl" w:hint="cs"/>
          <w:rtl/>
        </w:rPr>
      </w:pPr>
      <w:bookmarkStart w:id="1" w:name="Seif2"/>
      <w:bookmarkEnd w:id="1"/>
      <w:r>
        <w:rPr>
          <w:lang w:val="he-IL"/>
        </w:rPr>
        <w:pict w14:anchorId="5E52275C">
          <v:rect id="_x0000_s1028" style="position:absolute;left:0;text-align:left;margin-left:464.5pt;margin-top:8.05pt;width:75.05pt;height:20pt;z-index:251657216" o:allowincell="f" filled="f" stroked="f" strokecolor="lime" strokeweight=".25pt">
            <v:textbox style="mso-next-textbox:#_x0000_s1028" inset="0,0,0,0">
              <w:txbxContent>
                <w:p w14:paraId="32693DFB" w14:textId="77777777" w:rsidR="00570A5E" w:rsidRDefault="00570A5E" w:rsidP="003A1C4A">
                  <w:pPr>
                    <w:spacing w:line="160" w:lineRule="exact"/>
                    <w:jc w:val="left"/>
                    <w:rPr>
                      <w:rFonts w:cs="Miriam"/>
                      <w:noProof/>
                      <w:szCs w:val="18"/>
                      <w:rtl/>
                    </w:rPr>
                  </w:pPr>
                  <w:r>
                    <w:rPr>
                      <w:rFonts w:cs="Miriam"/>
                      <w:szCs w:val="18"/>
                      <w:rtl/>
                    </w:rPr>
                    <w:t>ה</w:t>
                  </w:r>
                  <w:r>
                    <w:rPr>
                      <w:rFonts w:cs="Miriam" w:hint="cs"/>
                      <w:szCs w:val="18"/>
                      <w:rtl/>
                    </w:rPr>
                    <w:t>גשה לבדיקה</w:t>
                  </w:r>
                  <w:r w:rsidR="003A1C4A">
                    <w:rPr>
                      <w:rFonts w:cs="Miriam" w:hint="cs"/>
                      <w:szCs w:val="18"/>
                      <w:rtl/>
                    </w:rPr>
                    <w:t xml:space="preserve"> </w:t>
                  </w:r>
                  <w:r>
                    <w:rPr>
                      <w:rFonts w:cs="Miriam"/>
                      <w:szCs w:val="18"/>
                      <w:rtl/>
                    </w:rPr>
                    <w:t>מ</w:t>
                  </w:r>
                  <w:r>
                    <w:rPr>
                      <w:rFonts w:cs="Miriam" w:hint="cs"/>
                      <w:szCs w:val="18"/>
                      <w:rtl/>
                    </w:rPr>
                    <w:t>וקדמת</w:t>
                  </w:r>
                </w:p>
              </w:txbxContent>
            </v:textbox>
            <w10:anchorlock/>
          </v:rect>
        </w:pict>
      </w:r>
      <w:r>
        <w:rPr>
          <w:rStyle w:val="big-number"/>
          <w:rtl/>
        </w:rPr>
        <w:t>2.</w:t>
      </w:r>
      <w:r>
        <w:rPr>
          <w:rStyle w:val="big-number"/>
          <w:rtl/>
        </w:rPr>
        <w:tab/>
      </w:r>
      <w:r>
        <w:rPr>
          <w:rStyle w:val="default"/>
          <w:rFonts w:cs="FrankRuehl"/>
          <w:rtl/>
        </w:rPr>
        <w:t>כ</w:t>
      </w:r>
      <w:r>
        <w:rPr>
          <w:rStyle w:val="default"/>
          <w:rFonts w:cs="FrankRuehl" w:hint="cs"/>
          <w:rtl/>
        </w:rPr>
        <w:t xml:space="preserve">ל </w:t>
      </w:r>
      <w:r w:rsidR="00D87560">
        <w:rPr>
          <w:rStyle w:val="default"/>
          <w:rFonts w:cs="FrankRuehl" w:hint="cs"/>
          <w:rtl/>
        </w:rPr>
        <w:t>אדם המדפיס או המפרסם</w:t>
      </w:r>
      <w:r>
        <w:rPr>
          <w:rStyle w:val="default"/>
          <w:rFonts w:cs="FrankRuehl" w:hint="cs"/>
          <w:rtl/>
        </w:rPr>
        <w:t xml:space="preserve"> </w:t>
      </w:r>
      <w:r w:rsidR="00D87560">
        <w:rPr>
          <w:rStyle w:val="default"/>
          <w:rFonts w:cs="FrankRuehl" w:hint="cs"/>
          <w:rtl/>
        </w:rPr>
        <w:t xml:space="preserve">דבר דפוס או פרסום </w:t>
      </w:r>
      <w:r>
        <w:rPr>
          <w:rStyle w:val="default"/>
          <w:rFonts w:cs="FrankRuehl" w:hint="cs"/>
          <w:rtl/>
        </w:rPr>
        <w:t>הנוגע לבטחון המדינה</w:t>
      </w:r>
      <w:r w:rsidR="00D87560">
        <w:rPr>
          <w:rStyle w:val="default"/>
          <w:rFonts w:cs="FrankRuehl" w:hint="cs"/>
          <w:rtl/>
        </w:rPr>
        <w:t>, בין שהוא מיועד לפרסום בארץ ובין שהוא מיועד לפרסום בחוץ לארץ,</w:t>
      </w:r>
      <w:r>
        <w:rPr>
          <w:rStyle w:val="default"/>
          <w:rFonts w:cs="FrankRuehl" w:hint="cs"/>
          <w:rtl/>
        </w:rPr>
        <w:t xml:space="preserve"> חייב להגישו לצנזור לפני </w:t>
      </w:r>
      <w:r w:rsidR="00D87560">
        <w:rPr>
          <w:rStyle w:val="default"/>
          <w:rFonts w:cs="FrankRuehl" w:hint="cs"/>
          <w:rtl/>
        </w:rPr>
        <w:t xml:space="preserve">הדפסתו או </w:t>
      </w:r>
      <w:r>
        <w:rPr>
          <w:rStyle w:val="default"/>
          <w:rFonts w:cs="FrankRuehl" w:hint="cs"/>
          <w:rtl/>
        </w:rPr>
        <w:t>פרסומו.</w:t>
      </w:r>
    </w:p>
    <w:p w14:paraId="2BB3DAD6" w14:textId="77777777" w:rsidR="00570A5E" w:rsidRDefault="00570A5E" w:rsidP="00D87560">
      <w:pPr>
        <w:pStyle w:val="P00"/>
        <w:ind w:left="0" w:right="1134"/>
        <w:rPr>
          <w:rStyle w:val="default"/>
          <w:rFonts w:cs="FrankRuehl" w:hint="cs"/>
          <w:rtl/>
        </w:rPr>
      </w:pPr>
      <w:bookmarkStart w:id="2" w:name="Seif3"/>
      <w:bookmarkEnd w:id="2"/>
      <w:r>
        <w:rPr>
          <w:lang w:val="he-IL"/>
        </w:rPr>
        <w:pict w14:anchorId="10BCCE7D">
          <v:rect id="_x0000_s1029" style="position:absolute;left:0;text-align:left;margin-left:464.5pt;margin-top:8.05pt;width:75.05pt;height:10pt;z-index:251658240" o:allowincell="f" filled="f" stroked="f" strokecolor="lime" strokeweight=".25pt">
            <v:textbox inset="0,0,0,0">
              <w:txbxContent>
                <w:p w14:paraId="439FD8E3" w14:textId="77777777" w:rsidR="00570A5E" w:rsidRDefault="00570A5E">
                  <w:pPr>
                    <w:spacing w:line="160" w:lineRule="exact"/>
                    <w:jc w:val="left"/>
                    <w:rPr>
                      <w:rFonts w:cs="Miriam"/>
                      <w:noProof/>
                      <w:szCs w:val="18"/>
                      <w:rtl/>
                    </w:rPr>
                  </w:pPr>
                  <w:r>
                    <w:rPr>
                      <w:rFonts w:cs="Miriam"/>
                      <w:szCs w:val="18"/>
                      <w:rtl/>
                    </w:rPr>
                    <w:t>א</w:t>
                  </w:r>
                  <w:r>
                    <w:rPr>
                      <w:rFonts w:cs="Miriam" w:hint="cs"/>
                      <w:szCs w:val="18"/>
                      <w:rtl/>
                    </w:rPr>
                    <w:t>יסור פרסום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 xml:space="preserve">ואיל ואני סבור כי פרסומו של </w:t>
      </w:r>
      <w:r w:rsidR="00D87560">
        <w:rPr>
          <w:rStyle w:val="default"/>
          <w:rFonts w:cs="FrankRuehl" w:hint="cs"/>
          <w:rtl/>
        </w:rPr>
        <w:t>פרסום או הדפסתו של דבר דפוס</w:t>
      </w:r>
      <w:r>
        <w:rPr>
          <w:rStyle w:val="default"/>
          <w:rFonts w:cs="FrankRuehl" w:hint="cs"/>
          <w:rtl/>
        </w:rPr>
        <w:t xml:space="preserve"> הנוגע לבטחון המדינה בניגוד לאמור בסעיף 2 </w:t>
      </w:r>
      <w:r>
        <w:rPr>
          <w:rStyle w:val="default"/>
          <w:rFonts w:cs="FrankRuehl"/>
          <w:rtl/>
        </w:rPr>
        <w:t>ע</w:t>
      </w:r>
      <w:r>
        <w:rPr>
          <w:rStyle w:val="default"/>
          <w:rFonts w:cs="FrankRuehl" w:hint="cs"/>
          <w:rtl/>
        </w:rPr>
        <w:t xml:space="preserve">לול לפגוע בבטחון המדינה, </w:t>
      </w:r>
      <w:r w:rsidR="00D87560">
        <w:rPr>
          <w:rStyle w:val="default"/>
          <w:rFonts w:cs="FrankRuehl" w:hint="cs"/>
          <w:rtl/>
        </w:rPr>
        <w:t>אני</w:t>
      </w:r>
      <w:r>
        <w:rPr>
          <w:rStyle w:val="default"/>
          <w:rFonts w:cs="FrankRuehl" w:hint="cs"/>
          <w:rtl/>
        </w:rPr>
        <w:t xml:space="preserve"> אוסר </w:t>
      </w:r>
      <w:r w:rsidR="00D87560">
        <w:rPr>
          <w:rStyle w:val="default"/>
          <w:rFonts w:cs="FrankRuehl" w:hint="cs"/>
          <w:rtl/>
        </w:rPr>
        <w:t xml:space="preserve">להדפיס או </w:t>
      </w:r>
      <w:r>
        <w:rPr>
          <w:rStyle w:val="default"/>
          <w:rFonts w:cs="FrankRuehl" w:hint="cs"/>
          <w:rtl/>
        </w:rPr>
        <w:t xml:space="preserve">לפרסם </w:t>
      </w:r>
      <w:r w:rsidR="00D87560">
        <w:rPr>
          <w:rStyle w:val="default"/>
          <w:rFonts w:cs="FrankRuehl" w:hint="cs"/>
          <w:rtl/>
        </w:rPr>
        <w:t>פרסום</w:t>
      </w:r>
      <w:r>
        <w:rPr>
          <w:rStyle w:val="default"/>
          <w:rFonts w:cs="FrankRuehl" w:hint="cs"/>
          <w:rtl/>
        </w:rPr>
        <w:t xml:space="preserve"> כאמור כל עוד לא הוגש לצנזור, או שהוגש לו ועדיין לא נתקבלו הוראותיו או ש</w:t>
      </w:r>
      <w:r w:rsidR="00D87560">
        <w:rPr>
          <w:rStyle w:val="default"/>
          <w:rFonts w:cs="FrankRuehl" w:hint="cs"/>
          <w:rtl/>
        </w:rPr>
        <w:t>ה</w:t>
      </w:r>
      <w:r>
        <w:rPr>
          <w:rStyle w:val="default"/>
          <w:rFonts w:cs="FrankRuehl" w:hint="cs"/>
          <w:rtl/>
        </w:rPr>
        <w:t>תקבלו הוראותיו ולא קוימו.</w:t>
      </w:r>
    </w:p>
    <w:p w14:paraId="2DDF011C" w14:textId="77777777" w:rsidR="00570A5E" w:rsidRDefault="00570A5E" w:rsidP="00D87560">
      <w:pPr>
        <w:pStyle w:val="P00"/>
        <w:ind w:left="0" w:right="1134"/>
        <w:rPr>
          <w:rStyle w:val="default"/>
          <w:rFonts w:cs="FrankRuehl" w:hint="cs"/>
          <w:rtl/>
        </w:rPr>
      </w:pPr>
      <w:bookmarkStart w:id="3" w:name="Seif4"/>
      <w:bookmarkEnd w:id="3"/>
      <w:r>
        <w:rPr>
          <w:lang w:val="he-IL"/>
        </w:rPr>
        <w:pict w14:anchorId="364A51A0">
          <v:rect id="_x0000_s1030" style="position:absolute;left:0;text-align:left;margin-left:464.5pt;margin-top:8.05pt;width:75.05pt;height:10pt;z-index:251659264" o:allowincell="f" filled="f" stroked="f" strokecolor="lime" strokeweight=".25pt">
            <v:textbox inset="0,0,0,0">
              <w:txbxContent>
                <w:p w14:paraId="322B8A19" w14:textId="77777777" w:rsidR="00570A5E" w:rsidRDefault="00D87560">
                  <w:pPr>
                    <w:spacing w:line="160" w:lineRule="exact"/>
                    <w:jc w:val="left"/>
                    <w:rPr>
                      <w:rFonts w:cs="Miriam" w:hint="cs"/>
                      <w:noProof/>
                      <w:szCs w:val="18"/>
                      <w:rtl/>
                    </w:rPr>
                  </w:pPr>
                  <w:r>
                    <w:rPr>
                      <w:rFonts w:cs="Miriam" w:hint="cs"/>
                      <w:szCs w:val="18"/>
                      <w:rtl/>
                    </w:rPr>
                    <w:t>סייג לתחולה</w:t>
                  </w:r>
                </w:p>
              </w:txbxContent>
            </v:textbox>
            <w10:anchorlock/>
          </v:rect>
        </w:pict>
      </w:r>
      <w:r>
        <w:rPr>
          <w:rStyle w:val="big-number"/>
          <w:rtl/>
        </w:rPr>
        <w:t>4.</w:t>
      </w:r>
      <w:r>
        <w:rPr>
          <w:rStyle w:val="big-number"/>
          <w:rtl/>
        </w:rPr>
        <w:tab/>
      </w:r>
      <w:r w:rsidR="00D87560">
        <w:rPr>
          <w:rStyle w:val="default"/>
          <w:rFonts w:cs="FrankRuehl" w:hint="cs"/>
          <w:rtl/>
        </w:rPr>
        <w:t>צו זה לא יחול על אדם המדפיס או מפרסם אשר נמסר לידיו צו אישי בדבר הגשת פרסומים ודברי דפוס לביקורת מוקדמת לפי תקנה 97 לתקנות</w:t>
      </w:r>
      <w:r w:rsidRPr="00422D35">
        <w:rPr>
          <w:rStyle w:val="default"/>
          <w:rFonts w:cs="FrankRuehl" w:hint="cs"/>
          <w:rtl/>
        </w:rPr>
        <w:t>.</w:t>
      </w:r>
    </w:p>
    <w:p w14:paraId="5F3A5FF1" w14:textId="77777777" w:rsidR="00570A5E" w:rsidRDefault="00570A5E">
      <w:pPr>
        <w:pStyle w:val="P00"/>
        <w:ind w:left="0" w:right="1134"/>
        <w:rPr>
          <w:rStyle w:val="default"/>
          <w:rFonts w:cs="FrankRuehl"/>
          <w:rtl/>
        </w:rPr>
      </w:pPr>
    </w:p>
    <w:p w14:paraId="5D7F9969" w14:textId="77777777" w:rsidR="00570A5E" w:rsidRDefault="00570A5E">
      <w:pPr>
        <w:pStyle w:val="P00"/>
        <w:ind w:left="0" w:right="1134"/>
        <w:rPr>
          <w:rStyle w:val="default"/>
          <w:rFonts w:cs="FrankRuehl"/>
          <w:rtl/>
        </w:rPr>
      </w:pPr>
    </w:p>
    <w:p w14:paraId="032D2A77" w14:textId="77777777" w:rsidR="00570A5E" w:rsidRPr="003A1C4A" w:rsidRDefault="00D87560" w:rsidP="00D87560">
      <w:pPr>
        <w:pStyle w:val="sig-1"/>
        <w:widowControl/>
        <w:tabs>
          <w:tab w:val="clear" w:pos="851"/>
          <w:tab w:val="clear" w:pos="2835"/>
          <w:tab w:val="clear" w:pos="4820"/>
          <w:tab w:val="center" w:pos="5103"/>
        </w:tabs>
        <w:spacing w:before="72"/>
        <w:ind w:left="0" w:right="1134"/>
        <w:rPr>
          <w:sz w:val="26"/>
          <w:szCs w:val="26"/>
          <w:rtl/>
        </w:rPr>
      </w:pPr>
      <w:r>
        <w:rPr>
          <w:rFonts w:hint="cs"/>
          <w:sz w:val="26"/>
          <w:szCs w:val="26"/>
          <w:rtl/>
        </w:rPr>
        <w:t>י"ט באב התשמ"ח (2 באוגוסט 1988</w:t>
      </w:r>
      <w:r w:rsidR="00570A5E" w:rsidRPr="003A1C4A">
        <w:rPr>
          <w:rFonts w:hint="cs"/>
          <w:sz w:val="26"/>
          <w:szCs w:val="26"/>
          <w:rtl/>
        </w:rPr>
        <w:t>)</w:t>
      </w:r>
      <w:r w:rsidR="00570A5E" w:rsidRPr="003A1C4A">
        <w:rPr>
          <w:sz w:val="26"/>
          <w:szCs w:val="26"/>
          <w:rtl/>
        </w:rPr>
        <w:tab/>
      </w:r>
      <w:r>
        <w:rPr>
          <w:rFonts w:hint="cs"/>
          <w:sz w:val="26"/>
          <w:szCs w:val="26"/>
          <w:rtl/>
        </w:rPr>
        <w:t>יצחק שני</w:t>
      </w:r>
    </w:p>
    <w:p w14:paraId="76C2B81F" w14:textId="77777777" w:rsidR="00570A5E" w:rsidRDefault="00570A5E" w:rsidP="00422D35">
      <w:pPr>
        <w:pStyle w:val="sig-1"/>
        <w:widowControl/>
        <w:tabs>
          <w:tab w:val="clear" w:pos="851"/>
          <w:tab w:val="clear" w:pos="2835"/>
          <w:tab w:val="clear" w:pos="4820"/>
          <w:tab w:val="center" w:pos="5103"/>
        </w:tabs>
        <w:ind w:left="0" w:right="1134"/>
        <w:rPr>
          <w:rFonts w:hint="cs"/>
          <w:rtl/>
        </w:rPr>
      </w:pPr>
      <w:r>
        <w:rPr>
          <w:rtl/>
        </w:rPr>
        <w:tab/>
      </w:r>
      <w:r>
        <w:rPr>
          <w:rFonts w:hint="cs"/>
          <w:rtl/>
        </w:rPr>
        <w:t>הצנזור הראשי לעתונות ותקשורת</w:t>
      </w:r>
    </w:p>
    <w:p w14:paraId="271E7381" w14:textId="77777777" w:rsidR="00D87560" w:rsidRPr="003A1C4A" w:rsidRDefault="00D87560" w:rsidP="003A1C4A">
      <w:pPr>
        <w:pStyle w:val="P00"/>
        <w:ind w:left="0" w:right="1134"/>
        <w:rPr>
          <w:rStyle w:val="default"/>
          <w:rFonts w:cs="FrankRuehl" w:hint="cs"/>
          <w:rtl/>
        </w:rPr>
      </w:pPr>
    </w:p>
    <w:p w14:paraId="5641D82E" w14:textId="77777777" w:rsidR="003A1C4A" w:rsidRPr="003A1C4A" w:rsidRDefault="003A1C4A" w:rsidP="003A1C4A">
      <w:pPr>
        <w:pStyle w:val="P00"/>
        <w:ind w:left="0" w:right="1134"/>
        <w:rPr>
          <w:rStyle w:val="default"/>
          <w:rFonts w:cs="FrankRuehl"/>
          <w:rtl/>
        </w:rPr>
      </w:pPr>
    </w:p>
    <w:p w14:paraId="370F3F05" w14:textId="77777777" w:rsidR="00570A5E" w:rsidRPr="003A1C4A" w:rsidRDefault="00570A5E" w:rsidP="003A1C4A">
      <w:pPr>
        <w:pStyle w:val="P00"/>
        <w:ind w:left="0" w:right="1134"/>
        <w:rPr>
          <w:rStyle w:val="default"/>
          <w:rFonts w:cs="FrankRuehl"/>
          <w:rtl/>
        </w:rPr>
      </w:pPr>
      <w:bookmarkStart w:id="4" w:name="LawPartEnd"/>
    </w:p>
    <w:bookmarkEnd w:id="4"/>
    <w:p w14:paraId="5EF16247" w14:textId="77777777" w:rsidR="00784369" w:rsidRDefault="00784369" w:rsidP="003A1C4A">
      <w:pPr>
        <w:pStyle w:val="P00"/>
        <w:ind w:left="0" w:right="1134"/>
        <w:rPr>
          <w:rStyle w:val="default"/>
          <w:rFonts w:cs="FrankRuehl"/>
          <w:rtl/>
        </w:rPr>
      </w:pPr>
    </w:p>
    <w:p w14:paraId="6D543839" w14:textId="77777777" w:rsidR="00784369" w:rsidRDefault="00784369" w:rsidP="003A1C4A">
      <w:pPr>
        <w:pStyle w:val="P00"/>
        <w:ind w:left="0" w:right="1134"/>
        <w:rPr>
          <w:rStyle w:val="default"/>
          <w:rFonts w:cs="FrankRuehl"/>
          <w:rtl/>
        </w:rPr>
      </w:pPr>
    </w:p>
    <w:p w14:paraId="52FDDB44" w14:textId="77777777" w:rsidR="00784369" w:rsidRDefault="00784369" w:rsidP="00784369">
      <w:pPr>
        <w:pStyle w:val="P00"/>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6FD1A394" w14:textId="77777777" w:rsidR="00570A5E" w:rsidRPr="00784369" w:rsidRDefault="00570A5E" w:rsidP="00784369">
      <w:pPr>
        <w:pStyle w:val="P00"/>
        <w:ind w:left="0" w:right="1134"/>
        <w:jc w:val="center"/>
        <w:rPr>
          <w:rStyle w:val="default"/>
          <w:rFonts w:cs="David"/>
          <w:color w:val="0000FF"/>
          <w:szCs w:val="24"/>
          <w:u w:val="single"/>
          <w:rtl/>
        </w:rPr>
      </w:pPr>
    </w:p>
    <w:sectPr w:rsidR="00570A5E" w:rsidRPr="0078436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6DD41" w14:textId="77777777" w:rsidR="000722BA" w:rsidRDefault="000722BA">
      <w:r>
        <w:separator/>
      </w:r>
    </w:p>
  </w:endnote>
  <w:endnote w:type="continuationSeparator" w:id="0">
    <w:p w14:paraId="5E32B5F4" w14:textId="77777777" w:rsidR="000722BA" w:rsidRDefault="00072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0C45B" w14:textId="77777777" w:rsidR="00570A5E" w:rsidRDefault="00570A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329C461" w14:textId="77777777" w:rsidR="00570A5E" w:rsidRDefault="00570A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5F979A" w14:textId="77777777" w:rsidR="00570A5E" w:rsidRDefault="00570A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1C4A">
      <w:rPr>
        <w:rFonts w:cs="TopType Jerushalmi"/>
        <w:noProof/>
        <w:color w:val="000000"/>
        <w:sz w:val="14"/>
        <w:szCs w:val="14"/>
      </w:rPr>
      <w:t>D:\Yael\hakika\Revadim\319_080.doc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D4D0" w14:textId="77777777" w:rsidR="00570A5E" w:rsidRDefault="00570A5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84369">
      <w:rPr>
        <w:rFonts w:hAnsi="FrankRuehl" w:cs="FrankRuehl"/>
        <w:noProof/>
        <w:sz w:val="24"/>
        <w:szCs w:val="24"/>
        <w:rtl/>
      </w:rPr>
      <w:t>2</w:t>
    </w:r>
    <w:r>
      <w:rPr>
        <w:rFonts w:hAnsi="FrankRuehl" w:cs="FrankRuehl"/>
        <w:sz w:val="24"/>
        <w:szCs w:val="24"/>
        <w:rtl/>
      </w:rPr>
      <w:fldChar w:fldCharType="end"/>
    </w:r>
  </w:p>
  <w:p w14:paraId="36A50069" w14:textId="77777777" w:rsidR="00570A5E" w:rsidRDefault="00570A5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30D959B" w14:textId="77777777" w:rsidR="00570A5E" w:rsidRDefault="00570A5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1C4A">
      <w:rPr>
        <w:rFonts w:cs="TopType Jerushalmi"/>
        <w:noProof/>
        <w:color w:val="000000"/>
        <w:sz w:val="14"/>
        <w:szCs w:val="14"/>
      </w:rPr>
      <w:t>D:\Yael\hakika\Revadim\319_080.doc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A3426" w14:textId="77777777" w:rsidR="000722BA" w:rsidRDefault="000722BA" w:rsidP="003A1C4A">
      <w:pPr>
        <w:spacing w:before="60" w:line="240" w:lineRule="auto"/>
        <w:ind w:right="1134"/>
      </w:pPr>
      <w:r>
        <w:separator/>
      </w:r>
    </w:p>
  </w:footnote>
  <w:footnote w:type="continuationSeparator" w:id="0">
    <w:p w14:paraId="07382E82" w14:textId="77777777" w:rsidR="000722BA" w:rsidRDefault="000722BA">
      <w:r>
        <w:continuationSeparator/>
      </w:r>
    </w:p>
  </w:footnote>
  <w:footnote w:id="1">
    <w:p w14:paraId="10D75875" w14:textId="77777777" w:rsidR="003A1C4A" w:rsidRPr="003A1C4A" w:rsidRDefault="003A1C4A" w:rsidP="00D8756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3A1C4A">
        <w:rPr>
          <w:sz w:val="20"/>
          <w:rtl/>
        </w:rPr>
        <w:t xml:space="preserve">* </w:t>
      </w:r>
      <w:r>
        <w:rPr>
          <w:sz w:val="20"/>
          <w:rtl/>
        </w:rPr>
        <w:t>פ</w:t>
      </w:r>
      <w:r>
        <w:rPr>
          <w:rFonts w:hint="cs"/>
          <w:sz w:val="20"/>
          <w:rtl/>
        </w:rPr>
        <w:t xml:space="preserve">ורסם </w:t>
      </w:r>
      <w:r w:rsidRPr="00D87560">
        <w:rPr>
          <w:rFonts w:hint="cs"/>
          <w:sz w:val="20"/>
          <w:rtl/>
        </w:rPr>
        <w:t>ק"ת תש</w:t>
      </w:r>
      <w:r w:rsidR="00D87560">
        <w:rPr>
          <w:rFonts w:hint="cs"/>
          <w:sz w:val="20"/>
          <w:rtl/>
        </w:rPr>
        <w:t>מ"ט</w:t>
      </w:r>
      <w:r w:rsidRPr="00D87560">
        <w:rPr>
          <w:rFonts w:hint="cs"/>
          <w:sz w:val="20"/>
          <w:rtl/>
        </w:rPr>
        <w:t xml:space="preserve"> מס' </w:t>
      </w:r>
      <w:r w:rsidR="00D87560">
        <w:rPr>
          <w:rFonts w:hint="cs"/>
          <w:sz w:val="20"/>
          <w:rtl/>
        </w:rPr>
        <w:t>5135 מיום 18.9.1988 עמ' 31</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F8856" w14:textId="77777777" w:rsidR="00570A5E" w:rsidRDefault="00570A5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ההגנה (שעת חירום) (הגשת ספרים לביקורת מוקדמת ואיסור פרסום), תשל"ב 1972-</w:t>
    </w:r>
  </w:p>
  <w:p w14:paraId="545E1FFC" w14:textId="77777777" w:rsidR="00570A5E" w:rsidRDefault="00570A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9FDF118" w14:textId="77777777" w:rsidR="00570A5E" w:rsidRDefault="00570A5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0F39" w14:textId="77777777" w:rsidR="00570A5E" w:rsidRDefault="00570A5E" w:rsidP="00D87560">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צו שעת חירום (</w:t>
    </w:r>
    <w:r w:rsidR="00D87560">
      <w:rPr>
        <w:rFonts w:hAnsi="FrankRuehl" w:cs="FrankRuehl" w:hint="cs"/>
        <w:color w:val="000000"/>
        <w:sz w:val="28"/>
        <w:szCs w:val="28"/>
        <w:rtl/>
      </w:rPr>
      <w:t>הגשת דברי דפוס ופרסומים לביקורת מוקדמת ואיסור דפוס ופרסום), תשמ"ט-1988</w:t>
    </w:r>
  </w:p>
  <w:p w14:paraId="4482D2C0" w14:textId="77777777" w:rsidR="00570A5E" w:rsidRDefault="00570A5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DBEFCE" w14:textId="77777777" w:rsidR="00570A5E" w:rsidRDefault="00570A5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4D2F"/>
    <w:rsid w:val="000722BA"/>
    <w:rsid w:val="000A5BFD"/>
    <w:rsid w:val="000A7D87"/>
    <w:rsid w:val="000B0E61"/>
    <w:rsid w:val="000C5CCF"/>
    <w:rsid w:val="001B5A40"/>
    <w:rsid w:val="002161ED"/>
    <w:rsid w:val="002D72E1"/>
    <w:rsid w:val="00315A5F"/>
    <w:rsid w:val="00334D2F"/>
    <w:rsid w:val="003A1C4A"/>
    <w:rsid w:val="00403737"/>
    <w:rsid w:val="00422D35"/>
    <w:rsid w:val="0047484D"/>
    <w:rsid w:val="00570A5E"/>
    <w:rsid w:val="00575807"/>
    <w:rsid w:val="006F7260"/>
    <w:rsid w:val="00784369"/>
    <w:rsid w:val="00AD5476"/>
    <w:rsid w:val="00B87611"/>
    <w:rsid w:val="00BE09CB"/>
    <w:rsid w:val="00BE2C8B"/>
    <w:rsid w:val="00D87560"/>
    <w:rsid w:val="00ED42D1"/>
    <w:rsid w:val="00F24E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DFE49D0"/>
  <w15:chartTrackingRefBased/>
  <w15:docId w15:val="{29326F68-59F5-4440-9572-6EF91A34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A1C4A"/>
    <w:rPr>
      <w:sz w:val="20"/>
      <w:szCs w:val="20"/>
    </w:rPr>
  </w:style>
  <w:style w:type="character" w:styleId="a6">
    <w:name w:val="footnote reference"/>
    <w:basedOn w:val="a0"/>
    <w:semiHidden/>
    <w:rsid w:val="003A1C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1660</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319</vt:lpstr>
      <vt:lpstr>פרק 319</vt:lpstr>
    </vt:vector>
  </TitlesOfParts>
  <Company/>
  <LinksUpToDate>false</LinksUpToDate>
  <CharactersWithSpaces>1948</CharactersWithSpaces>
  <SharedDoc>false</SharedDoc>
  <HLinks>
    <vt:vector size="30"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2023-06-05T20:14:00Z</dcterms:created>
  <dcterms:modified xsi:type="dcterms:W3CDTF">2023-06-05T20:14:00Z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סדרי השלטון והמשפט</vt:lpwstr>
  </property>
  <property fmtid="{D5CDD505-2E9C-101B-9397-08002B2CF9AE}" pid="4" name="LAWNAME">
    <vt:lpwstr>צו שעת חירום (הגשת דברי דפוס ופרסומים לביקורת מוקדמת ואיסור דפוס ופרסום), תשמ"ט-1988</vt:lpwstr>
  </property>
  <property fmtid="{D5CDD505-2E9C-101B-9397-08002B2CF9AE}" pid="5" name="LAWNUMBER">
    <vt:lpwstr>0416</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תרבות, פנאי ומועדים</vt:lpwstr>
  </property>
  <property fmtid="{D5CDD505-2E9C-101B-9397-08002B2CF9AE}" pid="13" name="NOSE32">
    <vt:lpwstr>ספרים סרטים ומחזות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