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75D41" w:rsidRDefault="00D75D41">
      <w:pPr>
        <w:pStyle w:val="big-header"/>
        <w:ind w:left="0" w:right="1134"/>
        <w:rPr>
          <w:rFonts w:hint="cs"/>
          <w:rtl/>
        </w:rPr>
      </w:pPr>
      <w:r>
        <w:rPr>
          <w:rFonts w:hint="cs"/>
          <w:rtl/>
        </w:rPr>
        <w:t xml:space="preserve">צו שעת חירום (יהודה והשומרון וחבל עזה </w:t>
      </w:r>
      <w:r>
        <w:rPr>
          <w:rtl/>
        </w:rPr>
        <w:t>–</w:t>
      </w:r>
      <w:r>
        <w:rPr>
          <w:rFonts w:hint="cs"/>
          <w:rtl/>
        </w:rPr>
        <w:t xml:space="preserve"> שיפוט בעבירות ועזרה משפטית) (שטחי המועצה הפלסטינית </w:t>
      </w:r>
      <w:r>
        <w:rPr>
          <w:rtl/>
        </w:rPr>
        <w:t>–</w:t>
      </w:r>
      <w:r>
        <w:rPr>
          <w:rFonts w:hint="cs"/>
          <w:rtl/>
        </w:rPr>
        <w:t xml:space="preserve"> עזרה משפטית בענינים אזרחיים), תשנ"ט-1999</w:t>
      </w:r>
    </w:p>
    <w:p w:rsidR="00D75D41" w:rsidRDefault="00D75D41">
      <w:pPr>
        <w:pStyle w:val="big-header"/>
        <w:ind w:left="0" w:right="1134"/>
        <w:rPr>
          <w:rFonts w:hint="cs"/>
          <w:color w:val="008000"/>
          <w:rtl/>
        </w:rPr>
      </w:pPr>
      <w:r>
        <w:rPr>
          <w:rFonts w:hint="cs"/>
          <w:color w:val="008000"/>
          <w:rtl/>
        </w:rPr>
        <w:t>רבדים בחקיקה</w:t>
      </w:r>
    </w:p>
    <w:p w:rsidR="00FE38AE" w:rsidRPr="00FE38AE" w:rsidRDefault="00FE38AE" w:rsidP="00FE38AE">
      <w:pPr>
        <w:spacing w:line="320" w:lineRule="auto"/>
        <w:jc w:val="left"/>
        <w:rPr>
          <w:rFonts w:cs="FrankRuehl"/>
          <w:szCs w:val="26"/>
          <w:rtl/>
        </w:rPr>
      </w:pPr>
    </w:p>
    <w:p w:rsidR="00FE38AE" w:rsidRDefault="00FE38AE" w:rsidP="00FE38AE">
      <w:pPr>
        <w:spacing w:line="320" w:lineRule="auto"/>
        <w:jc w:val="left"/>
        <w:rPr>
          <w:rtl/>
        </w:rPr>
      </w:pPr>
    </w:p>
    <w:p w:rsidR="00FE38AE" w:rsidRDefault="00FE38AE" w:rsidP="00FE38AE">
      <w:pPr>
        <w:spacing w:line="320" w:lineRule="auto"/>
        <w:jc w:val="left"/>
        <w:rPr>
          <w:rFonts w:cs="FrankRuehl"/>
          <w:szCs w:val="26"/>
          <w:rtl/>
        </w:rPr>
      </w:pPr>
      <w:r w:rsidRPr="00FE38AE">
        <w:rPr>
          <w:rFonts w:cs="Miriam"/>
          <w:szCs w:val="22"/>
          <w:rtl/>
        </w:rPr>
        <w:t>בטחון</w:t>
      </w:r>
      <w:r w:rsidRPr="00FE38AE">
        <w:rPr>
          <w:rFonts w:cs="FrankRuehl"/>
          <w:szCs w:val="26"/>
          <w:rtl/>
        </w:rPr>
        <w:t xml:space="preserve"> – שעת חירום – שיפוט ועזרה משפטית</w:t>
      </w:r>
    </w:p>
    <w:p w:rsidR="00FE38AE" w:rsidRDefault="00FE38AE" w:rsidP="00FE38AE">
      <w:pPr>
        <w:spacing w:line="320" w:lineRule="auto"/>
        <w:jc w:val="left"/>
        <w:rPr>
          <w:rFonts w:cs="FrankRuehl"/>
          <w:szCs w:val="26"/>
          <w:rtl/>
        </w:rPr>
      </w:pPr>
      <w:r w:rsidRPr="00FE38AE">
        <w:rPr>
          <w:rFonts w:cs="Miriam"/>
          <w:szCs w:val="22"/>
          <w:rtl/>
        </w:rPr>
        <w:t>בתי משפט וסדרי דין</w:t>
      </w:r>
      <w:r w:rsidRPr="00FE38AE">
        <w:rPr>
          <w:rFonts w:cs="FrankRuehl"/>
          <w:szCs w:val="26"/>
          <w:rtl/>
        </w:rPr>
        <w:t xml:space="preserve"> – שיפוט ועזרה משפטית</w:t>
      </w:r>
    </w:p>
    <w:p w:rsidR="00FE38AE" w:rsidRDefault="00FE38AE" w:rsidP="00FE38AE">
      <w:pPr>
        <w:spacing w:line="320" w:lineRule="auto"/>
        <w:jc w:val="left"/>
        <w:rPr>
          <w:rFonts w:cs="FrankRuehl"/>
          <w:szCs w:val="26"/>
          <w:rtl/>
        </w:rPr>
      </w:pPr>
      <w:r w:rsidRPr="00FE38AE">
        <w:rPr>
          <w:rFonts w:cs="Miriam"/>
          <w:szCs w:val="22"/>
          <w:rtl/>
        </w:rPr>
        <w:t>משפט בינ"ל פומבי</w:t>
      </w:r>
      <w:r w:rsidRPr="00FE38AE">
        <w:rPr>
          <w:rFonts w:cs="FrankRuehl"/>
          <w:szCs w:val="26"/>
          <w:rtl/>
        </w:rPr>
        <w:t xml:space="preserve"> – עזרה משפטית</w:t>
      </w:r>
    </w:p>
    <w:p w:rsidR="00FE38AE" w:rsidRDefault="00FE38AE" w:rsidP="00FE38AE">
      <w:pPr>
        <w:spacing w:line="320" w:lineRule="auto"/>
        <w:jc w:val="left"/>
        <w:rPr>
          <w:rFonts w:cs="FrankRuehl"/>
          <w:szCs w:val="26"/>
          <w:rtl/>
        </w:rPr>
      </w:pPr>
      <w:r w:rsidRPr="00FE38AE">
        <w:rPr>
          <w:rFonts w:cs="Miriam"/>
          <w:szCs w:val="22"/>
          <w:rtl/>
        </w:rPr>
        <w:t>משפט בינ"ל פומבי</w:t>
      </w:r>
      <w:r w:rsidRPr="00FE38AE">
        <w:rPr>
          <w:rFonts w:cs="FrankRuehl"/>
          <w:szCs w:val="26"/>
          <w:rtl/>
        </w:rPr>
        <w:t xml:space="preserve"> – הרשות הפלסטינית</w:t>
      </w:r>
    </w:p>
    <w:p w:rsidR="0041284B" w:rsidRPr="00FE38AE" w:rsidRDefault="00FE38AE" w:rsidP="00FE38AE">
      <w:pPr>
        <w:spacing w:line="320" w:lineRule="auto"/>
        <w:jc w:val="left"/>
        <w:rPr>
          <w:rFonts w:cs="Miriam"/>
          <w:szCs w:val="22"/>
          <w:rtl/>
        </w:rPr>
      </w:pPr>
      <w:r w:rsidRPr="00FE38AE">
        <w:rPr>
          <w:rFonts w:cs="Miriam"/>
          <w:szCs w:val="22"/>
          <w:rtl/>
        </w:rPr>
        <w:t>עונשין ומשפט פלילי</w:t>
      </w:r>
      <w:r w:rsidRPr="00FE38AE">
        <w:rPr>
          <w:rFonts w:cs="FrankRuehl"/>
          <w:szCs w:val="26"/>
          <w:rtl/>
        </w:rPr>
        <w:t xml:space="preserve"> – עבירות</w:t>
      </w:r>
    </w:p>
    <w:p w:rsidR="00D75D41" w:rsidRDefault="00D75D41">
      <w:pPr>
        <w:pStyle w:val="big-header"/>
        <w:ind w:left="0" w:right="1134"/>
        <w:rPr>
          <w:rStyle w:val="default"/>
          <w:rFonts w:cs="FrankRuehl" w:hint="cs"/>
          <w:rtl/>
        </w:rPr>
      </w:pPr>
      <w:r>
        <w:rPr>
          <w:rFonts w:hint="cs"/>
          <w:rtl/>
        </w:rPr>
        <w:t>תוכן ענינים</w:t>
      </w:r>
    </w:p>
    <w:tbl>
      <w:tblPr>
        <w:tblW w:w="8333"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D75D41">
        <w:tblPrEx>
          <w:tblCellMar>
            <w:top w:w="0" w:type="dxa"/>
            <w:bottom w:w="0" w:type="dxa"/>
          </w:tblCellMar>
        </w:tblPrEx>
        <w:trPr>
          <w:jc w:val="right"/>
        </w:trPr>
        <w:tc>
          <w:tcPr>
            <w:tcW w:w="850" w:type="dxa"/>
          </w:tcPr>
          <w:p w:rsidR="00D75D41" w:rsidRDefault="00D75D41">
            <w:pPr>
              <w:spacing w:line="240" w:lineRule="auto"/>
              <w:jc w:val="left"/>
              <w:rPr>
                <w:rFonts w:cs="Frankruhel" w:hint="cs"/>
                <w:sz w:val="24"/>
              </w:rPr>
            </w:pPr>
            <w:r>
              <w:rPr>
                <w:rFonts w:cs="Frankruhel"/>
                <w:sz w:val="24"/>
                <w:rtl/>
              </w:rPr>
              <w:fldChar w:fldCharType="begin"/>
            </w:r>
            <w:r>
              <w:rPr>
                <w:rFonts w:cs="Frankruhel"/>
                <w:sz w:val="24"/>
                <w:rtl/>
              </w:rPr>
              <w:instrText xml:space="preserve"> </w:instrText>
            </w:r>
            <w:r>
              <w:rPr>
                <w:rFonts w:cs="Frankruhel"/>
                <w:sz w:val="24"/>
              </w:rPr>
              <w:instrText>PAGEREF Seif0</w:instrText>
            </w:r>
            <w:r>
              <w:rPr>
                <w:rFonts w:cs="Frankruhel"/>
                <w:sz w:val="24"/>
                <w:rtl/>
              </w:rPr>
              <w:instrText xml:space="preserve"> </w:instrText>
            </w:r>
            <w:r>
              <w:rPr>
                <w:rFonts w:cs="Frankruhel"/>
                <w:sz w:val="24"/>
                <w:rtl/>
              </w:rPr>
              <w:fldChar w:fldCharType="separate"/>
            </w:r>
            <w:r>
              <w:rPr>
                <w:rFonts w:cs="Frankruhel"/>
                <w:sz w:val="24"/>
                <w:rtl/>
              </w:rPr>
              <w:t>1</w:t>
            </w:r>
            <w:r>
              <w:rPr>
                <w:rFonts w:cs="Frankruhel"/>
                <w:sz w:val="24"/>
                <w:rtl/>
              </w:rPr>
              <w:fldChar w:fldCharType="end"/>
            </w:r>
          </w:p>
        </w:tc>
        <w:tc>
          <w:tcPr>
            <w:tcW w:w="567" w:type="dxa"/>
          </w:tcPr>
          <w:p w:rsidR="00D75D41" w:rsidRDefault="00D75D41">
            <w:pPr>
              <w:spacing w:line="240" w:lineRule="auto"/>
              <w:jc w:val="left"/>
              <w:rPr>
                <w:rFonts w:cs="Frankruhel" w:hint="cs"/>
                <w:sz w:val="24"/>
              </w:rPr>
            </w:pPr>
            <w:hyperlink w:anchor="Seif0" w:tooltip="הגדרות" w:history="1">
              <w:r>
                <w:rPr>
                  <w:rStyle w:val="Hyperlink"/>
                </w:rPr>
                <w:t>Go</w:t>
              </w:r>
            </w:hyperlink>
          </w:p>
        </w:tc>
        <w:tc>
          <w:tcPr>
            <w:tcW w:w="5669" w:type="dxa"/>
          </w:tcPr>
          <w:p w:rsidR="00D75D41" w:rsidRDefault="00D75D41">
            <w:pPr>
              <w:spacing w:line="240" w:lineRule="auto"/>
              <w:jc w:val="left"/>
              <w:rPr>
                <w:rFonts w:cs="Frankruhel"/>
                <w:sz w:val="24"/>
                <w:rtl/>
              </w:rPr>
            </w:pPr>
            <w:r>
              <w:rPr>
                <w:rFonts w:cs="Frankruhel"/>
                <w:sz w:val="24"/>
                <w:rtl/>
              </w:rPr>
              <w:t>הגדרות</w:t>
            </w:r>
          </w:p>
        </w:tc>
        <w:tc>
          <w:tcPr>
            <w:tcW w:w="1247" w:type="dxa"/>
          </w:tcPr>
          <w:p w:rsidR="00D75D41" w:rsidRDefault="00D75D41">
            <w:pPr>
              <w:spacing w:line="240" w:lineRule="auto"/>
              <w:jc w:val="left"/>
              <w:rPr>
                <w:rFonts w:cs="Frankruhel" w:hint="cs"/>
                <w:sz w:val="24"/>
              </w:rPr>
            </w:pPr>
            <w:r>
              <w:rPr>
                <w:rFonts w:cs="Frankruhel"/>
                <w:sz w:val="24"/>
                <w:rtl/>
              </w:rPr>
              <w:t xml:space="preserve">סעיף 1 </w:t>
            </w:r>
          </w:p>
        </w:tc>
      </w:tr>
      <w:tr w:rsidR="00D75D41">
        <w:tblPrEx>
          <w:tblCellMar>
            <w:top w:w="0" w:type="dxa"/>
            <w:bottom w:w="0" w:type="dxa"/>
          </w:tblCellMar>
        </w:tblPrEx>
        <w:trPr>
          <w:jc w:val="right"/>
        </w:trPr>
        <w:tc>
          <w:tcPr>
            <w:tcW w:w="850" w:type="dxa"/>
          </w:tcPr>
          <w:p w:rsidR="00D75D41" w:rsidRDefault="00D75D41">
            <w:pPr>
              <w:spacing w:line="240" w:lineRule="auto"/>
              <w:jc w:val="left"/>
              <w:rPr>
                <w:rFonts w:cs="Frankruhel" w:hint="cs"/>
                <w:sz w:val="24"/>
              </w:rPr>
            </w:pPr>
            <w:r>
              <w:rPr>
                <w:rFonts w:cs="Frankruhel"/>
                <w:sz w:val="24"/>
                <w:rtl/>
              </w:rPr>
              <w:fldChar w:fldCharType="begin"/>
            </w:r>
            <w:r>
              <w:rPr>
                <w:rFonts w:cs="Frankruhel"/>
                <w:sz w:val="24"/>
                <w:rtl/>
              </w:rPr>
              <w:instrText xml:space="preserve"> </w:instrText>
            </w:r>
            <w:r>
              <w:rPr>
                <w:rFonts w:cs="Frankruhel"/>
                <w:sz w:val="24"/>
              </w:rPr>
              <w:instrText>PAGEREF Seif1</w:instrText>
            </w:r>
            <w:r>
              <w:rPr>
                <w:rFonts w:cs="Frankruhel"/>
                <w:sz w:val="24"/>
                <w:rtl/>
              </w:rPr>
              <w:instrText xml:space="preserve"> </w:instrText>
            </w:r>
            <w:r>
              <w:rPr>
                <w:rFonts w:cs="Frankruhel"/>
                <w:sz w:val="24"/>
                <w:rtl/>
              </w:rPr>
              <w:fldChar w:fldCharType="separate"/>
            </w:r>
            <w:r>
              <w:rPr>
                <w:rFonts w:cs="Frankruhel"/>
                <w:sz w:val="24"/>
                <w:rtl/>
              </w:rPr>
              <w:t>1</w:t>
            </w:r>
            <w:r>
              <w:rPr>
                <w:rFonts w:cs="Frankruhel"/>
                <w:sz w:val="24"/>
                <w:rtl/>
              </w:rPr>
              <w:fldChar w:fldCharType="end"/>
            </w:r>
          </w:p>
        </w:tc>
        <w:tc>
          <w:tcPr>
            <w:tcW w:w="567" w:type="dxa"/>
          </w:tcPr>
          <w:p w:rsidR="00D75D41" w:rsidRDefault="00D75D41">
            <w:pPr>
              <w:spacing w:line="240" w:lineRule="auto"/>
              <w:jc w:val="left"/>
              <w:rPr>
                <w:rFonts w:cs="Frankruhel" w:hint="cs"/>
                <w:sz w:val="24"/>
              </w:rPr>
            </w:pPr>
            <w:hyperlink w:anchor="Seif1" w:tooltip="המצאת מסמך חיצוני בישראל" w:history="1">
              <w:r>
                <w:rPr>
                  <w:rStyle w:val="Hyperlink"/>
                </w:rPr>
                <w:t>Go</w:t>
              </w:r>
            </w:hyperlink>
          </w:p>
        </w:tc>
        <w:tc>
          <w:tcPr>
            <w:tcW w:w="5669" w:type="dxa"/>
          </w:tcPr>
          <w:p w:rsidR="00D75D41" w:rsidRDefault="00D75D41">
            <w:pPr>
              <w:spacing w:line="240" w:lineRule="auto"/>
              <w:jc w:val="left"/>
              <w:rPr>
                <w:rFonts w:cs="Frankruhel"/>
                <w:sz w:val="24"/>
                <w:rtl/>
              </w:rPr>
            </w:pPr>
            <w:r>
              <w:rPr>
                <w:rFonts w:cs="Frankruhel"/>
                <w:sz w:val="24"/>
                <w:rtl/>
              </w:rPr>
              <w:t>המצאת מסמך חיצוני בישראל</w:t>
            </w:r>
          </w:p>
        </w:tc>
        <w:tc>
          <w:tcPr>
            <w:tcW w:w="1247" w:type="dxa"/>
          </w:tcPr>
          <w:p w:rsidR="00D75D41" w:rsidRDefault="00D75D41">
            <w:pPr>
              <w:spacing w:line="240" w:lineRule="auto"/>
              <w:jc w:val="left"/>
              <w:rPr>
                <w:rFonts w:cs="Frankruhel" w:hint="cs"/>
                <w:sz w:val="24"/>
              </w:rPr>
            </w:pPr>
            <w:r>
              <w:rPr>
                <w:rFonts w:cs="Frankruhel"/>
                <w:sz w:val="24"/>
                <w:rtl/>
              </w:rPr>
              <w:t xml:space="preserve">סעיף 2 </w:t>
            </w:r>
          </w:p>
        </w:tc>
      </w:tr>
      <w:tr w:rsidR="00D75D41">
        <w:tblPrEx>
          <w:tblCellMar>
            <w:top w:w="0" w:type="dxa"/>
            <w:bottom w:w="0" w:type="dxa"/>
          </w:tblCellMar>
        </w:tblPrEx>
        <w:trPr>
          <w:jc w:val="right"/>
        </w:trPr>
        <w:tc>
          <w:tcPr>
            <w:tcW w:w="850" w:type="dxa"/>
          </w:tcPr>
          <w:p w:rsidR="00D75D41" w:rsidRDefault="00D75D41">
            <w:pPr>
              <w:spacing w:line="240" w:lineRule="auto"/>
              <w:jc w:val="left"/>
              <w:rPr>
                <w:rFonts w:cs="Frankruhel" w:hint="cs"/>
                <w:sz w:val="24"/>
              </w:rPr>
            </w:pPr>
            <w:r>
              <w:rPr>
                <w:rFonts w:cs="Frankruhel"/>
                <w:sz w:val="24"/>
                <w:rtl/>
              </w:rPr>
              <w:fldChar w:fldCharType="begin"/>
            </w:r>
            <w:r>
              <w:rPr>
                <w:rFonts w:cs="Frankruhel"/>
                <w:sz w:val="24"/>
                <w:rtl/>
              </w:rPr>
              <w:instrText xml:space="preserve"> </w:instrText>
            </w:r>
            <w:r>
              <w:rPr>
                <w:rFonts w:cs="Frankruhel"/>
                <w:sz w:val="24"/>
              </w:rPr>
              <w:instrText>PAGEREF Seif2</w:instrText>
            </w:r>
            <w:r>
              <w:rPr>
                <w:rFonts w:cs="Frankruhel"/>
                <w:sz w:val="24"/>
                <w:rtl/>
              </w:rPr>
              <w:instrText xml:space="preserve"> </w:instrText>
            </w:r>
            <w:r>
              <w:rPr>
                <w:rFonts w:cs="Frankruhel"/>
                <w:sz w:val="24"/>
                <w:rtl/>
              </w:rPr>
              <w:fldChar w:fldCharType="separate"/>
            </w:r>
            <w:r>
              <w:rPr>
                <w:rFonts w:cs="Frankruhel"/>
                <w:sz w:val="24"/>
                <w:rtl/>
              </w:rPr>
              <w:t>1</w:t>
            </w:r>
            <w:r>
              <w:rPr>
                <w:rFonts w:cs="Frankruhel"/>
                <w:sz w:val="24"/>
                <w:rtl/>
              </w:rPr>
              <w:fldChar w:fldCharType="end"/>
            </w:r>
          </w:p>
        </w:tc>
        <w:tc>
          <w:tcPr>
            <w:tcW w:w="567" w:type="dxa"/>
          </w:tcPr>
          <w:p w:rsidR="00D75D41" w:rsidRDefault="00D75D41">
            <w:pPr>
              <w:spacing w:line="240" w:lineRule="auto"/>
              <w:jc w:val="left"/>
              <w:rPr>
                <w:rFonts w:cs="Frankruhel" w:hint="cs"/>
                <w:sz w:val="24"/>
              </w:rPr>
            </w:pPr>
            <w:hyperlink w:anchor="Seif2" w:tooltip="המצאת מסמכים בשטחי המועצה הפלסטינית צו תשסד 2004" w:history="1">
              <w:r>
                <w:rPr>
                  <w:rStyle w:val="Hyperlink"/>
                </w:rPr>
                <w:t>Go</w:t>
              </w:r>
            </w:hyperlink>
          </w:p>
        </w:tc>
        <w:tc>
          <w:tcPr>
            <w:tcW w:w="5669" w:type="dxa"/>
          </w:tcPr>
          <w:p w:rsidR="00D75D41" w:rsidRDefault="00D75D41">
            <w:pPr>
              <w:spacing w:line="240" w:lineRule="auto"/>
              <w:jc w:val="left"/>
              <w:rPr>
                <w:rFonts w:cs="Frankruhel"/>
                <w:sz w:val="24"/>
                <w:rtl/>
              </w:rPr>
            </w:pPr>
            <w:r>
              <w:rPr>
                <w:rFonts w:cs="Frankruhel"/>
                <w:sz w:val="24"/>
                <w:rtl/>
              </w:rPr>
              <w:t>המצאת מסמכים בשטחי המועצה הפלסטינית צו תשסד 2004</w:t>
            </w:r>
          </w:p>
        </w:tc>
        <w:tc>
          <w:tcPr>
            <w:tcW w:w="1247" w:type="dxa"/>
          </w:tcPr>
          <w:p w:rsidR="00D75D41" w:rsidRDefault="00D75D41">
            <w:pPr>
              <w:spacing w:line="240" w:lineRule="auto"/>
              <w:jc w:val="left"/>
              <w:rPr>
                <w:rFonts w:cs="Frankruhel" w:hint="cs"/>
                <w:sz w:val="24"/>
              </w:rPr>
            </w:pPr>
            <w:r>
              <w:rPr>
                <w:rFonts w:cs="Frankruhel"/>
                <w:sz w:val="24"/>
                <w:rtl/>
              </w:rPr>
              <w:t xml:space="preserve">סעיף 3 </w:t>
            </w:r>
          </w:p>
        </w:tc>
      </w:tr>
      <w:tr w:rsidR="00D75D41">
        <w:tblPrEx>
          <w:tblCellMar>
            <w:top w:w="0" w:type="dxa"/>
            <w:bottom w:w="0" w:type="dxa"/>
          </w:tblCellMar>
        </w:tblPrEx>
        <w:trPr>
          <w:jc w:val="right"/>
        </w:trPr>
        <w:tc>
          <w:tcPr>
            <w:tcW w:w="850" w:type="dxa"/>
          </w:tcPr>
          <w:p w:rsidR="00D75D41" w:rsidRDefault="00D75D41">
            <w:pPr>
              <w:spacing w:line="240" w:lineRule="auto"/>
              <w:jc w:val="left"/>
              <w:rPr>
                <w:rFonts w:cs="Frankruhel" w:hint="cs"/>
                <w:sz w:val="24"/>
              </w:rPr>
            </w:pPr>
            <w:r>
              <w:rPr>
                <w:rFonts w:cs="Frankruhel"/>
                <w:sz w:val="24"/>
                <w:rtl/>
              </w:rPr>
              <w:fldChar w:fldCharType="begin"/>
            </w:r>
            <w:r>
              <w:rPr>
                <w:rFonts w:cs="Frankruhel"/>
                <w:sz w:val="24"/>
                <w:rtl/>
              </w:rPr>
              <w:instrText xml:space="preserve"> </w:instrText>
            </w:r>
            <w:r>
              <w:rPr>
                <w:rFonts w:cs="Frankruhel"/>
                <w:sz w:val="24"/>
              </w:rPr>
              <w:instrText>PAGEREF Seif3</w:instrText>
            </w:r>
            <w:r>
              <w:rPr>
                <w:rFonts w:cs="Frankruhel"/>
                <w:sz w:val="24"/>
                <w:rtl/>
              </w:rPr>
              <w:instrText xml:space="preserve"> </w:instrText>
            </w:r>
            <w:r>
              <w:rPr>
                <w:rFonts w:cs="Frankruhel"/>
                <w:sz w:val="24"/>
                <w:rtl/>
              </w:rPr>
              <w:fldChar w:fldCharType="separate"/>
            </w:r>
            <w:r>
              <w:rPr>
                <w:rFonts w:cs="Frankruhel"/>
                <w:sz w:val="24"/>
                <w:rtl/>
              </w:rPr>
              <w:t>1</w:t>
            </w:r>
            <w:r>
              <w:rPr>
                <w:rFonts w:cs="Frankruhel"/>
                <w:sz w:val="24"/>
                <w:rtl/>
              </w:rPr>
              <w:fldChar w:fldCharType="end"/>
            </w:r>
          </w:p>
        </w:tc>
        <w:tc>
          <w:tcPr>
            <w:tcW w:w="567" w:type="dxa"/>
          </w:tcPr>
          <w:p w:rsidR="00D75D41" w:rsidRDefault="00D75D41">
            <w:pPr>
              <w:spacing w:line="240" w:lineRule="auto"/>
              <w:jc w:val="left"/>
              <w:rPr>
                <w:rFonts w:cs="Frankruhel" w:hint="cs"/>
                <w:sz w:val="24"/>
              </w:rPr>
            </w:pPr>
            <w:hyperlink w:anchor="Seif3" w:tooltip="גביית עדות בישראל" w:history="1">
              <w:r>
                <w:rPr>
                  <w:rStyle w:val="Hyperlink"/>
                </w:rPr>
                <w:t>Go</w:t>
              </w:r>
            </w:hyperlink>
          </w:p>
        </w:tc>
        <w:tc>
          <w:tcPr>
            <w:tcW w:w="5669" w:type="dxa"/>
          </w:tcPr>
          <w:p w:rsidR="00D75D41" w:rsidRDefault="00D75D41">
            <w:pPr>
              <w:spacing w:line="240" w:lineRule="auto"/>
              <w:jc w:val="left"/>
              <w:rPr>
                <w:rFonts w:cs="Frankruhel"/>
                <w:sz w:val="24"/>
                <w:rtl/>
              </w:rPr>
            </w:pPr>
            <w:r>
              <w:rPr>
                <w:rFonts w:cs="Frankruhel"/>
                <w:sz w:val="24"/>
                <w:rtl/>
              </w:rPr>
              <w:t>גביית עדות בישראל</w:t>
            </w:r>
          </w:p>
        </w:tc>
        <w:tc>
          <w:tcPr>
            <w:tcW w:w="1247" w:type="dxa"/>
          </w:tcPr>
          <w:p w:rsidR="00D75D41" w:rsidRDefault="00D75D41">
            <w:pPr>
              <w:spacing w:line="240" w:lineRule="auto"/>
              <w:jc w:val="left"/>
              <w:rPr>
                <w:rFonts w:cs="Frankruhel" w:hint="cs"/>
                <w:sz w:val="24"/>
              </w:rPr>
            </w:pPr>
            <w:r>
              <w:rPr>
                <w:rFonts w:cs="Frankruhel"/>
                <w:sz w:val="24"/>
                <w:rtl/>
              </w:rPr>
              <w:t xml:space="preserve">סעיף 4 </w:t>
            </w:r>
          </w:p>
        </w:tc>
      </w:tr>
      <w:tr w:rsidR="00D75D41">
        <w:tblPrEx>
          <w:tblCellMar>
            <w:top w:w="0" w:type="dxa"/>
            <w:bottom w:w="0" w:type="dxa"/>
          </w:tblCellMar>
        </w:tblPrEx>
        <w:trPr>
          <w:jc w:val="right"/>
        </w:trPr>
        <w:tc>
          <w:tcPr>
            <w:tcW w:w="850" w:type="dxa"/>
          </w:tcPr>
          <w:p w:rsidR="00D75D41" w:rsidRDefault="00D75D41">
            <w:pPr>
              <w:spacing w:line="240" w:lineRule="auto"/>
              <w:jc w:val="left"/>
              <w:rPr>
                <w:rFonts w:cs="Frankruhel" w:hint="cs"/>
                <w:sz w:val="24"/>
              </w:rPr>
            </w:pPr>
            <w:r>
              <w:rPr>
                <w:rFonts w:cs="Frankruhel"/>
                <w:sz w:val="24"/>
                <w:rtl/>
              </w:rPr>
              <w:fldChar w:fldCharType="begin"/>
            </w:r>
            <w:r>
              <w:rPr>
                <w:rFonts w:cs="Frankruhel"/>
                <w:sz w:val="24"/>
                <w:rtl/>
              </w:rPr>
              <w:instrText xml:space="preserve"> </w:instrText>
            </w:r>
            <w:r>
              <w:rPr>
                <w:rFonts w:cs="Frankruhel"/>
                <w:sz w:val="24"/>
              </w:rPr>
              <w:instrText>PAGEREF Seif4</w:instrText>
            </w:r>
            <w:r>
              <w:rPr>
                <w:rFonts w:cs="Frankruhel"/>
                <w:sz w:val="24"/>
                <w:rtl/>
              </w:rPr>
              <w:instrText xml:space="preserve"> </w:instrText>
            </w:r>
            <w:r>
              <w:rPr>
                <w:rFonts w:cs="Frankruhel"/>
                <w:sz w:val="24"/>
                <w:rtl/>
              </w:rPr>
              <w:fldChar w:fldCharType="separate"/>
            </w:r>
            <w:r>
              <w:rPr>
                <w:rFonts w:cs="Frankruhel"/>
                <w:sz w:val="24"/>
                <w:rtl/>
              </w:rPr>
              <w:t>1</w:t>
            </w:r>
            <w:r>
              <w:rPr>
                <w:rFonts w:cs="Frankruhel"/>
                <w:sz w:val="24"/>
                <w:rtl/>
              </w:rPr>
              <w:fldChar w:fldCharType="end"/>
            </w:r>
          </w:p>
        </w:tc>
        <w:tc>
          <w:tcPr>
            <w:tcW w:w="567" w:type="dxa"/>
          </w:tcPr>
          <w:p w:rsidR="00D75D41" w:rsidRDefault="00D75D41">
            <w:pPr>
              <w:spacing w:line="240" w:lineRule="auto"/>
              <w:jc w:val="left"/>
              <w:rPr>
                <w:rFonts w:cs="Frankruhel" w:hint="cs"/>
                <w:sz w:val="24"/>
              </w:rPr>
            </w:pPr>
            <w:hyperlink w:anchor="Seif4" w:tooltip="גביית עדות בשטחי המועצה הפלסטינית" w:history="1">
              <w:r>
                <w:rPr>
                  <w:rStyle w:val="Hyperlink"/>
                </w:rPr>
                <w:t>Go</w:t>
              </w:r>
            </w:hyperlink>
          </w:p>
        </w:tc>
        <w:tc>
          <w:tcPr>
            <w:tcW w:w="5669" w:type="dxa"/>
          </w:tcPr>
          <w:p w:rsidR="00D75D41" w:rsidRDefault="00D75D41">
            <w:pPr>
              <w:spacing w:line="240" w:lineRule="auto"/>
              <w:jc w:val="left"/>
              <w:rPr>
                <w:rFonts w:cs="Frankruhel"/>
                <w:sz w:val="24"/>
                <w:rtl/>
              </w:rPr>
            </w:pPr>
            <w:r>
              <w:rPr>
                <w:rFonts w:cs="Frankruhel"/>
                <w:sz w:val="24"/>
                <w:rtl/>
              </w:rPr>
              <w:t>גביית עדות בשטחי המועצה הפלסטינית</w:t>
            </w:r>
          </w:p>
        </w:tc>
        <w:tc>
          <w:tcPr>
            <w:tcW w:w="1247" w:type="dxa"/>
          </w:tcPr>
          <w:p w:rsidR="00D75D41" w:rsidRDefault="00D75D41">
            <w:pPr>
              <w:spacing w:line="240" w:lineRule="auto"/>
              <w:jc w:val="left"/>
              <w:rPr>
                <w:rFonts w:cs="Frankruhel" w:hint="cs"/>
                <w:sz w:val="24"/>
              </w:rPr>
            </w:pPr>
            <w:r>
              <w:rPr>
                <w:rFonts w:cs="Frankruhel"/>
                <w:sz w:val="24"/>
                <w:rtl/>
              </w:rPr>
              <w:t xml:space="preserve">סעיף 5 </w:t>
            </w:r>
          </w:p>
        </w:tc>
      </w:tr>
      <w:tr w:rsidR="00D75D41">
        <w:tblPrEx>
          <w:tblCellMar>
            <w:top w:w="0" w:type="dxa"/>
            <w:bottom w:w="0" w:type="dxa"/>
          </w:tblCellMar>
        </w:tblPrEx>
        <w:trPr>
          <w:jc w:val="right"/>
        </w:trPr>
        <w:tc>
          <w:tcPr>
            <w:tcW w:w="850" w:type="dxa"/>
          </w:tcPr>
          <w:p w:rsidR="00D75D41" w:rsidRDefault="00D75D41">
            <w:pPr>
              <w:spacing w:line="240" w:lineRule="auto"/>
              <w:jc w:val="left"/>
              <w:rPr>
                <w:rFonts w:cs="Frankruhel" w:hint="cs"/>
                <w:sz w:val="24"/>
              </w:rPr>
            </w:pPr>
            <w:r>
              <w:rPr>
                <w:rFonts w:cs="Frankruhel"/>
                <w:sz w:val="24"/>
                <w:rtl/>
              </w:rPr>
              <w:fldChar w:fldCharType="begin"/>
            </w:r>
            <w:r>
              <w:rPr>
                <w:rFonts w:cs="Frankruhel"/>
                <w:sz w:val="24"/>
                <w:rtl/>
              </w:rPr>
              <w:instrText xml:space="preserve"> </w:instrText>
            </w:r>
            <w:r>
              <w:rPr>
                <w:rFonts w:cs="Frankruhel"/>
                <w:sz w:val="24"/>
              </w:rPr>
              <w:instrText>PAGEREF Seif5</w:instrText>
            </w:r>
            <w:r>
              <w:rPr>
                <w:rFonts w:cs="Frankruhel"/>
                <w:sz w:val="24"/>
                <w:rtl/>
              </w:rPr>
              <w:instrText xml:space="preserve"> </w:instrText>
            </w:r>
            <w:r>
              <w:rPr>
                <w:rFonts w:cs="Frankruhel"/>
                <w:sz w:val="24"/>
                <w:rtl/>
              </w:rPr>
              <w:fldChar w:fldCharType="separate"/>
            </w:r>
            <w:r>
              <w:rPr>
                <w:rFonts w:cs="Frankruhel"/>
                <w:sz w:val="24"/>
                <w:rtl/>
              </w:rPr>
              <w:t>1</w:t>
            </w:r>
            <w:r>
              <w:rPr>
                <w:rFonts w:cs="Frankruhel"/>
                <w:sz w:val="24"/>
                <w:rtl/>
              </w:rPr>
              <w:fldChar w:fldCharType="end"/>
            </w:r>
          </w:p>
        </w:tc>
        <w:tc>
          <w:tcPr>
            <w:tcW w:w="567" w:type="dxa"/>
          </w:tcPr>
          <w:p w:rsidR="00D75D41" w:rsidRDefault="00D75D41">
            <w:pPr>
              <w:spacing w:line="240" w:lineRule="auto"/>
              <w:jc w:val="left"/>
              <w:rPr>
                <w:rFonts w:cs="Frankruhel" w:hint="cs"/>
                <w:sz w:val="24"/>
              </w:rPr>
            </w:pPr>
            <w:hyperlink w:anchor="Seif5" w:tooltip="אכיפה וביצוע של פסקי דין בישראל" w:history="1">
              <w:r>
                <w:rPr>
                  <w:rStyle w:val="Hyperlink"/>
                </w:rPr>
                <w:t>Go</w:t>
              </w:r>
            </w:hyperlink>
          </w:p>
        </w:tc>
        <w:tc>
          <w:tcPr>
            <w:tcW w:w="5669" w:type="dxa"/>
          </w:tcPr>
          <w:p w:rsidR="00D75D41" w:rsidRDefault="00D75D41">
            <w:pPr>
              <w:spacing w:line="240" w:lineRule="auto"/>
              <w:jc w:val="left"/>
              <w:rPr>
                <w:rFonts w:cs="Frankruhel"/>
                <w:sz w:val="24"/>
                <w:rtl/>
              </w:rPr>
            </w:pPr>
            <w:r>
              <w:rPr>
                <w:rFonts w:cs="Frankruhel"/>
                <w:sz w:val="24"/>
                <w:rtl/>
              </w:rPr>
              <w:t>אכיפה וביצוע של פסקי דין בישראל</w:t>
            </w:r>
          </w:p>
        </w:tc>
        <w:tc>
          <w:tcPr>
            <w:tcW w:w="1247" w:type="dxa"/>
          </w:tcPr>
          <w:p w:rsidR="00D75D41" w:rsidRDefault="00D75D41">
            <w:pPr>
              <w:spacing w:line="240" w:lineRule="auto"/>
              <w:jc w:val="left"/>
              <w:rPr>
                <w:rFonts w:cs="Frankruhel" w:hint="cs"/>
                <w:sz w:val="24"/>
              </w:rPr>
            </w:pPr>
            <w:r>
              <w:rPr>
                <w:rFonts w:cs="Frankruhel"/>
                <w:sz w:val="24"/>
                <w:rtl/>
              </w:rPr>
              <w:t xml:space="preserve">סעיף 6 </w:t>
            </w:r>
          </w:p>
        </w:tc>
      </w:tr>
      <w:tr w:rsidR="00D75D41">
        <w:tblPrEx>
          <w:tblCellMar>
            <w:top w:w="0" w:type="dxa"/>
            <w:bottom w:w="0" w:type="dxa"/>
          </w:tblCellMar>
        </w:tblPrEx>
        <w:trPr>
          <w:jc w:val="right"/>
        </w:trPr>
        <w:tc>
          <w:tcPr>
            <w:tcW w:w="850" w:type="dxa"/>
          </w:tcPr>
          <w:p w:rsidR="00D75D41" w:rsidRDefault="00D75D41">
            <w:pPr>
              <w:spacing w:line="240" w:lineRule="auto"/>
              <w:jc w:val="left"/>
              <w:rPr>
                <w:rFonts w:cs="Frankruhel" w:hint="cs"/>
                <w:sz w:val="24"/>
              </w:rPr>
            </w:pPr>
            <w:r>
              <w:rPr>
                <w:rFonts w:cs="Frankruhel"/>
                <w:sz w:val="24"/>
                <w:rtl/>
              </w:rPr>
              <w:fldChar w:fldCharType="begin"/>
            </w:r>
            <w:r>
              <w:rPr>
                <w:rFonts w:cs="Frankruhel"/>
                <w:sz w:val="24"/>
                <w:rtl/>
              </w:rPr>
              <w:instrText xml:space="preserve"> </w:instrText>
            </w:r>
            <w:r>
              <w:rPr>
                <w:rFonts w:cs="Frankruhel"/>
                <w:sz w:val="24"/>
              </w:rPr>
              <w:instrText>PAGEREF Seif6</w:instrText>
            </w:r>
            <w:r>
              <w:rPr>
                <w:rFonts w:cs="Frankruhel"/>
                <w:sz w:val="24"/>
                <w:rtl/>
              </w:rPr>
              <w:instrText xml:space="preserve"> </w:instrText>
            </w:r>
            <w:r>
              <w:rPr>
                <w:rFonts w:cs="Frankruhel"/>
                <w:sz w:val="24"/>
                <w:rtl/>
              </w:rPr>
              <w:fldChar w:fldCharType="separate"/>
            </w:r>
            <w:r>
              <w:rPr>
                <w:rFonts w:cs="Frankruhel"/>
                <w:sz w:val="24"/>
                <w:rtl/>
              </w:rPr>
              <w:t>1</w:t>
            </w:r>
            <w:r>
              <w:rPr>
                <w:rFonts w:cs="Frankruhel"/>
                <w:sz w:val="24"/>
                <w:rtl/>
              </w:rPr>
              <w:fldChar w:fldCharType="end"/>
            </w:r>
          </w:p>
        </w:tc>
        <w:tc>
          <w:tcPr>
            <w:tcW w:w="567" w:type="dxa"/>
          </w:tcPr>
          <w:p w:rsidR="00D75D41" w:rsidRDefault="00D75D41">
            <w:pPr>
              <w:spacing w:line="240" w:lineRule="auto"/>
              <w:jc w:val="left"/>
              <w:rPr>
                <w:rFonts w:cs="Frankruhel" w:hint="cs"/>
                <w:sz w:val="24"/>
              </w:rPr>
            </w:pPr>
            <w:hyperlink w:anchor="Seif6" w:tooltip="סייגים לעזרה משפטית" w:history="1">
              <w:r>
                <w:rPr>
                  <w:rStyle w:val="Hyperlink"/>
                </w:rPr>
                <w:t>Go</w:t>
              </w:r>
            </w:hyperlink>
          </w:p>
        </w:tc>
        <w:tc>
          <w:tcPr>
            <w:tcW w:w="5669" w:type="dxa"/>
          </w:tcPr>
          <w:p w:rsidR="00D75D41" w:rsidRDefault="00D75D41">
            <w:pPr>
              <w:spacing w:line="240" w:lineRule="auto"/>
              <w:jc w:val="left"/>
              <w:rPr>
                <w:rFonts w:cs="Frankruhel"/>
                <w:sz w:val="24"/>
                <w:rtl/>
              </w:rPr>
            </w:pPr>
            <w:r>
              <w:rPr>
                <w:rFonts w:cs="Frankruhel"/>
                <w:sz w:val="24"/>
                <w:rtl/>
              </w:rPr>
              <w:t>סייגים לעזרה משפטית</w:t>
            </w:r>
          </w:p>
        </w:tc>
        <w:tc>
          <w:tcPr>
            <w:tcW w:w="1247" w:type="dxa"/>
          </w:tcPr>
          <w:p w:rsidR="00D75D41" w:rsidRDefault="00D75D41">
            <w:pPr>
              <w:spacing w:line="240" w:lineRule="auto"/>
              <w:jc w:val="left"/>
              <w:rPr>
                <w:rFonts w:cs="Frankruhel" w:hint="cs"/>
                <w:sz w:val="24"/>
              </w:rPr>
            </w:pPr>
            <w:r>
              <w:rPr>
                <w:rFonts w:cs="Frankruhel"/>
                <w:sz w:val="24"/>
                <w:rtl/>
              </w:rPr>
              <w:t xml:space="preserve">סעיף 7 </w:t>
            </w:r>
          </w:p>
        </w:tc>
      </w:tr>
      <w:tr w:rsidR="00D75D41">
        <w:tblPrEx>
          <w:tblCellMar>
            <w:top w:w="0" w:type="dxa"/>
            <w:bottom w:w="0" w:type="dxa"/>
          </w:tblCellMar>
        </w:tblPrEx>
        <w:trPr>
          <w:jc w:val="right"/>
        </w:trPr>
        <w:tc>
          <w:tcPr>
            <w:tcW w:w="850" w:type="dxa"/>
          </w:tcPr>
          <w:p w:rsidR="00D75D41" w:rsidRDefault="00D75D41">
            <w:pPr>
              <w:spacing w:line="240" w:lineRule="auto"/>
              <w:jc w:val="left"/>
              <w:rPr>
                <w:rFonts w:cs="Frankruhel" w:hint="cs"/>
                <w:sz w:val="24"/>
              </w:rPr>
            </w:pPr>
            <w:r>
              <w:rPr>
                <w:rFonts w:cs="Frankruhel"/>
                <w:sz w:val="24"/>
                <w:rtl/>
              </w:rPr>
              <w:fldChar w:fldCharType="begin"/>
            </w:r>
            <w:r>
              <w:rPr>
                <w:rFonts w:cs="Frankruhel"/>
                <w:sz w:val="24"/>
                <w:rtl/>
              </w:rPr>
              <w:instrText xml:space="preserve"> </w:instrText>
            </w:r>
            <w:r>
              <w:rPr>
                <w:rFonts w:cs="Frankruhel"/>
                <w:sz w:val="24"/>
              </w:rPr>
              <w:instrText>PAGEREF Seif7</w:instrText>
            </w:r>
            <w:r>
              <w:rPr>
                <w:rFonts w:cs="Frankruhel"/>
                <w:sz w:val="24"/>
                <w:rtl/>
              </w:rPr>
              <w:instrText xml:space="preserve"> </w:instrText>
            </w:r>
            <w:r>
              <w:rPr>
                <w:rFonts w:cs="Frankruhel"/>
                <w:sz w:val="24"/>
                <w:rtl/>
              </w:rPr>
              <w:fldChar w:fldCharType="separate"/>
            </w:r>
            <w:r>
              <w:rPr>
                <w:rFonts w:cs="Frankruhel"/>
                <w:sz w:val="24"/>
                <w:rtl/>
              </w:rPr>
              <w:t>1</w:t>
            </w:r>
            <w:r>
              <w:rPr>
                <w:rFonts w:cs="Frankruhel"/>
                <w:sz w:val="24"/>
                <w:rtl/>
              </w:rPr>
              <w:fldChar w:fldCharType="end"/>
            </w:r>
          </w:p>
        </w:tc>
        <w:tc>
          <w:tcPr>
            <w:tcW w:w="567" w:type="dxa"/>
          </w:tcPr>
          <w:p w:rsidR="00D75D41" w:rsidRDefault="00D75D41">
            <w:pPr>
              <w:spacing w:line="240" w:lineRule="auto"/>
              <w:jc w:val="left"/>
              <w:rPr>
                <w:rFonts w:cs="Frankruhel" w:hint="cs"/>
                <w:sz w:val="24"/>
              </w:rPr>
            </w:pPr>
            <w:hyperlink w:anchor="Seif7" w:tooltip="תעודה ציבורית" w:history="1">
              <w:r>
                <w:rPr>
                  <w:rStyle w:val="Hyperlink"/>
                </w:rPr>
                <w:t>Go</w:t>
              </w:r>
            </w:hyperlink>
          </w:p>
        </w:tc>
        <w:tc>
          <w:tcPr>
            <w:tcW w:w="5669" w:type="dxa"/>
          </w:tcPr>
          <w:p w:rsidR="00D75D41" w:rsidRDefault="00D75D41">
            <w:pPr>
              <w:spacing w:line="240" w:lineRule="auto"/>
              <w:jc w:val="left"/>
              <w:rPr>
                <w:rFonts w:cs="Frankruhel"/>
                <w:sz w:val="24"/>
                <w:rtl/>
              </w:rPr>
            </w:pPr>
            <w:r>
              <w:rPr>
                <w:rFonts w:cs="Frankruhel"/>
                <w:sz w:val="24"/>
                <w:rtl/>
              </w:rPr>
              <w:t>תעודה ציבורית</w:t>
            </w:r>
          </w:p>
        </w:tc>
        <w:tc>
          <w:tcPr>
            <w:tcW w:w="1247" w:type="dxa"/>
          </w:tcPr>
          <w:p w:rsidR="00D75D41" w:rsidRDefault="00D75D41">
            <w:pPr>
              <w:spacing w:line="240" w:lineRule="auto"/>
              <w:jc w:val="left"/>
              <w:rPr>
                <w:rFonts w:cs="Frankruhel" w:hint="cs"/>
                <w:sz w:val="24"/>
              </w:rPr>
            </w:pPr>
            <w:r>
              <w:rPr>
                <w:rFonts w:cs="Frankruhel"/>
                <w:sz w:val="24"/>
                <w:rtl/>
              </w:rPr>
              <w:t xml:space="preserve">סעיף 8 </w:t>
            </w:r>
          </w:p>
        </w:tc>
      </w:tr>
    </w:tbl>
    <w:p w:rsidR="00D75D41" w:rsidRDefault="00D75D41">
      <w:pPr>
        <w:pStyle w:val="P00"/>
        <w:spacing w:before="72"/>
        <w:ind w:left="0" w:right="1134"/>
        <w:rPr>
          <w:rFonts w:hint="cs"/>
          <w:rtl/>
        </w:rPr>
      </w:pPr>
    </w:p>
    <w:p w:rsidR="00D75D41" w:rsidRPr="007F2950" w:rsidRDefault="00D75D41" w:rsidP="007F2950">
      <w:pPr>
        <w:pStyle w:val="big-header"/>
        <w:ind w:left="0" w:right="1134"/>
        <w:rPr>
          <w:rStyle w:val="default"/>
          <w:rFonts w:cs="FrankRuehl" w:hint="cs"/>
          <w:szCs w:val="32"/>
          <w:rtl/>
        </w:rPr>
      </w:pPr>
      <w:r>
        <w:rPr>
          <w:rtl/>
        </w:rPr>
        <w:br w:type="page"/>
      </w:r>
      <w:r>
        <w:rPr>
          <w:rFonts w:hint="cs"/>
          <w:rtl/>
        </w:rPr>
        <w:lastRenderedPageBreak/>
        <w:t xml:space="preserve">צו שעת חירום (יהודה והשומרון וחבל עזה </w:t>
      </w:r>
      <w:r>
        <w:rPr>
          <w:rtl/>
        </w:rPr>
        <w:t>–</w:t>
      </w:r>
      <w:r>
        <w:rPr>
          <w:rFonts w:hint="cs"/>
          <w:rtl/>
        </w:rPr>
        <w:t xml:space="preserve"> שיפוט בעבירות ועזרה משפטית) (שטחי המועצה הפלסטינית </w:t>
      </w:r>
      <w:r>
        <w:rPr>
          <w:rtl/>
        </w:rPr>
        <w:t>–</w:t>
      </w:r>
      <w:r>
        <w:rPr>
          <w:rFonts w:hint="cs"/>
          <w:rtl/>
        </w:rPr>
        <w:t xml:space="preserve"> עזרה משפטית בענינים אזרחיים), תשנ"ט-1999</w:t>
      </w:r>
      <w:r>
        <w:rPr>
          <w:rStyle w:val="default"/>
          <w:sz w:val="22"/>
          <w:szCs w:val="22"/>
          <w:rtl/>
        </w:rPr>
        <w:footnoteReference w:customMarkFollows="1" w:id="1"/>
        <w:t>*</w:t>
      </w:r>
    </w:p>
    <w:p w:rsidR="00D75D41" w:rsidRDefault="00D75D41">
      <w:pPr>
        <w:pStyle w:val="P00"/>
        <w:spacing w:before="72"/>
        <w:ind w:left="0" w:right="1134"/>
        <w:rPr>
          <w:rStyle w:val="default"/>
          <w:rFonts w:cs="FrankRuehl" w:hint="cs"/>
          <w:rtl/>
        </w:rPr>
      </w:pPr>
      <w:r>
        <w:rPr>
          <w:rtl/>
          <w:lang w:val="he-IL"/>
        </w:rPr>
        <w:pict>
          <v:shapetype id="_x0000_t202" coordsize="21600,21600" o:spt="202" path="m,l,21600r21600,l21600,xe">
            <v:stroke joinstyle="miter"/>
            <v:path gradientshapeok="t" o:connecttype="rect"/>
          </v:shapetype>
          <v:shape id="_x0000_s1306" type="#_x0000_t202" style="position:absolute;left:0;text-align:left;margin-left:470.25pt;margin-top:7.05pt;width:1in;height:11.2pt;z-index:251660288" filled="f" stroked="f">
            <v:textbox inset="1mm,0,1mm,0">
              <w:txbxContent>
                <w:p w:rsidR="00D75D41" w:rsidRDefault="00D75D41">
                  <w:pPr>
                    <w:spacing w:line="160" w:lineRule="exact"/>
                    <w:jc w:val="left"/>
                    <w:rPr>
                      <w:rFonts w:cs="Miriam" w:hint="cs"/>
                      <w:szCs w:val="18"/>
                      <w:rtl/>
                    </w:rPr>
                  </w:pPr>
                  <w:r>
                    <w:rPr>
                      <w:rFonts w:cs="Miriam" w:hint="cs"/>
                      <w:szCs w:val="18"/>
                      <w:rtl/>
                    </w:rPr>
                    <w:t>צו תשס"ד-2004</w:t>
                  </w:r>
                </w:p>
              </w:txbxContent>
            </v:textbox>
            <w10:anchorlock/>
          </v:shape>
        </w:pict>
      </w:r>
      <w:r>
        <w:rPr>
          <w:rStyle w:val="default"/>
          <w:rFonts w:cs="FrankRuehl" w:hint="cs"/>
          <w:rtl/>
        </w:rPr>
        <w:tab/>
        <w:t>ב</w:t>
      </w:r>
      <w:r>
        <w:rPr>
          <w:rStyle w:val="default"/>
          <w:rFonts w:cs="FrankRuehl"/>
          <w:rtl/>
        </w:rPr>
        <w:t xml:space="preserve">תוקף סמכותי לפי </w:t>
      </w:r>
      <w:r>
        <w:rPr>
          <w:rStyle w:val="default"/>
          <w:rFonts w:cs="FrankRuehl" w:hint="cs"/>
          <w:rtl/>
        </w:rPr>
        <w:t xml:space="preserve">תקנות 16 ו-17 בתוספת לחוק להארכת תוקפן של תקנות שעת חירום (יהודה והשומרון וחבל עזה </w:t>
      </w:r>
      <w:r>
        <w:rPr>
          <w:rStyle w:val="default"/>
          <w:rFonts w:cs="FrankRuehl"/>
          <w:rtl/>
        </w:rPr>
        <w:t>–</w:t>
      </w:r>
      <w:r>
        <w:rPr>
          <w:rStyle w:val="default"/>
          <w:rFonts w:cs="FrankRuehl" w:hint="cs"/>
          <w:rtl/>
        </w:rPr>
        <w:t xml:space="preserve"> שיפוט בעבירות ועזרה משפטית), התשכ"ז-1967 (להלן </w:t>
      </w:r>
      <w:r>
        <w:rPr>
          <w:rStyle w:val="default"/>
          <w:rFonts w:cs="FrankRuehl"/>
          <w:rtl/>
        </w:rPr>
        <w:t>–</w:t>
      </w:r>
      <w:r>
        <w:rPr>
          <w:rStyle w:val="default"/>
          <w:rFonts w:cs="FrankRuehl" w:hint="cs"/>
          <w:rtl/>
        </w:rPr>
        <w:t xml:space="preserve"> התקנות), סעיף 108 לחוק בתי המשפט [נוסח משולב], התשמ"ד-1984, וסעיף 88 לחוק ההוצאה לפועל, התשכ"ז-1967, ולאחר התייעצות עם ועדת חוקה חוק ומשפט של הכנסת, אני מצווה לאמור</w:t>
      </w:r>
      <w:r>
        <w:rPr>
          <w:rStyle w:val="default"/>
          <w:rFonts w:cs="FrankRuehl"/>
          <w:rtl/>
        </w:rPr>
        <w:t>:</w:t>
      </w:r>
    </w:p>
    <w:p w:rsidR="00D75D41" w:rsidRDefault="00D75D41">
      <w:pPr>
        <w:pStyle w:val="P00"/>
        <w:spacing w:before="0"/>
        <w:ind w:left="0" w:right="1134"/>
        <w:rPr>
          <w:rStyle w:val="default"/>
          <w:rFonts w:cs="FrankRuehl" w:hint="cs"/>
          <w:vanish/>
          <w:color w:val="FF0000"/>
          <w:szCs w:val="20"/>
          <w:shd w:val="clear" w:color="auto" w:fill="FFFF99"/>
          <w:rtl/>
        </w:rPr>
      </w:pPr>
      <w:bookmarkStart w:id="0" w:name="Rov3"/>
      <w:r>
        <w:rPr>
          <w:rStyle w:val="default"/>
          <w:rFonts w:cs="FrankRuehl" w:hint="cs"/>
          <w:vanish/>
          <w:color w:val="FF0000"/>
          <w:szCs w:val="20"/>
          <w:shd w:val="clear" w:color="auto" w:fill="FFFF99"/>
          <w:rtl/>
        </w:rPr>
        <w:t>מיום 30.3.2004</w:t>
      </w:r>
    </w:p>
    <w:p w:rsidR="00D75D41" w:rsidRDefault="00D75D41">
      <w:pPr>
        <w:pStyle w:val="P00"/>
        <w:spacing w:before="0"/>
        <w:ind w:left="0" w:right="1134"/>
        <w:rPr>
          <w:rStyle w:val="default"/>
          <w:rFonts w:cs="FrankRuehl" w:hint="cs"/>
          <w:vanish/>
          <w:szCs w:val="20"/>
          <w:shd w:val="clear" w:color="auto" w:fill="FFFF99"/>
          <w:rtl/>
        </w:rPr>
      </w:pPr>
      <w:r>
        <w:rPr>
          <w:rStyle w:val="default"/>
          <w:rFonts w:cs="FrankRuehl" w:hint="cs"/>
          <w:b/>
          <w:bCs/>
          <w:vanish/>
          <w:szCs w:val="20"/>
          <w:shd w:val="clear" w:color="auto" w:fill="FFFF99"/>
          <w:rtl/>
        </w:rPr>
        <w:t>צו תשס"ד-2004</w:t>
      </w:r>
    </w:p>
    <w:p w:rsidR="00D75D41" w:rsidRDefault="00D75D41">
      <w:pPr>
        <w:pStyle w:val="P00"/>
        <w:spacing w:before="0"/>
        <w:ind w:left="0" w:right="1134"/>
        <w:rPr>
          <w:rStyle w:val="default"/>
          <w:rFonts w:cs="FrankRuehl" w:hint="cs"/>
          <w:vanish/>
          <w:szCs w:val="20"/>
          <w:shd w:val="clear" w:color="auto" w:fill="FFFF99"/>
          <w:rtl/>
        </w:rPr>
      </w:pPr>
      <w:hyperlink r:id="rId6" w:history="1">
        <w:r>
          <w:rPr>
            <w:rStyle w:val="Hyperlink"/>
            <w:rFonts w:hint="cs"/>
            <w:vanish/>
            <w:szCs w:val="20"/>
            <w:shd w:val="clear" w:color="auto" w:fill="FFFF99"/>
            <w:rtl/>
          </w:rPr>
          <w:t>ק"ת תשס"ד מס' 6300</w:t>
        </w:r>
      </w:hyperlink>
      <w:r>
        <w:rPr>
          <w:rStyle w:val="default"/>
          <w:rFonts w:cs="FrankRuehl" w:hint="cs"/>
          <w:vanish/>
          <w:szCs w:val="20"/>
          <w:shd w:val="clear" w:color="auto" w:fill="FFFF99"/>
          <w:rtl/>
        </w:rPr>
        <w:t xml:space="preserve"> מיום 30.3.2004 עמ' 338</w:t>
      </w:r>
    </w:p>
    <w:p w:rsidR="00D75D41" w:rsidRDefault="00D75D41">
      <w:pPr>
        <w:pStyle w:val="P00"/>
        <w:ind w:left="0" w:right="1134"/>
        <w:rPr>
          <w:rStyle w:val="default"/>
          <w:rFonts w:cs="FrankRuehl" w:hint="cs"/>
          <w:sz w:val="2"/>
          <w:szCs w:val="2"/>
          <w:rtl/>
        </w:rPr>
      </w:pPr>
      <w:r>
        <w:rPr>
          <w:rStyle w:val="default"/>
          <w:rFonts w:cs="FrankRuehl" w:hint="cs"/>
          <w:vanish/>
          <w:sz w:val="22"/>
          <w:szCs w:val="22"/>
          <w:shd w:val="clear" w:color="auto" w:fill="FFFF99"/>
          <w:rtl/>
        </w:rPr>
        <w:tab/>
        <w:t>ב</w:t>
      </w:r>
      <w:r>
        <w:rPr>
          <w:rStyle w:val="default"/>
          <w:rFonts w:cs="FrankRuehl"/>
          <w:vanish/>
          <w:sz w:val="22"/>
          <w:szCs w:val="22"/>
          <w:shd w:val="clear" w:color="auto" w:fill="FFFF99"/>
          <w:rtl/>
        </w:rPr>
        <w:t xml:space="preserve">תוקף סמכותי לפי </w:t>
      </w:r>
      <w:r>
        <w:rPr>
          <w:rStyle w:val="default"/>
          <w:rFonts w:cs="FrankRuehl" w:hint="cs"/>
          <w:strike/>
          <w:vanish/>
          <w:sz w:val="22"/>
          <w:szCs w:val="22"/>
          <w:shd w:val="clear" w:color="auto" w:fill="FFFF99"/>
          <w:rtl/>
        </w:rPr>
        <w:t>תקנה 16</w:t>
      </w:r>
      <w:r>
        <w:rPr>
          <w:rStyle w:val="default"/>
          <w:rFonts w:cs="FrankRuehl" w:hint="cs"/>
          <w:vanish/>
          <w:sz w:val="22"/>
          <w:szCs w:val="22"/>
          <w:shd w:val="clear" w:color="auto" w:fill="FFFF99"/>
          <w:rtl/>
        </w:rPr>
        <w:t xml:space="preserve"> </w:t>
      </w:r>
      <w:r>
        <w:rPr>
          <w:rStyle w:val="default"/>
          <w:rFonts w:cs="FrankRuehl" w:hint="cs"/>
          <w:vanish/>
          <w:sz w:val="22"/>
          <w:szCs w:val="22"/>
          <w:u w:val="single"/>
          <w:shd w:val="clear" w:color="auto" w:fill="FFFF99"/>
          <w:rtl/>
        </w:rPr>
        <w:t>תקנות 16 ו-17</w:t>
      </w:r>
      <w:r>
        <w:rPr>
          <w:rStyle w:val="default"/>
          <w:rFonts w:cs="FrankRuehl" w:hint="cs"/>
          <w:vanish/>
          <w:sz w:val="22"/>
          <w:szCs w:val="22"/>
          <w:shd w:val="clear" w:color="auto" w:fill="FFFF99"/>
          <w:rtl/>
        </w:rPr>
        <w:t xml:space="preserve"> בתוספת לחוק להארכת תוקפן של תקנות שעת חירום (יהודה והשומרון וחבל עזה </w:t>
      </w:r>
      <w:r>
        <w:rPr>
          <w:rStyle w:val="default"/>
          <w:rFonts w:cs="FrankRuehl"/>
          <w:vanish/>
          <w:sz w:val="22"/>
          <w:szCs w:val="22"/>
          <w:shd w:val="clear" w:color="auto" w:fill="FFFF99"/>
          <w:rtl/>
        </w:rPr>
        <w:t>–</w:t>
      </w:r>
      <w:r>
        <w:rPr>
          <w:rStyle w:val="default"/>
          <w:rFonts w:cs="FrankRuehl" w:hint="cs"/>
          <w:vanish/>
          <w:sz w:val="22"/>
          <w:szCs w:val="22"/>
          <w:shd w:val="clear" w:color="auto" w:fill="FFFF99"/>
          <w:rtl/>
        </w:rPr>
        <w:t xml:space="preserve"> שיפוט בעבירות ועזרה משפטית), התשכ"ז-1967 (להלן </w:t>
      </w:r>
      <w:r>
        <w:rPr>
          <w:rStyle w:val="default"/>
          <w:rFonts w:cs="FrankRuehl"/>
          <w:vanish/>
          <w:sz w:val="22"/>
          <w:szCs w:val="22"/>
          <w:shd w:val="clear" w:color="auto" w:fill="FFFF99"/>
          <w:rtl/>
        </w:rPr>
        <w:t>–</w:t>
      </w:r>
      <w:r>
        <w:rPr>
          <w:rStyle w:val="default"/>
          <w:rFonts w:cs="FrankRuehl" w:hint="cs"/>
          <w:vanish/>
          <w:sz w:val="22"/>
          <w:szCs w:val="22"/>
          <w:shd w:val="clear" w:color="auto" w:fill="FFFF99"/>
          <w:rtl/>
        </w:rPr>
        <w:t xml:space="preserve"> התקנות), סעיף 108 לחוק בתי המשפט [נוסח משולב], התשמ"ד-1984, וסעיף 88 לחוק ההוצאה לפועל, התשכ"ז-1967, ולאחר התייעצות עם ועדת חוקה חוק ומשפט של הכנסת, אני מצווה לאמור</w:t>
      </w:r>
      <w:r>
        <w:rPr>
          <w:rStyle w:val="default"/>
          <w:rFonts w:cs="FrankRuehl"/>
          <w:vanish/>
          <w:sz w:val="22"/>
          <w:szCs w:val="22"/>
          <w:shd w:val="clear" w:color="auto" w:fill="FFFF99"/>
          <w:rtl/>
        </w:rPr>
        <w:t>:</w:t>
      </w:r>
      <w:bookmarkEnd w:id="0"/>
    </w:p>
    <w:p w:rsidR="00D75D41" w:rsidRDefault="00D75D41">
      <w:pPr>
        <w:pStyle w:val="P00"/>
        <w:spacing w:before="72"/>
        <w:ind w:left="0" w:right="1134"/>
        <w:rPr>
          <w:rStyle w:val="default"/>
          <w:rFonts w:cs="FrankRuehl" w:hint="cs"/>
          <w:rtl/>
        </w:rPr>
      </w:pPr>
      <w:bookmarkStart w:id="1" w:name="Seif0"/>
      <w:bookmarkEnd w:id="1"/>
      <w:r>
        <w:rPr>
          <w:lang w:val="he-IL"/>
        </w:rPr>
        <w:pict>
          <v:rect id="_x0000_s1026" style="position:absolute;left:0;text-align:left;margin-left:464.5pt;margin-top:8.05pt;width:75.05pt;height:14.2pt;z-index:251652096" o:allowincell="f" filled="f" stroked="f" strokecolor="lime" strokeweight=".25pt">
            <v:textbox style="mso-next-textbox:#_x0000_s1026" inset="0,0,0,0">
              <w:txbxContent>
                <w:p w:rsidR="00D75D41" w:rsidRDefault="00D75D41">
                  <w:pPr>
                    <w:spacing w:line="160" w:lineRule="exact"/>
                    <w:jc w:val="left"/>
                    <w:rPr>
                      <w:rFonts w:cs="Miriam" w:hint="cs"/>
                      <w:szCs w:val="18"/>
                      <w:rtl/>
                    </w:rPr>
                  </w:pPr>
                  <w:r>
                    <w:rPr>
                      <w:rFonts w:cs="Miriam" w:hint="cs"/>
                      <w:szCs w:val="18"/>
                      <w:rtl/>
                    </w:rPr>
                    <w:t>הגדרות</w:t>
                  </w:r>
                </w:p>
              </w:txbxContent>
            </v:textbox>
            <w10:anchorlock/>
          </v:rect>
        </w:pict>
      </w:r>
      <w:r>
        <w:rPr>
          <w:rStyle w:val="big-number"/>
          <w:rtl/>
        </w:rPr>
        <w:t>1</w:t>
      </w:r>
      <w:r>
        <w:rPr>
          <w:rStyle w:val="default"/>
          <w:rFonts w:cs="FrankRuehl"/>
          <w:rtl/>
        </w:rPr>
        <w:t>.</w:t>
      </w:r>
      <w:r>
        <w:rPr>
          <w:rStyle w:val="default"/>
          <w:rFonts w:cs="FrankRuehl"/>
          <w:rtl/>
        </w:rPr>
        <w:tab/>
      </w:r>
      <w:r>
        <w:rPr>
          <w:rStyle w:val="default"/>
          <w:rFonts w:cs="FrankRuehl" w:hint="cs"/>
          <w:rtl/>
        </w:rPr>
        <w:t xml:space="preserve">בצו זה </w:t>
      </w:r>
      <w:r>
        <w:rPr>
          <w:rStyle w:val="default"/>
          <w:rFonts w:cs="FrankRuehl"/>
          <w:rtl/>
        </w:rPr>
        <w:t>–</w:t>
      </w:r>
    </w:p>
    <w:p w:rsidR="00D75D41" w:rsidRDefault="00D75D41">
      <w:pPr>
        <w:pStyle w:val="P00"/>
        <w:spacing w:before="72"/>
        <w:ind w:left="0" w:right="1134"/>
        <w:rPr>
          <w:rStyle w:val="default"/>
          <w:rFonts w:cs="FrankRuehl" w:hint="cs"/>
          <w:rtl/>
        </w:rPr>
      </w:pPr>
      <w:r>
        <w:rPr>
          <w:rStyle w:val="default"/>
          <w:rFonts w:cs="FrankRuehl" w:hint="cs"/>
          <w:rtl/>
        </w:rPr>
        <w:tab/>
        <w:t xml:space="preserve">"רשות שיפוטית" </w:t>
      </w:r>
      <w:r>
        <w:rPr>
          <w:rStyle w:val="default"/>
          <w:rFonts w:cs="FrankRuehl"/>
          <w:rtl/>
        </w:rPr>
        <w:t>–</w:t>
      </w:r>
      <w:r>
        <w:rPr>
          <w:rStyle w:val="default"/>
          <w:rFonts w:cs="FrankRuehl" w:hint="cs"/>
          <w:rtl/>
        </w:rPr>
        <w:t xml:space="preserve"> רשות שיפוטית מוסמכת בשטחי המועצה הפלסטינית הדנה בענינים אזרחיים, לרבות משרד הוצאה לפועל;</w:t>
      </w:r>
    </w:p>
    <w:p w:rsidR="00D75D41" w:rsidRDefault="00D75D41">
      <w:pPr>
        <w:pStyle w:val="P00"/>
        <w:spacing w:before="72"/>
        <w:ind w:left="0" w:right="1134"/>
        <w:rPr>
          <w:rStyle w:val="default"/>
          <w:rFonts w:cs="FrankRuehl" w:hint="cs"/>
          <w:rtl/>
        </w:rPr>
      </w:pPr>
      <w:r>
        <w:rPr>
          <w:rStyle w:val="default"/>
          <w:rFonts w:cs="FrankRuehl" w:hint="cs"/>
          <w:rtl/>
        </w:rPr>
        <w:tab/>
        <w:t xml:space="preserve">"לשכת הוצאה לפועל" ו"ראש הוצאה לפועל" </w:t>
      </w:r>
      <w:r>
        <w:rPr>
          <w:rStyle w:val="default"/>
          <w:rFonts w:cs="FrankRuehl"/>
          <w:rtl/>
        </w:rPr>
        <w:t>–</w:t>
      </w:r>
      <w:r>
        <w:rPr>
          <w:rStyle w:val="default"/>
          <w:rFonts w:cs="FrankRuehl" w:hint="cs"/>
          <w:rtl/>
        </w:rPr>
        <w:t xml:space="preserve"> כמשמעותם בחוק ההוצאה לפועל, התשכ"ז-1967;</w:t>
      </w:r>
    </w:p>
    <w:p w:rsidR="00D75D41" w:rsidRDefault="00D75D41">
      <w:pPr>
        <w:pStyle w:val="P00"/>
        <w:spacing w:before="72"/>
        <w:ind w:left="0" w:right="1134"/>
        <w:rPr>
          <w:rStyle w:val="default"/>
          <w:rFonts w:cs="FrankRuehl" w:hint="cs"/>
          <w:rtl/>
        </w:rPr>
      </w:pPr>
      <w:r>
        <w:rPr>
          <w:rStyle w:val="default"/>
          <w:rFonts w:cs="FrankRuehl" w:hint="cs"/>
          <w:rtl/>
        </w:rPr>
        <w:tab/>
        <w:t xml:space="preserve">"הממונה" </w:t>
      </w:r>
      <w:r>
        <w:rPr>
          <w:rStyle w:val="default"/>
          <w:rFonts w:cs="FrankRuehl"/>
          <w:rtl/>
        </w:rPr>
        <w:t>–</w:t>
      </w:r>
      <w:r>
        <w:rPr>
          <w:rStyle w:val="default"/>
          <w:rFonts w:cs="FrankRuehl" w:hint="cs"/>
          <w:rtl/>
        </w:rPr>
        <w:t xml:space="preserve"> מי שמונה לממונה על העזרה המשפטית לפי תקנה 9(א) לתקנות;</w:t>
      </w:r>
    </w:p>
    <w:p w:rsidR="00D75D41" w:rsidRDefault="00D75D41">
      <w:pPr>
        <w:pStyle w:val="P00"/>
        <w:spacing w:before="72"/>
        <w:ind w:left="0" w:right="1134"/>
        <w:rPr>
          <w:rStyle w:val="default"/>
          <w:rFonts w:cs="FrankRuehl" w:hint="cs"/>
          <w:rtl/>
        </w:rPr>
      </w:pPr>
      <w:r>
        <w:rPr>
          <w:rStyle w:val="default"/>
          <w:rFonts w:cs="FrankRuehl" w:hint="cs"/>
          <w:rtl/>
        </w:rPr>
        <w:tab/>
        <w:t xml:space="preserve">"מסמך" </w:t>
      </w:r>
      <w:r>
        <w:rPr>
          <w:rStyle w:val="default"/>
          <w:rFonts w:cs="FrankRuehl"/>
          <w:rtl/>
        </w:rPr>
        <w:t>–</w:t>
      </w:r>
      <w:r>
        <w:rPr>
          <w:rStyle w:val="default"/>
          <w:rFonts w:cs="FrankRuehl" w:hint="cs"/>
          <w:rtl/>
        </w:rPr>
        <w:t xml:space="preserve"> כתב בי-דין כמשמעותו בתקנה 1 לתקנות סדר הדין האזרחי, התשמ"ד-1984 (להלן </w:t>
      </w:r>
      <w:r>
        <w:rPr>
          <w:rStyle w:val="default"/>
          <w:rFonts w:cs="FrankRuehl"/>
          <w:rtl/>
        </w:rPr>
        <w:t>–</w:t>
      </w:r>
      <w:r>
        <w:rPr>
          <w:rStyle w:val="default"/>
          <w:rFonts w:cs="FrankRuehl" w:hint="cs"/>
          <w:rtl/>
        </w:rPr>
        <w:t xml:space="preserve"> תקנות סדר הדין), שהוציאו בית משפט, בית דין אחר או לשכת ההוצאה לפועל, לפי הענין;</w:t>
      </w:r>
    </w:p>
    <w:p w:rsidR="00D75D41" w:rsidRDefault="00D75D41">
      <w:pPr>
        <w:pStyle w:val="P00"/>
        <w:spacing w:before="72"/>
        <w:ind w:left="0" w:right="1134"/>
        <w:rPr>
          <w:rStyle w:val="default"/>
          <w:rFonts w:cs="FrankRuehl" w:hint="cs"/>
          <w:rtl/>
        </w:rPr>
      </w:pPr>
      <w:r>
        <w:rPr>
          <w:rStyle w:val="default"/>
          <w:rFonts w:cs="FrankRuehl" w:hint="cs"/>
          <w:rtl/>
        </w:rPr>
        <w:tab/>
        <w:t xml:space="preserve">"מסמך חיצוני" </w:t>
      </w:r>
      <w:r>
        <w:rPr>
          <w:rStyle w:val="default"/>
          <w:rFonts w:cs="FrankRuehl"/>
          <w:rtl/>
        </w:rPr>
        <w:t>–</w:t>
      </w:r>
      <w:r>
        <w:rPr>
          <w:rStyle w:val="default"/>
          <w:rFonts w:cs="FrankRuehl" w:hint="cs"/>
          <w:rtl/>
        </w:rPr>
        <w:t xml:space="preserve"> כתב בי-דין שהוציאה רשות שיפוטית.</w:t>
      </w:r>
    </w:p>
    <w:p w:rsidR="00D75D41" w:rsidRDefault="00D75D41">
      <w:pPr>
        <w:pStyle w:val="P00"/>
        <w:spacing w:before="72"/>
        <w:ind w:left="0" w:right="1134"/>
        <w:rPr>
          <w:rStyle w:val="default"/>
          <w:rFonts w:cs="FrankRuehl" w:hint="cs"/>
          <w:rtl/>
        </w:rPr>
      </w:pPr>
      <w:bookmarkStart w:id="2" w:name="Seif1"/>
      <w:bookmarkEnd w:id="2"/>
      <w:r>
        <w:rPr>
          <w:lang w:val="he-IL"/>
        </w:rPr>
        <w:pict>
          <v:rect id="_x0000_s1027" style="position:absolute;left:0;text-align:left;margin-left:464.5pt;margin-top:8.05pt;width:75.05pt;height:18.1pt;z-index:251653120" o:allowincell="f" filled="f" stroked="f" strokecolor="lime" strokeweight=".25pt">
            <v:textbox style="mso-next-textbox:#_x0000_s1027" inset="0,0,0,0">
              <w:txbxContent>
                <w:p w:rsidR="00D75D41" w:rsidRDefault="00D75D41">
                  <w:pPr>
                    <w:spacing w:line="160" w:lineRule="exact"/>
                    <w:jc w:val="left"/>
                    <w:rPr>
                      <w:rFonts w:cs="Miriam" w:hint="cs"/>
                      <w:szCs w:val="18"/>
                      <w:rtl/>
                    </w:rPr>
                  </w:pPr>
                  <w:r>
                    <w:rPr>
                      <w:rFonts w:cs="Miriam" w:hint="cs"/>
                      <w:szCs w:val="18"/>
                      <w:rtl/>
                    </w:rPr>
                    <w:t>המצאת מסמך חיצוני בישראל</w:t>
                  </w:r>
                </w:p>
              </w:txbxContent>
            </v:textbox>
            <w10:anchorlock/>
          </v:rect>
        </w:pict>
      </w:r>
      <w:r>
        <w:rPr>
          <w:rStyle w:val="big-number"/>
          <w:rtl/>
        </w:rPr>
        <w:t>2</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מסמך חיצוני אשר מבקשים להמציאו בישראל, יימסר לידי הממונה, בידי מי שהסמיכה לכך המועצה הפלסטינית, בצירוף בקשה להמצאתו, אשר תפרט את זהות הנמען, מענו ומהות המסמך החיצוני המבוקש להמצאה.</w:t>
      </w:r>
    </w:p>
    <w:p w:rsidR="00D75D41" w:rsidRDefault="00D75D41">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למסמך חיצוני ולבקשה כאמור בסעיף קטן (א) יצורף תרגום לעברית, ועליו אישור של עורך דין כמשמעותו בחוק לשכת עורכי הדין, התשכ"א-1961 (להלן </w:t>
      </w:r>
      <w:r>
        <w:rPr>
          <w:rStyle w:val="default"/>
          <w:rFonts w:cs="FrankRuehl"/>
          <w:rtl/>
        </w:rPr>
        <w:t>–</w:t>
      </w:r>
      <w:r>
        <w:rPr>
          <w:rStyle w:val="default"/>
          <w:rFonts w:cs="FrankRuehl" w:hint="cs"/>
          <w:rtl/>
        </w:rPr>
        <w:t xml:space="preserve"> עורך דין ישראלי), או של עורך דין הרשום לפי חוק בשטחי המועצה הפלסטינית, שהוא תרגום נכון של המקור.</w:t>
      </w:r>
    </w:p>
    <w:p w:rsidR="00D75D41" w:rsidRDefault="00D75D41">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מסמך חיצוני, לרבות תרגומו לעברית, יימסר במספר עותקים מספיק בשביל כל נמען, וכן עותק נוסף.</w:t>
      </w:r>
    </w:p>
    <w:p w:rsidR="00D75D41" w:rsidRDefault="00D75D41">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הממונה ימציא לנמען בישראל את המסמך החיצוני האמור, לרבות תרגומו לעברית, חתום בחותם הממונה, בדואר רשום עם אישור מסירה; נתבקש הממונה להמציא מסמך חיצוני כאמור בדרך אחרת, רשאי הוא לעשות כן, ובלבד שהדבר מתיישב עם הדין החל בישראל.</w:t>
      </w:r>
    </w:p>
    <w:p w:rsidR="00D75D41" w:rsidRDefault="00D75D41">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 xml:space="preserve">בוצעה ההמצאה, יעביר הממונה את אישור המסירה או אישור אחר בדבר ביצוע ההמצאה לידי מי שהוסמך על ידי המועצה הפלסטינית כאמור בסעיף 2(א); לא בוצעה ההמצאה </w:t>
      </w:r>
      <w:r>
        <w:rPr>
          <w:rStyle w:val="default"/>
          <w:rFonts w:cs="FrankRuehl"/>
          <w:rtl/>
        </w:rPr>
        <w:t>–</w:t>
      </w:r>
      <w:r>
        <w:rPr>
          <w:rStyle w:val="default"/>
          <w:rFonts w:cs="FrankRuehl" w:hint="cs"/>
          <w:rtl/>
        </w:rPr>
        <w:t xml:space="preserve"> יחזיר לו הממונה את המסמך, בצירוף הודעה על הסיבה לאי-המסירה.</w:t>
      </w:r>
    </w:p>
    <w:p w:rsidR="00D75D41" w:rsidRDefault="00D75D41">
      <w:pPr>
        <w:pStyle w:val="P00"/>
        <w:spacing w:before="72"/>
        <w:ind w:left="0" w:right="1134"/>
        <w:rPr>
          <w:rStyle w:val="default"/>
          <w:rFonts w:cs="FrankRuehl" w:hint="cs"/>
          <w:rtl/>
        </w:rPr>
      </w:pPr>
      <w:bookmarkStart w:id="3" w:name="Seif2"/>
      <w:bookmarkEnd w:id="3"/>
      <w:r>
        <w:rPr>
          <w:lang w:val="he-IL"/>
        </w:rPr>
        <w:pict>
          <v:rect id="_x0000_s1192" style="position:absolute;left:0;text-align:left;margin-left:464.5pt;margin-top:8.05pt;width:75.05pt;height:35.8pt;z-index:251654144" o:allowincell="f" filled="f" stroked="f" strokecolor="lime" strokeweight=".25pt">
            <v:textbox style="mso-next-textbox:#_x0000_s1192" inset="0,0,0,0">
              <w:txbxContent>
                <w:p w:rsidR="00D75D41" w:rsidRDefault="00D75D41">
                  <w:pPr>
                    <w:spacing w:line="160" w:lineRule="exact"/>
                    <w:jc w:val="left"/>
                    <w:rPr>
                      <w:rFonts w:cs="Miriam" w:hint="cs"/>
                      <w:szCs w:val="18"/>
                      <w:rtl/>
                    </w:rPr>
                  </w:pPr>
                  <w:r>
                    <w:rPr>
                      <w:rFonts w:cs="Miriam" w:hint="cs"/>
                      <w:szCs w:val="18"/>
                      <w:rtl/>
                    </w:rPr>
                    <w:t>המצאת מסמכים בשטחי המועצה הפלסטינית</w:t>
                  </w:r>
                </w:p>
                <w:p w:rsidR="00D75D41" w:rsidRDefault="00D75D41">
                  <w:pPr>
                    <w:spacing w:line="160" w:lineRule="exact"/>
                    <w:jc w:val="left"/>
                    <w:rPr>
                      <w:rFonts w:cs="Miriam" w:hint="cs"/>
                      <w:szCs w:val="18"/>
                      <w:rtl/>
                    </w:rPr>
                  </w:pPr>
                  <w:r>
                    <w:rPr>
                      <w:rFonts w:cs="Miriam" w:hint="cs"/>
                      <w:szCs w:val="18"/>
                      <w:rtl/>
                    </w:rPr>
                    <w:t>צו תשס"ד-2004</w:t>
                  </w:r>
                </w:p>
              </w:txbxContent>
            </v:textbox>
            <w10:anchorlock/>
          </v:rect>
        </w:pict>
      </w:r>
      <w:r>
        <w:rPr>
          <w:rStyle w:val="big-number"/>
          <w:rFonts w:hint="cs"/>
          <w:rtl/>
        </w:rPr>
        <w:t>3</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מסמך שמבקשים להמציאו למי שנמצא בשטחי המועצה הפלסטינית, יימסר לממונה, וזה יפעל להמצאתו בשטחי המועצה הפלסטינית; המצאה כאמור תיעשה על ידי העברתו לנציג מוסמך מטעם המועצה הפלסטינית.</w:t>
      </w:r>
    </w:p>
    <w:p w:rsidR="00D75D41" w:rsidRDefault="00D75D41">
      <w:pPr>
        <w:pStyle w:val="P00"/>
        <w:spacing w:before="72"/>
        <w:ind w:left="0" w:right="1134"/>
        <w:rPr>
          <w:rStyle w:val="default"/>
          <w:rFonts w:cs="FrankRuehl" w:hint="cs"/>
          <w:rtl/>
        </w:rPr>
      </w:pPr>
      <w:r>
        <w:rPr>
          <w:rtl/>
          <w:lang w:val="he-IL"/>
        </w:rPr>
        <w:pict>
          <v:shape id="_x0000_s1309" type="#_x0000_t202" style="position:absolute;left:0;text-align:left;margin-left:470.25pt;margin-top:7.15pt;width:1in;height:11.2pt;z-index:251661312" filled="f" stroked="f">
            <v:textbox inset="1mm,0,1mm,0">
              <w:txbxContent>
                <w:p w:rsidR="00D75D41" w:rsidRDefault="00D75D41">
                  <w:pPr>
                    <w:spacing w:line="160" w:lineRule="exact"/>
                    <w:jc w:val="left"/>
                    <w:rPr>
                      <w:rFonts w:cs="Miriam" w:hint="cs"/>
                      <w:szCs w:val="18"/>
                      <w:rtl/>
                    </w:rPr>
                  </w:pPr>
                  <w:r>
                    <w:rPr>
                      <w:rFonts w:cs="Miriam" w:hint="cs"/>
                      <w:szCs w:val="18"/>
                      <w:rtl/>
                    </w:rPr>
                    <w:t>צו תשס"ד-2004</w:t>
                  </w:r>
                </w:p>
              </w:txbxContent>
            </v:textbox>
            <w10:anchorlock/>
          </v:shape>
        </w:pict>
      </w:r>
      <w:r>
        <w:rPr>
          <w:rStyle w:val="default"/>
          <w:rFonts w:cs="FrankRuehl" w:hint="cs"/>
          <w:rtl/>
        </w:rPr>
        <w:tab/>
        <w:t>(א1)</w:t>
      </w:r>
      <w:r>
        <w:rPr>
          <w:rStyle w:val="default"/>
          <w:rFonts w:cs="FrankRuehl" w:hint="cs"/>
          <w:rtl/>
        </w:rPr>
        <w:tab/>
        <w:t>ראה הממונה כי לא ניתן להמציא מסמך כאמור בסעיף קטן (א), יפעל להמצאתו לנמען באמצעות אחד מאלה:</w:t>
      </w:r>
    </w:p>
    <w:p w:rsidR="00D75D41" w:rsidRDefault="00D75D41">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מי שהוא מינה לכך, במסירה אישית;</w:t>
      </w:r>
    </w:p>
    <w:p w:rsidR="00D75D41" w:rsidRDefault="00D75D41">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משלוח בדואר רשום;</w:t>
      </w:r>
    </w:p>
    <w:p w:rsidR="00D75D41" w:rsidRDefault="00D75D41">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משלוח בפקסימיליה.</w:t>
      </w:r>
    </w:p>
    <w:p w:rsidR="00D75D41" w:rsidRDefault="00D75D41">
      <w:pPr>
        <w:pStyle w:val="P00"/>
        <w:spacing w:before="72"/>
        <w:ind w:left="0" w:right="1134"/>
        <w:rPr>
          <w:rStyle w:val="default"/>
          <w:rFonts w:cs="FrankRuehl" w:hint="cs"/>
          <w:rtl/>
        </w:rPr>
      </w:pPr>
      <w:r>
        <w:rPr>
          <w:rtl/>
          <w:lang w:val="he-IL"/>
        </w:rPr>
        <w:lastRenderedPageBreak/>
        <w:pict>
          <v:shape id="_x0000_s1311" type="#_x0000_t202" style="position:absolute;left:0;text-align:left;margin-left:470.25pt;margin-top:7.1pt;width:1in;height:11.2pt;z-index:251662336" filled="f" stroked="f">
            <v:textbox inset="1mm,0,1mm,0">
              <w:txbxContent>
                <w:p w:rsidR="00D75D41" w:rsidRDefault="00D75D41">
                  <w:pPr>
                    <w:spacing w:line="160" w:lineRule="exact"/>
                    <w:jc w:val="left"/>
                    <w:rPr>
                      <w:rFonts w:cs="Miriam" w:hint="cs"/>
                      <w:szCs w:val="18"/>
                      <w:rtl/>
                    </w:rPr>
                  </w:pPr>
                  <w:r>
                    <w:rPr>
                      <w:rFonts w:cs="Miriam" w:hint="cs"/>
                      <w:szCs w:val="18"/>
                      <w:rtl/>
                    </w:rPr>
                    <w:t>צו תשס"ד-2004</w:t>
                  </w:r>
                </w:p>
              </w:txbxContent>
            </v:textbox>
            <w10:anchorlock/>
          </v:shape>
        </w:pict>
      </w:r>
      <w:r>
        <w:rPr>
          <w:rStyle w:val="default"/>
          <w:rFonts w:cs="FrankRuehl" w:hint="cs"/>
          <w:rtl/>
        </w:rPr>
        <w:tab/>
        <w:t>(א2)</w:t>
      </w:r>
      <w:r>
        <w:rPr>
          <w:rStyle w:val="default"/>
          <w:rFonts w:cs="FrankRuehl" w:hint="cs"/>
          <w:rtl/>
        </w:rPr>
        <w:tab/>
        <w:t>ראה הממונה כי לא ניתן להמציא מסמך לנמען לפי תקנת משנה (א1), רשאי הוא להמציא את המסמך בכל דרך אחרת הנראית לו סבירה והוגנת, לרבות פרסום מודעה בעיתון השפה הערבית בעל תפוצה רחבה בשטחי המועצה הפלסטינית; החליט הממונה על המצאה בדרך של פרסום מודעה בעיתון כאמור, רשאי הוא להורות גם על הדבקת המודעה במשרדי התיאום והקישור ביהודה והשומרון או ברצועת עזה, לפי הענין.</w:t>
      </w:r>
    </w:p>
    <w:p w:rsidR="00D75D41" w:rsidRDefault="00D75D41">
      <w:pPr>
        <w:pStyle w:val="P00"/>
        <w:spacing w:before="72"/>
        <w:ind w:left="0" w:right="1134"/>
        <w:rPr>
          <w:rStyle w:val="default"/>
          <w:rFonts w:cs="FrankRuehl" w:hint="cs"/>
          <w:rtl/>
        </w:rPr>
      </w:pPr>
      <w:r>
        <w:rPr>
          <w:rtl/>
          <w:lang w:val="he-IL"/>
        </w:rPr>
        <w:pict>
          <v:shape id="_x0000_s1312" type="#_x0000_t202" style="position:absolute;left:0;text-align:left;margin-left:470.25pt;margin-top:7.1pt;width:1in;height:11.2pt;z-index:251663360" filled="f" stroked="f">
            <v:textbox inset="1mm,0,1mm,0">
              <w:txbxContent>
                <w:p w:rsidR="00D75D41" w:rsidRDefault="00D75D41">
                  <w:pPr>
                    <w:spacing w:line="160" w:lineRule="exact"/>
                    <w:jc w:val="left"/>
                    <w:rPr>
                      <w:rFonts w:cs="Miriam" w:hint="cs"/>
                      <w:szCs w:val="18"/>
                      <w:rtl/>
                    </w:rPr>
                  </w:pPr>
                  <w:r>
                    <w:rPr>
                      <w:rFonts w:cs="Miriam" w:hint="cs"/>
                      <w:szCs w:val="18"/>
                      <w:rtl/>
                    </w:rPr>
                    <w:t>צו תשס"ד-2004</w:t>
                  </w:r>
                </w:p>
              </w:txbxContent>
            </v:textbox>
            <w10:anchorlock/>
          </v:shape>
        </w:pict>
      </w:r>
      <w:r>
        <w:rPr>
          <w:rStyle w:val="default"/>
          <w:rFonts w:cs="FrankRuehl" w:hint="cs"/>
          <w:rtl/>
        </w:rPr>
        <w:tab/>
        <w:t>(א3)</w:t>
      </w:r>
      <w:r>
        <w:rPr>
          <w:rStyle w:val="default"/>
          <w:rFonts w:cs="FrankRuehl" w:hint="cs"/>
          <w:rtl/>
        </w:rPr>
        <w:tab/>
        <w:t>עלויות ההמצאה כאמור בתקנות (א1) או (א2) יחולו על מבקש ההמצאה.</w:t>
      </w:r>
    </w:p>
    <w:p w:rsidR="00D75D41" w:rsidRDefault="00D75D41">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צד המבקש להמציא מסמך כאמור יצרף לו תרגום לערבית, מאושר בידי עורך דין ישראלי.</w:t>
      </w:r>
    </w:p>
    <w:p w:rsidR="00D75D41" w:rsidRDefault="00D75D41">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על המצאת מסמך לפי סעיף זה לא יחולו הוראות סימן ה' בפרק ל"ב לתקנות סדר הדין, תקנות סדרי דין (המצאת מסמכים לשטחים המוחזקים), התש"ל-1969, או תקנות בית הדין לעבודה (המצאת מסמך בשטחים המוחזקים), התש"ל-1969.</w:t>
      </w:r>
    </w:p>
    <w:p w:rsidR="00D75D41" w:rsidRDefault="00D75D41">
      <w:pPr>
        <w:pStyle w:val="P00"/>
        <w:spacing w:before="0"/>
        <w:ind w:left="0" w:right="1134"/>
        <w:rPr>
          <w:rStyle w:val="default"/>
          <w:rFonts w:cs="FrankRuehl" w:hint="cs"/>
          <w:vanish/>
          <w:color w:val="FF0000"/>
          <w:szCs w:val="20"/>
          <w:shd w:val="clear" w:color="auto" w:fill="FFFF99"/>
          <w:rtl/>
        </w:rPr>
      </w:pPr>
      <w:bookmarkStart w:id="4" w:name="Rov4"/>
      <w:r>
        <w:rPr>
          <w:rStyle w:val="default"/>
          <w:rFonts w:cs="FrankRuehl" w:hint="cs"/>
          <w:vanish/>
          <w:color w:val="FF0000"/>
          <w:szCs w:val="20"/>
          <w:shd w:val="clear" w:color="auto" w:fill="FFFF99"/>
          <w:rtl/>
        </w:rPr>
        <w:t>מיום 30.3.2004</w:t>
      </w:r>
    </w:p>
    <w:p w:rsidR="00D75D41" w:rsidRDefault="00D75D41">
      <w:pPr>
        <w:pStyle w:val="P00"/>
        <w:spacing w:before="0"/>
        <w:ind w:left="0" w:right="1134"/>
        <w:rPr>
          <w:rStyle w:val="default"/>
          <w:rFonts w:cs="FrankRuehl" w:hint="cs"/>
          <w:vanish/>
          <w:szCs w:val="20"/>
          <w:shd w:val="clear" w:color="auto" w:fill="FFFF99"/>
          <w:rtl/>
        </w:rPr>
      </w:pPr>
      <w:r>
        <w:rPr>
          <w:rStyle w:val="default"/>
          <w:rFonts w:cs="FrankRuehl" w:hint="cs"/>
          <w:b/>
          <w:bCs/>
          <w:vanish/>
          <w:szCs w:val="20"/>
          <w:shd w:val="clear" w:color="auto" w:fill="FFFF99"/>
          <w:rtl/>
        </w:rPr>
        <w:t>צו תשס"ד-2004</w:t>
      </w:r>
    </w:p>
    <w:p w:rsidR="00D75D41" w:rsidRDefault="00D75D41">
      <w:pPr>
        <w:pStyle w:val="P00"/>
        <w:spacing w:before="0"/>
        <w:ind w:left="0" w:right="1134"/>
        <w:rPr>
          <w:rStyle w:val="default"/>
          <w:rFonts w:cs="FrankRuehl" w:hint="cs"/>
          <w:vanish/>
          <w:szCs w:val="20"/>
          <w:shd w:val="clear" w:color="auto" w:fill="FFFF99"/>
          <w:rtl/>
        </w:rPr>
      </w:pPr>
      <w:hyperlink r:id="rId7" w:history="1">
        <w:r>
          <w:rPr>
            <w:rStyle w:val="Hyperlink"/>
            <w:rFonts w:hint="cs"/>
            <w:vanish/>
            <w:szCs w:val="20"/>
            <w:shd w:val="clear" w:color="auto" w:fill="FFFF99"/>
            <w:rtl/>
          </w:rPr>
          <w:t>ק"ת תשס"ד מס' 6300</w:t>
        </w:r>
      </w:hyperlink>
      <w:r>
        <w:rPr>
          <w:rStyle w:val="default"/>
          <w:rFonts w:cs="FrankRuehl" w:hint="cs"/>
          <w:vanish/>
          <w:szCs w:val="20"/>
          <w:shd w:val="clear" w:color="auto" w:fill="FFFF99"/>
          <w:rtl/>
        </w:rPr>
        <w:t xml:space="preserve"> מיום 30.3.2004 עמ' 338</w:t>
      </w:r>
    </w:p>
    <w:p w:rsidR="00D75D41" w:rsidRDefault="00D75D41">
      <w:pPr>
        <w:pStyle w:val="P00"/>
        <w:ind w:left="0" w:right="1134"/>
        <w:rPr>
          <w:rStyle w:val="default"/>
          <w:rFonts w:cs="FrankRuehl" w:hint="cs"/>
          <w:vanish/>
          <w:sz w:val="22"/>
          <w:szCs w:val="22"/>
          <w:shd w:val="clear" w:color="auto" w:fill="FFFF99"/>
          <w:rtl/>
        </w:rPr>
      </w:pPr>
      <w:r>
        <w:rPr>
          <w:rStyle w:val="default"/>
          <w:rFonts w:cs="FrankRuehl"/>
          <w:vanish/>
          <w:sz w:val="22"/>
          <w:szCs w:val="22"/>
          <w:shd w:val="clear" w:color="auto" w:fill="FFFF99"/>
          <w:rtl/>
        </w:rPr>
        <w:tab/>
      </w:r>
      <w:r>
        <w:rPr>
          <w:rStyle w:val="default"/>
          <w:rFonts w:cs="FrankRuehl" w:hint="cs"/>
          <w:vanish/>
          <w:sz w:val="22"/>
          <w:szCs w:val="22"/>
          <w:shd w:val="clear" w:color="auto" w:fill="FFFF99"/>
          <w:rtl/>
        </w:rPr>
        <w:t>(א)</w:t>
      </w:r>
      <w:r>
        <w:rPr>
          <w:rStyle w:val="default"/>
          <w:rFonts w:cs="FrankRuehl" w:hint="cs"/>
          <w:vanish/>
          <w:sz w:val="22"/>
          <w:szCs w:val="22"/>
          <w:shd w:val="clear" w:color="auto" w:fill="FFFF99"/>
          <w:rtl/>
        </w:rPr>
        <w:tab/>
        <w:t>מסמך שמבקשים להמציאו למי שנמצא בשטחי המועצה הפלסטינית, יימסר לממונה, וזה יפעל להמצאתו בשטחי המועצה הפלסטינית</w:t>
      </w:r>
      <w:r>
        <w:rPr>
          <w:rStyle w:val="default"/>
          <w:rFonts w:cs="FrankRuehl" w:hint="cs"/>
          <w:vanish/>
          <w:sz w:val="22"/>
          <w:szCs w:val="22"/>
          <w:u w:val="single"/>
          <w:shd w:val="clear" w:color="auto" w:fill="FFFF99"/>
          <w:rtl/>
        </w:rPr>
        <w:t>; המצאה כאמור תיעשה על ידי העברתו לנציג מוסמך מטעם המועצה הפלסטינית</w:t>
      </w:r>
      <w:r>
        <w:rPr>
          <w:rStyle w:val="default"/>
          <w:rFonts w:cs="FrankRuehl" w:hint="cs"/>
          <w:vanish/>
          <w:sz w:val="22"/>
          <w:szCs w:val="22"/>
          <w:shd w:val="clear" w:color="auto" w:fill="FFFF99"/>
          <w:rtl/>
        </w:rPr>
        <w:t>.</w:t>
      </w:r>
    </w:p>
    <w:p w:rsidR="00D75D41" w:rsidRDefault="00D75D41">
      <w:pPr>
        <w:pStyle w:val="P00"/>
        <w:spacing w:before="0"/>
        <w:ind w:left="0" w:right="1134"/>
        <w:rPr>
          <w:rStyle w:val="default"/>
          <w:rFonts w:cs="FrankRuehl" w:hint="cs"/>
          <w:vanish/>
          <w:sz w:val="22"/>
          <w:szCs w:val="22"/>
          <w:u w:val="single"/>
          <w:shd w:val="clear" w:color="auto" w:fill="FFFF99"/>
          <w:rtl/>
        </w:rPr>
      </w:pPr>
      <w:r>
        <w:rPr>
          <w:rStyle w:val="default"/>
          <w:rFonts w:cs="FrankRuehl" w:hint="cs"/>
          <w:vanish/>
          <w:sz w:val="22"/>
          <w:szCs w:val="22"/>
          <w:shd w:val="clear" w:color="auto" w:fill="FFFF99"/>
          <w:rtl/>
        </w:rPr>
        <w:tab/>
      </w:r>
      <w:r>
        <w:rPr>
          <w:rStyle w:val="default"/>
          <w:rFonts w:cs="FrankRuehl" w:hint="cs"/>
          <w:vanish/>
          <w:sz w:val="22"/>
          <w:szCs w:val="22"/>
          <w:u w:val="single"/>
          <w:shd w:val="clear" w:color="auto" w:fill="FFFF99"/>
          <w:rtl/>
        </w:rPr>
        <w:t>(א1)</w:t>
      </w:r>
      <w:r>
        <w:rPr>
          <w:rStyle w:val="default"/>
          <w:rFonts w:cs="FrankRuehl" w:hint="cs"/>
          <w:vanish/>
          <w:sz w:val="22"/>
          <w:szCs w:val="22"/>
          <w:u w:val="single"/>
          <w:shd w:val="clear" w:color="auto" w:fill="FFFF99"/>
          <w:rtl/>
        </w:rPr>
        <w:tab/>
        <w:t>ראה הממונה כי לא ניתן להמציא מסמך כאמור בסעיף קטן (א), יפעל להמצאתו לנמען באמצעות אחד מאלה:</w:t>
      </w:r>
    </w:p>
    <w:p w:rsidR="00D75D41" w:rsidRDefault="00D75D41">
      <w:pPr>
        <w:pStyle w:val="P00"/>
        <w:spacing w:before="0"/>
        <w:ind w:left="1021" w:right="1134"/>
        <w:rPr>
          <w:rStyle w:val="default"/>
          <w:rFonts w:cs="FrankRuehl" w:hint="cs"/>
          <w:vanish/>
          <w:sz w:val="22"/>
          <w:szCs w:val="22"/>
          <w:u w:val="single"/>
          <w:shd w:val="clear" w:color="auto" w:fill="FFFF99"/>
          <w:rtl/>
        </w:rPr>
      </w:pPr>
      <w:r>
        <w:rPr>
          <w:rStyle w:val="default"/>
          <w:rFonts w:cs="FrankRuehl" w:hint="cs"/>
          <w:vanish/>
          <w:sz w:val="22"/>
          <w:szCs w:val="22"/>
          <w:u w:val="single"/>
          <w:shd w:val="clear" w:color="auto" w:fill="FFFF99"/>
          <w:rtl/>
        </w:rPr>
        <w:t>(1)</w:t>
      </w:r>
      <w:r>
        <w:rPr>
          <w:rStyle w:val="default"/>
          <w:rFonts w:cs="FrankRuehl" w:hint="cs"/>
          <w:vanish/>
          <w:sz w:val="22"/>
          <w:szCs w:val="22"/>
          <w:u w:val="single"/>
          <w:shd w:val="clear" w:color="auto" w:fill="FFFF99"/>
          <w:rtl/>
        </w:rPr>
        <w:tab/>
        <w:t>מי שהוא מינה לכך, במסירה אישית;</w:t>
      </w:r>
    </w:p>
    <w:p w:rsidR="00D75D41" w:rsidRDefault="00D75D41">
      <w:pPr>
        <w:pStyle w:val="P00"/>
        <w:spacing w:before="0"/>
        <w:ind w:left="1021" w:right="1134"/>
        <w:rPr>
          <w:rStyle w:val="default"/>
          <w:rFonts w:cs="FrankRuehl" w:hint="cs"/>
          <w:vanish/>
          <w:sz w:val="22"/>
          <w:szCs w:val="22"/>
          <w:u w:val="single"/>
          <w:shd w:val="clear" w:color="auto" w:fill="FFFF99"/>
          <w:rtl/>
        </w:rPr>
      </w:pPr>
      <w:r>
        <w:rPr>
          <w:rStyle w:val="default"/>
          <w:rFonts w:cs="FrankRuehl" w:hint="cs"/>
          <w:vanish/>
          <w:sz w:val="22"/>
          <w:szCs w:val="22"/>
          <w:u w:val="single"/>
          <w:shd w:val="clear" w:color="auto" w:fill="FFFF99"/>
          <w:rtl/>
        </w:rPr>
        <w:t>(2)</w:t>
      </w:r>
      <w:r>
        <w:rPr>
          <w:rStyle w:val="default"/>
          <w:rFonts w:cs="FrankRuehl" w:hint="cs"/>
          <w:vanish/>
          <w:sz w:val="22"/>
          <w:szCs w:val="22"/>
          <w:u w:val="single"/>
          <w:shd w:val="clear" w:color="auto" w:fill="FFFF99"/>
          <w:rtl/>
        </w:rPr>
        <w:tab/>
        <w:t>משלוח בדואר רשום;</w:t>
      </w:r>
    </w:p>
    <w:p w:rsidR="00D75D41" w:rsidRDefault="00D75D41">
      <w:pPr>
        <w:pStyle w:val="P00"/>
        <w:spacing w:before="0"/>
        <w:ind w:left="1021" w:right="1134"/>
        <w:rPr>
          <w:rStyle w:val="default"/>
          <w:rFonts w:cs="FrankRuehl" w:hint="cs"/>
          <w:vanish/>
          <w:sz w:val="22"/>
          <w:szCs w:val="22"/>
          <w:shd w:val="clear" w:color="auto" w:fill="FFFF99"/>
          <w:rtl/>
        </w:rPr>
      </w:pPr>
      <w:r>
        <w:rPr>
          <w:rStyle w:val="default"/>
          <w:rFonts w:cs="FrankRuehl" w:hint="cs"/>
          <w:vanish/>
          <w:sz w:val="22"/>
          <w:szCs w:val="22"/>
          <w:u w:val="single"/>
          <w:shd w:val="clear" w:color="auto" w:fill="FFFF99"/>
          <w:rtl/>
        </w:rPr>
        <w:t>(3)</w:t>
      </w:r>
      <w:r>
        <w:rPr>
          <w:rStyle w:val="default"/>
          <w:rFonts w:cs="FrankRuehl" w:hint="cs"/>
          <w:vanish/>
          <w:sz w:val="22"/>
          <w:szCs w:val="22"/>
          <w:u w:val="single"/>
          <w:shd w:val="clear" w:color="auto" w:fill="FFFF99"/>
          <w:rtl/>
        </w:rPr>
        <w:tab/>
        <w:t>משלוח בפקסימיליה.</w:t>
      </w:r>
    </w:p>
    <w:p w:rsidR="00D75D41" w:rsidRDefault="00D75D41">
      <w:pPr>
        <w:pStyle w:val="P00"/>
        <w:spacing w:before="0"/>
        <w:ind w:left="0" w:right="1134"/>
        <w:rPr>
          <w:rStyle w:val="default"/>
          <w:rFonts w:cs="FrankRuehl" w:hint="cs"/>
          <w:vanish/>
          <w:sz w:val="22"/>
          <w:szCs w:val="22"/>
          <w:u w:val="single"/>
          <w:shd w:val="clear" w:color="auto" w:fill="FFFF99"/>
          <w:rtl/>
        </w:rPr>
      </w:pPr>
      <w:r>
        <w:rPr>
          <w:rStyle w:val="default"/>
          <w:rFonts w:cs="FrankRuehl" w:hint="cs"/>
          <w:vanish/>
          <w:sz w:val="22"/>
          <w:szCs w:val="22"/>
          <w:shd w:val="clear" w:color="auto" w:fill="FFFF99"/>
          <w:rtl/>
        </w:rPr>
        <w:tab/>
      </w:r>
      <w:r>
        <w:rPr>
          <w:rStyle w:val="default"/>
          <w:rFonts w:cs="FrankRuehl" w:hint="cs"/>
          <w:vanish/>
          <w:sz w:val="22"/>
          <w:szCs w:val="22"/>
          <w:u w:val="single"/>
          <w:shd w:val="clear" w:color="auto" w:fill="FFFF99"/>
          <w:rtl/>
        </w:rPr>
        <w:t>(א2)</w:t>
      </w:r>
      <w:r>
        <w:rPr>
          <w:rStyle w:val="default"/>
          <w:rFonts w:cs="FrankRuehl" w:hint="cs"/>
          <w:vanish/>
          <w:sz w:val="22"/>
          <w:szCs w:val="22"/>
          <w:u w:val="single"/>
          <w:shd w:val="clear" w:color="auto" w:fill="FFFF99"/>
          <w:rtl/>
        </w:rPr>
        <w:tab/>
        <w:t>ראה הממונה כי לא ניתן להמציא מסמך לנמען לפי תקנת משנה (א1), רשאי הוא להמציא את המסמך בכל דרך אחרת הנראית לו סבירה והוגנת, לרבות פרסום מודעה בעיתון השפה הערבית בעל תפוצה רחבה בשטחי המועצה הפלסטינית; החליט הממונה על המצאה בדרך של פרסום מודעה בעיתון כאמור, רשאי הוא להורות גם על הדבקת המודעה במשרדי התיאום והקישור ביהודה והשומרון או ברצועת עזה, לפי הענין.</w:t>
      </w:r>
    </w:p>
    <w:p w:rsidR="00D75D41" w:rsidRDefault="00D75D41">
      <w:pPr>
        <w:pStyle w:val="P00"/>
        <w:spacing w:before="0"/>
        <w:ind w:left="0" w:right="1134"/>
        <w:rPr>
          <w:rStyle w:val="default"/>
          <w:rFonts w:cs="FrankRuehl" w:hint="cs"/>
          <w:sz w:val="2"/>
          <w:szCs w:val="2"/>
          <w:u w:val="single"/>
          <w:rtl/>
        </w:rPr>
      </w:pPr>
      <w:r>
        <w:rPr>
          <w:rStyle w:val="default"/>
          <w:rFonts w:cs="FrankRuehl" w:hint="cs"/>
          <w:vanish/>
          <w:sz w:val="22"/>
          <w:szCs w:val="22"/>
          <w:shd w:val="clear" w:color="auto" w:fill="FFFF99"/>
          <w:rtl/>
        </w:rPr>
        <w:tab/>
      </w:r>
      <w:r>
        <w:rPr>
          <w:rStyle w:val="default"/>
          <w:rFonts w:cs="FrankRuehl" w:hint="cs"/>
          <w:vanish/>
          <w:sz w:val="22"/>
          <w:szCs w:val="22"/>
          <w:u w:val="single"/>
          <w:shd w:val="clear" w:color="auto" w:fill="FFFF99"/>
          <w:rtl/>
        </w:rPr>
        <w:t>(א3)</w:t>
      </w:r>
      <w:r>
        <w:rPr>
          <w:rStyle w:val="default"/>
          <w:rFonts w:cs="FrankRuehl" w:hint="cs"/>
          <w:vanish/>
          <w:sz w:val="22"/>
          <w:szCs w:val="22"/>
          <w:u w:val="single"/>
          <w:shd w:val="clear" w:color="auto" w:fill="FFFF99"/>
          <w:rtl/>
        </w:rPr>
        <w:tab/>
        <w:t>עלויות ההמצאה כאמור בתקנות (א1) או (א2) יחולו על מבקש ההמצאה.</w:t>
      </w:r>
      <w:bookmarkEnd w:id="4"/>
    </w:p>
    <w:p w:rsidR="00D75D41" w:rsidRDefault="00D75D41">
      <w:pPr>
        <w:pStyle w:val="P00"/>
        <w:spacing w:before="72"/>
        <w:ind w:left="0" w:right="1134"/>
        <w:rPr>
          <w:rStyle w:val="default"/>
          <w:rFonts w:cs="FrankRuehl" w:hint="cs"/>
          <w:rtl/>
        </w:rPr>
      </w:pPr>
      <w:bookmarkStart w:id="5" w:name="Seif3"/>
      <w:bookmarkEnd w:id="5"/>
      <w:r>
        <w:rPr>
          <w:lang w:val="he-IL"/>
        </w:rPr>
        <w:pict>
          <v:rect id="_x0000_s1193" style="position:absolute;left:0;text-align:left;margin-left:464.5pt;margin-top:8.05pt;width:75.05pt;height:12.65pt;z-index:251655168" o:allowincell="f" filled="f" stroked="f" strokecolor="lime" strokeweight=".25pt">
            <v:textbox style="mso-next-textbox:#_x0000_s1193" inset="0,0,0,0">
              <w:txbxContent>
                <w:p w:rsidR="00D75D41" w:rsidRDefault="00D75D41">
                  <w:pPr>
                    <w:spacing w:line="160" w:lineRule="exact"/>
                    <w:jc w:val="left"/>
                    <w:rPr>
                      <w:rFonts w:cs="Miriam" w:hint="cs"/>
                      <w:szCs w:val="18"/>
                      <w:rtl/>
                    </w:rPr>
                  </w:pPr>
                  <w:r>
                    <w:rPr>
                      <w:rFonts w:cs="Miriam" w:hint="cs"/>
                      <w:szCs w:val="18"/>
                      <w:rtl/>
                    </w:rPr>
                    <w:t>גביית עדות בישראל</w:t>
                  </w:r>
                </w:p>
              </w:txbxContent>
            </v:textbox>
            <w10:anchorlock/>
          </v:rect>
        </w:pict>
      </w:r>
      <w:r>
        <w:rPr>
          <w:rStyle w:val="big-number"/>
          <w:rFonts w:hint="cs"/>
          <w:rtl/>
        </w:rPr>
        <w:t>4</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 xml:space="preserve">מי שהוסמך לכך בידי המועצה הפלסטינית רשאי להעביר לממונה בקשה, על פי החלטת רשות שיפוטית, לגביה בישראל של עדות או להצגת מסמכים, לצורכי הליכים אזרחיים המתנהלים בפניה (להלן </w:t>
      </w:r>
      <w:r>
        <w:rPr>
          <w:rStyle w:val="default"/>
          <w:rFonts w:cs="FrankRuehl"/>
          <w:rtl/>
        </w:rPr>
        <w:t>–</w:t>
      </w:r>
      <w:r>
        <w:rPr>
          <w:rStyle w:val="default"/>
          <w:rFonts w:cs="FrankRuehl" w:hint="cs"/>
          <w:rtl/>
        </w:rPr>
        <w:t xml:space="preserve"> הבקשה); לבקשה יצורפו ההחלטה, וכן תרגום הבקשה וההחלטה לעברית, ועליהם אישור כאמור בסעיף 2(ב).</w:t>
      </w:r>
    </w:p>
    <w:p w:rsidR="00D75D41" w:rsidRDefault="00D75D41">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בבקשה יפורטו פרטים אלה:</w:t>
      </w:r>
    </w:p>
    <w:p w:rsidR="00D75D41" w:rsidRDefault="00D75D41">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מהות ההליך שלצרכיו נדרשת גביית העדות או הצגת המסמכים, וסיכום העובדות;</w:t>
      </w:r>
    </w:p>
    <w:p w:rsidR="00D75D41" w:rsidRDefault="00D75D41">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שמותיהם ומעניהם של בעלי הדין ובאי כוחם;</w:t>
      </w:r>
    </w:p>
    <w:p w:rsidR="00D75D41" w:rsidRDefault="00D75D41">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העדות שיש לגבותה או המסמך שהצגתו מתבקשת;</w:t>
      </w:r>
    </w:p>
    <w:p w:rsidR="00D75D41" w:rsidRDefault="00D75D41">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שמו ומענו של העד;</w:t>
      </w:r>
    </w:p>
    <w:p w:rsidR="00D75D41" w:rsidRDefault="00D75D41">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שאלות שיש להציג לעד או תיאור הנושא שעל אודותיו יש לחקרו;</w:t>
      </w:r>
    </w:p>
    <w:p w:rsidR="00D75D41" w:rsidRDefault="00D75D41">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דרך מיוחדת לביצוע הבקשה.</w:t>
      </w:r>
    </w:p>
    <w:p w:rsidR="00D75D41" w:rsidRDefault="00D75D41">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הממונה יעביר את הבקשה למנהל בתי המשפט או לבית משפט מוסמך בישראל על פי הנחיות מנהל בתי המשפט.</w:t>
      </w:r>
    </w:p>
    <w:p w:rsidR="00D75D41" w:rsidRDefault="00D75D41">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ביצוע הבקשה ייעשה בידי בית משפט בכפוף להוראות כל דין החל בישראל לגבי גביית עדות או הצגת מסמכים.</w:t>
      </w:r>
    </w:p>
    <w:p w:rsidR="00D75D41" w:rsidRDefault="00D75D41">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בית משפט רשאי, לפי האמור בבקשה, לצוות כי גביית העדות או הצגת מסמכים ייעשו שלא בדרך שבה היו נעשות במשפט המתברר לפניו.</w:t>
      </w:r>
    </w:p>
    <w:p w:rsidR="00D75D41" w:rsidRDefault="00D75D41">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t>בית משפט רשאי לצוות שהעדות תיגבה בפניו או בפני הרשם, או בתנאים ובסייגים, שיראה לנכון לקבוע, בפני אדם אחר שפורש בצו והסכים לגבות את העדות.</w:t>
      </w:r>
    </w:p>
    <w:p w:rsidR="00D75D41" w:rsidRDefault="00D75D41">
      <w:pPr>
        <w:pStyle w:val="P00"/>
        <w:spacing w:before="72"/>
        <w:ind w:left="0" w:right="1134"/>
        <w:rPr>
          <w:rStyle w:val="default"/>
          <w:rFonts w:cs="FrankRuehl" w:hint="cs"/>
          <w:rtl/>
        </w:rPr>
      </w:pPr>
      <w:r>
        <w:rPr>
          <w:rStyle w:val="default"/>
          <w:rFonts w:cs="FrankRuehl" w:hint="cs"/>
          <w:rtl/>
        </w:rPr>
        <w:tab/>
        <w:t>(ז)</w:t>
      </w:r>
      <w:r>
        <w:rPr>
          <w:rStyle w:val="default"/>
          <w:rFonts w:cs="FrankRuehl" w:hint="cs"/>
          <w:rtl/>
        </w:rPr>
        <w:tab/>
        <w:t xml:space="preserve"> בעל דין, שלפי בקשתו החליט בית משפט שיש לבצע בקשה, יפקיד בקופת בית המשפט ערבון או ערובה סבירה אחרת, כפי שיקבע הרשם, להבטחת ההוצאות שייגרמו בשל הבקשה; לא תבוצע בקשה לפי סעיף זה, אלא אם כן הופקדו העירבון או הערובה.</w:t>
      </w:r>
    </w:p>
    <w:p w:rsidR="00D75D41" w:rsidRDefault="00D75D41">
      <w:pPr>
        <w:pStyle w:val="P00"/>
        <w:spacing w:before="72"/>
        <w:ind w:left="0" w:right="1134"/>
        <w:rPr>
          <w:rStyle w:val="default"/>
          <w:rFonts w:cs="FrankRuehl" w:hint="cs"/>
          <w:rtl/>
        </w:rPr>
      </w:pPr>
      <w:r>
        <w:rPr>
          <w:rStyle w:val="default"/>
          <w:rFonts w:cs="FrankRuehl" w:hint="cs"/>
          <w:rtl/>
        </w:rPr>
        <w:tab/>
        <w:t>(ח)</w:t>
      </w:r>
      <w:r>
        <w:rPr>
          <w:rStyle w:val="default"/>
          <w:rFonts w:cs="FrankRuehl" w:hint="cs"/>
          <w:rtl/>
        </w:rPr>
        <w:tab/>
        <w:t>בית המשפט רשאי, מטעמים מיוחדים שיירשמו, להתיר שחקירת עד תיעשה בידי מי שהוא עורך דין רשום לפי חוק בשטחי המועצה הפלסטינית.</w:t>
      </w:r>
    </w:p>
    <w:p w:rsidR="00D75D41" w:rsidRDefault="00D75D41">
      <w:pPr>
        <w:pStyle w:val="P00"/>
        <w:spacing w:before="72"/>
        <w:ind w:left="0" w:right="1134"/>
        <w:rPr>
          <w:rStyle w:val="default"/>
          <w:rFonts w:cs="FrankRuehl" w:hint="cs"/>
          <w:rtl/>
        </w:rPr>
      </w:pPr>
      <w:r>
        <w:rPr>
          <w:rStyle w:val="default"/>
          <w:rFonts w:cs="FrankRuehl" w:hint="cs"/>
          <w:rtl/>
        </w:rPr>
        <w:tab/>
        <w:t>(ט)</w:t>
      </w:r>
      <w:r>
        <w:rPr>
          <w:rStyle w:val="default"/>
          <w:rFonts w:cs="FrankRuehl" w:hint="cs"/>
          <w:rtl/>
        </w:rPr>
        <w:tab/>
        <w:t>בית המשפט יעביר לממונה ולהנהלת בתי המשפט את פרוטוקול הדיון לפניו ואת המסמכים המצורפים לו, לשם העברתם למועצה.</w:t>
      </w:r>
    </w:p>
    <w:p w:rsidR="00D75D41" w:rsidRDefault="00D75D41">
      <w:pPr>
        <w:pStyle w:val="P00"/>
        <w:spacing w:before="72"/>
        <w:ind w:left="0" w:right="1134"/>
        <w:rPr>
          <w:rStyle w:val="default"/>
          <w:rFonts w:cs="FrankRuehl" w:hint="cs"/>
          <w:rtl/>
        </w:rPr>
      </w:pPr>
      <w:bookmarkStart w:id="6" w:name="Seif4"/>
      <w:bookmarkEnd w:id="6"/>
      <w:r>
        <w:rPr>
          <w:lang w:val="he-IL"/>
        </w:rPr>
        <w:pict>
          <v:rect id="_x0000_s1300" style="position:absolute;left:0;text-align:left;margin-left:464.5pt;margin-top:8.05pt;width:75.05pt;height:23.1pt;z-index:251656192" o:allowincell="f" filled="f" stroked="f" strokecolor="lime" strokeweight=".25pt">
            <v:textbox style="mso-next-textbox:#_x0000_s1300" inset="0,0,0,0">
              <w:txbxContent>
                <w:p w:rsidR="00D75D41" w:rsidRDefault="00D75D41">
                  <w:pPr>
                    <w:spacing w:line="160" w:lineRule="exact"/>
                    <w:jc w:val="left"/>
                    <w:rPr>
                      <w:rFonts w:cs="Miriam" w:hint="cs"/>
                      <w:szCs w:val="18"/>
                      <w:rtl/>
                    </w:rPr>
                  </w:pPr>
                  <w:r>
                    <w:rPr>
                      <w:rFonts w:cs="Miriam" w:hint="cs"/>
                      <w:szCs w:val="18"/>
                      <w:rtl/>
                    </w:rPr>
                    <w:t>גביית עדות בשטחי המועצה הפלסטינית</w:t>
                  </w:r>
                </w:p>
              </w:txbxContent>
            </v:textbox>
            <w10:anchorlock/>
          </v:rect>
        </w:pict>
      </w:r>
      <w:r>
        <w:rPr>
          <w:rStyle w:val="big-number"/>
          <w:rFonts w:hint="cs"/>
          <w:rtl/>
        </w:rPr>
        <w:t>5</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נתן בית משפט החלטה לפי סעיף 13 לפקודת הראיות [נוסח חדש], התשל"א-1971, בדבר גביית עדות מאדם הנמצא בשטחי המועצה הפלסטינית, יעביר הצד אשר ביקש את גביית העדות האמורה, לממונה, בקשה לגביית העדות, בצירוף החלטת בית המשפט ותרגומה לערבית בידי עורך דין ישראלי.</w:t>
      </w:r>
    </w:p>
    <w:p w:rsidR="00D75D41" w:rsidRDefault="00D75D41">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הממונה יעביר למועצה בקשה לגביית העדות בשטחי המועצה הפלסטינית, על פי החלטת בית המשפט, בצירוף ההחלטה ותרגומה לערבית.</w:t>
      </w:r>
    </w:p>
    <w:p w:rsidR="00D75D41" w:rsidRDefault="00D75D41">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קיבל הממונה מהמועצה הפלסטינית את פרוטוקול הדיון ואת המסמכים המצורפים לו, יעבירם לבית המשפט ולידי הצד שביקש את גביית העדות.</w:t>
      </w:r>
    </w:p>
    <w:p w:rsidR="00D75D41" w:rsidRDefault="00D75D41">
      <w:pPr>
        <w:pStyle w:val="P00"/>
        <w:spacing w:before="72"/>
        <w:ind w:left="0" w:right="1134"/>
        <w:rPr>
          <w:rStyle w:val="default"/>
          <w:rFonts w:cs="FrankRuehl" w:hint="cs"/>
          <w:rtl/>
        </w:rPr>
      </w:pPr>
      <w:bookmarkStart w:id="7" w:name="Seif5"/>
      <w:bookmarkEnd w:id="7"/>
      <w:r>
        <w:rPr>
          <w:lang w:val="he-IL"/>
        </w:rPr>
        <w:pict>
          <v:rect id="_x0000_s1301" style="position:absolute;left:0;text-align:left;margin-left:464.5pt;margin-top:8.05pt;width:75.05pt;height:16.95pt;z-index:251657216" o:allowincell="f" filled="f" stroked="f" strokecolor="lime" strokeweight=".25pt">
            <v:textbox style="mso-next-textbox:#_x0000_s1301" inset="0,0,0,0">
              <w:txbxContent>
                <w:p w:rsidR="00D75D41" w:rsidRDefault="00D75D41">
                  <w:pPr>
                    <w:spacing w:line="160" w:lineRule="exact"/>
                    <w:jc w:val="left"/>
                    <w:rPr>
                      <w:rFonts w:cs="Miriam" w:hint="cs"/>
                      <w:szCs w:val="18"/>
                      <w:rtl/>
                    </w:rPr>
                  </w:pPr>
                  <w:r>
                    <w:rPr>
                      <w:rFonts w:cs="Miriam" w:hint="cs"/>
                      <w:szCs w:val="18"/>
                      <w:rtl/>
                    </w:rPr>
                    <w:t>אכיפה וביצוע של פסקי דין בישראל</w:t>
                  </w:r>
                </w:p>
              </w:txbxContent>
            </v:textbox>
            <w10:anchorlock/>
          </v:rect>
        </w:pict>
      </w:r>
      <w:r>
        <w:rPr>
          <w:rStyle w:val="big-number"/>
          <w:rFonts w:hint="cs"/>
          <w:rtl/>
        </w:rPr>
        <w:t>6</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 xml:space="preserve">פסק דין חלוט של רשות שיפוטית, למעט לשכת הוצאה לפועל (להלן </w:t>
      </w:r>
      <w:r>
        <w:rPr>
          <w:rStyle w:val="default"/>
          <w:rFonts w:cs="FrankRuehl"/>
          <w:rtl/>
        </w:rPr>
        <w:t>–</w:t>
      </w:r>
      <w:r>
        <w:rPr>
          <w:rStyle w:val="default"/>
          <w:rFonts w:cs="FrankRuehl" w:hint="cs"/>
          <w:rtl/>
        </w:rPr>
        <w:t xml:space="preserve"> פסק דין) ניתן להוצאה לפועל בישראל כאילו היה פסק דין שניתן בישראל, בכפוף לאמור בצו זה ובשינויים המחויבים לפי הענין.</w:t>
      </w:r>
    </w:p>
    <w:p w:rsidR="00D75D41" w:rsidRDefault="00D75D41">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המבקש לבצע בישראל פסק דין (להלן </w:t>
      </w:r>
      <w:r>
        <w:rPr>
          <w:rStyle w:val="default"/>
          <w:rFonts w:cs="FrankRuehl"/>
          <w:rtl/>
        </w:rPr>
        <w:t>–</w:t>
      </w:r>
      <w:r>
        <w:rPr>
          <w:rStyle w:val="default"/>
          <w:rFonts w:cs="FrankRuehl" w:hint="cs"/>
          <w:rtl/>
        </w:rPr>
        <w:t xml:space="preserve"> הזוכה), יגיש לממונה בקשה לכך, ויצרך אליה עותק מפסק הדין, ועליו אישור של הרשות השיפוטית ושל מי שהסמיכה המועצה הפלסטינית לאשר כי פסק הדין ניתן בידי רשות שיפוטית; לעותק פסק הדין יצורף תרגום לעברית כאמור בסעיף 2(ב).</w:t>
      </w:r>
    </w:p>
    <w:p w:rsidR="00D75D41" w:rsidRDefault="00D75D41">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ראה הממונה, כי נתקיימו התנאים האמורים בסעיף קטן (ב), יאשר זאת בחותמו, ומסור את פסק הדין המאושר לזוכה.</w:t>
      </w:r>
    </w:p>
    <w:p w:rsidR="00D75D41" w:rsidRDefault="00D75D41">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הזוכה רשאי להגיש ללשכת ההוצאה לפועל את פסק הדין ואת תרגומו לעברית, ועליהם אישור כאמור של הממונה, וזאת בדרך שמגישים פסק דין לביצוע בישראל.</w:t>
      </w:r>
    </w:p>
    <w:p w:rsidR="00D75D41" w:rsidRDefault="00D75D41">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לא יבוצע פסק דין, אם יוכח לראש ההוצאה לפועל, כי פסק הדין ניתן בחוסר סמכות על פי הדין החל בשטחי המועצה הפלסטינית.</w:t>
      </w:r>
    </w:p>
    <w:p w:rsidR="00D75D41" w:rsidRDefault="00D75D41">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t xml:space="preserve">סבר ראש ההוצאה לפועל או נטען לפניו, כי על ביצוע פסק הדין עלולה לחול הוראת תקנה 13(א) לתקנות, לרבות מהטעם שפסק הדין ניתן בניגוד לסעיף </w:t>
      </w:r>
      <w:r>
        <w:rPr>
          <w:rStyle w:val="default"/>
          <w:rFonts w:cs="FrankRuehl"/>
        </w:rPr>
        <w:t>III</w:t>
      </w:r>
      <w:r>
        <w:rPr>
          <w:rStyle w:val="default"/>
          <w:rFonts w:cs="FrankRuehl" w:hint="cs"/>
          <w:rtl/>
        </w:rPr>
        <w:t xml:space="preserve"> לנספח </w:t>
      </w:r>
      <w:r>
        <w:rPr>
          <w:rStyle w:val="default"/>
          <w:rFonts w:cs="FrankRuehl"/>
        </w:rPr>
        <w:t>IV</w:t>
      </w:r>
      <w:r>
        <w:rPr>
          <w:rStyle w:val="default"/>
          <w:rFonts w:cs="FrankRuehl" w:hint="cs"/>
          <w:rtl/>
        </w:rPr>
        <w:t xml:space="preserve"> להסכם, או שהמצאת מסמך בישראל במסגרת ההליך שבו ניתן פסק הדין נעשתה בניגוד לצו זה, יעכב את הליכי ההוצאה לפועל ויודיע על כך ליועץ המשפטי לממשלה לשם קבלת החלטתו.</w:t>
      </w:r>
    </w:p>
    <w:p w:rsidR="00D75D41" w:rsidRDefault="00D75D41">
      <w:pPr>
        <w:pStyle w:val="P00"/>
        <w:spacing w:before="72"/>
        <w:ind w:left="0" w:right="1134"/>
        <w:rPr>
          <w:rStyle w:val="default"/>
          <w:rFonts w:cs="FrankRuehl" w:hint="cs"/>
          <w:rtl/>
        </w:rPr>
      </w:pPr>
      <w:r>
        <w:rPr>
          <w:rStyle w:val="default"/>
          <w:rFonts w:cs="FrankRuehl" w:hint="cs"/>
          <w:rtl/>
        </w:rPr>
        <w:tab/>
        <w:t>(ז)</w:t>
      </w:r>
      <w:r>
        <w:rPr>
          <w:rStyle w:val="default"/>
          <w:rFonts w:cs="FrankRuehl" w:hint="cs"/>
          <w:rtl/>
        </w:rPr>
        <w:tab/>
        <w:t xml:space="preserve">היועץ המשפטי לממשלה יודיע את החלטתו לראש ההוצאה לפועל בתוך ארבעים וחמישה ימים מהיום שבו הגיעה אליו ההודעה; הודיע היועץ המשפטי לממשלה כי אין לו התנגדות לביצוע פסק הדין </w:t>
      </w:r>
      <w:r>
        <w:rPr>
          <w:rStyle w:val="default"/>
          <w:rFonts w:cs="FrankRuehl"/>
          <w:rtl/>
        </w:rPr>
        <w:t>–</w:t>
      </w:r>
      <w:r>
        <w:rPr>
          <w:rStyle w:val="default"/>
          <w:rFonts w:cs="FrankRuehl" w:hint="cs"/>
          <w:rtl/>
        </w:rPr>
        <w:t xml:space="preserve"> יימשכו הליכי ההוצאה לפועל; הודיע היועץ המשפטי לממשלה שאין לבצע את פסק הדין </w:t>
      </w:r>
      <w:r>
        <w:rPr>
          <w:rStyle w:val="default"/>
          <w:rFonts w:cs="FrankRuehl"/>
          <w:rtl/>
        </w:rPr>
        <w:t>–</w:t>
      </w:r>
      <w:r>
        <w:rPr>
          <w:rStyle w:val="default"/>
          <w:rFonts w:cs="FrankRuehl" w:hint="cs"/>
          <w:rtl/>
        </w:rPr>
        <w:t xml:space="preserve"> יורה ראש ההוצאה לפועל על ביצוע הליכי ההוצאה לפועל, והודעה על כך תימסר לממונה; הממונה יעביר את החלטות היועץ המשפטי לממשלה וראש ההוצאה לפועל למועצה הפלסטינית.</w:t>
      </w:r>
    </w:p>
    <w:p w:rsidR="00D75D41" w:rsidRDefault="00D75D41">
      <w:pPr>
        <w:pStyle w:val="P00"/>
        <w:spacing w:before="72"/>
        <w:ind w:left="0" w:right="1134"/>
        <w:rPr>
          <w:rStyle w:val="default"/>
          <w:rFonts w:cs="FrankRuehl" w:hint="cs"/>
          <w:rtl/>
        </w:rPr>
      </w:pPr>
      <w:bookmarkStart w:id="8" w:name="Seif6"/>
      <w:bookmarkEnd w:id="8"/>
      <w:r>
        <w:rPr>
          <w:lang w:val="he-IL"/>
        </w:rPr>
        <w:pict>
          <v:rect id="_x0000_s1302" style="position:absolute;left:0;text-align:left;margin-left:464.5pt;margin-top:8.05pt;width:75.05pt;height:16.6pt;z-index:251658240" o:allowincell="f" filled="f" stroked="f" strokecolor="lime" strokeweight=".25pt">
            <v:textbox style="mso-next-textbox:#_x0000_s1302" inset="0,0,0,0">
              <w:txbxContent>
                <w:p w:rsidR="00D75D41" w:rsidRDefault="00D75D41">
                  <w:pPr>
                    <w:spacing w:line="160" w:lineRule="exact"/>
                    <w:jc w:val="left"/>
                    <w:rPr>
                      <w:rFonts w:cs="Miriam" w:hint="cs"/>
                      <w:szCs w:val="18"/>
                      <w:rtl/>
                    </w:rPr>
                  </w:pPr>
                  <w:r>
                    <w:rPr>
                      <w:rFonts w:cs="Miriam" w:hint="cs"/>
                      <w:szCs w:val="18"/>
                      <w:rtl/>
                    </w:rPr>
                    <w:t>סייגים לעזרה משפטית</w:t>
                  </w:r>
                </w:p>
              </w:txbxContent>
            </v:textbox>
            <w10:anchorlock/>
          </v:rect>
        </w:pict>
      </w:r>
      <w:r>
        <w:rPr>
          <w:rStyle w:val="big-number"/>
          <w:rFonts w:hint="cs"/>
          <w:rtl/>
        </w:rPr>
        <w:t>7</w:t>
      </w:r>
      <w:r>
        <w:rPr>
          <w:rStyle w:val="default"/>
          <w:rFonts w:cs="FrankRuehl"/>
          <w:rtl/>
        </w:rPr>
        <w:t>.</w:t>
      </w:r>
      <w:r>
        <w:rPr>
          <w:rStyle w:val="default"/>
          <w:rFonts w:cs="FrankRuehl"/>
          <w:rtl/>
        </w:rPr>
        <w:tab/>
      </w:r>
      <w:r>
        <w:rPr>
          <w:rStyle w:val="default"/>
          <w:rFonts w:cs="FrankRuehl" w:hint="cs"/>
          <w:rtl/>
        </w:rPr>
        <w:t xml:space="preserve">בלי לגרוע מן האמור בצו זה </w:t>
      </w:r>
      <w:r>
        <w:rPr>
          <w:rStyle w:val="default"/>
          <w:rFonts w:cs="FrankRuehl"/>
          <w:rtl/>
        </w:rPr>
        <w:t>–</w:t>
      </w:r>
    </w:p>
    <w:p w:rsidR="00D75D41" w:rsidRDefault="00D75D41">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סבר הממונה, כי לגבי בקשה לעזרה משפטית לפי התקנות או לפי צו זה לא נתקיימו ההוראות בהסכם הנוגעים לענין, רשאי הוא לסרב לבקשה;</w:t>
      </w:r>
    </w:p>
    <w:p w:rsidR="00D75D41" w:rsidRDefault="00D75D41">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 xml:space="preserve">סבר הממונה, כי לגבי בקשה לעזרה משפטית לפי התקנות או לפי צו זה עלולה לחול תקנה 13(א) או (ד) לתקנות </w:t>
      </w:r>
      <w:r>
        <w:rPr>
          <w:rStyle w:val="default"/>
          <w:rFonts w:cs="FrankRuehl"/>
          <w:rtl/>
        </w:rPr>
        <w:t>–</w:t>
      </w:r>
      <w:r>
        <w:rPr>
          <w:rStyle w:val="default"/>
          <w:rFonts w:cs="FrankRuehl" w:hint="cs"/>
          <w:rtl/>
        </w:rPr>
        <w:t xml:space="preserve"> יעביר את הבקשה ליועץ המשפטי לממשלה או לשר המשפטים, לפי המתאים.</w:t>
      </w:r>
    </w:p>
    <w:p w:rsidR="00D75D41" w:rsidRDefault="00D75D41">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 xml:space="preserve">לא יזומן אדם לעשות או לדיון או לכל פעולה אחרת לפי התקנות או לפי צו זה בימי שבת ומועד </w:t>
      </w:r>
      <w:r>
        <w:rPr>
          <w:rStyle w:val="default"/>
          <w:rFonts w:cs="FrankRuehl"/>
          <w:rtl/>
        </w:rPr>
        <w:t>–</w:t>
      </w:r>
      <w:r>
        <w:rPr>
          <w:rStyle w:val="default"/>
          <w:rFonts w:cs="FrankRuehl" w:hint="cs"/>
          <w:rtl/>
        </w:rPr>
        <w:t xml:space="preserve"> איש לפי ימי שבתו ומועדי דתו.</w:t>
      </w:r>
    </w:p>
    <w:p w:rsidR="00D75D41" w:rsidRDefault="00D75D41">
      <w:pPr>
        <w:pStyle w:val="P00"/>
        <w:spacing w:before="72"/>
        <w:ind w:left="0" w:right="1134"/>
        <w:rPr>
          <w:rStyle w:val="default"/>
          <w:rFonts w:cs="FrankRuehl" w:hint="cs"/>
          <w:rtl/>
        </w:rPr>
      </w:pPr>
      <w:bookmarkStart w:id="9" w:name="Seif7"/>
      <w:bookmarkEnd w:id="9"/>
      <w:r>
        <w:rPr>
          <w:lang w:val="he-IL"/>
        </w:rPr>
        <w:pict>
          <v:rect id="_x0000_s1303" style="position:absolute;left:0;text-align:left;margin-left:464.5pt;margin-top:8.05pt;width:75.05pt;height:12.65pt;z-index:251659264" o:allowincell="f" filled="f" stroked="f" strokecolor="lime" strokeweight=".25pt">
            <v:textbox style="mso-next-textbox:#_x0000_s1303" inset="0,0,0,0">
              <w:txbxContent>
                <w:p w:rsidR="00D75D41" w:rsidRDefault="00D75D41">
                  <w:pPr>
                    <w:spacing w:line="160" w:lineRule="exact"/>
                    <w:jc w:val="left"/>
                    <w:rPr>
                      <w:rFonts w:cs="Miriam" w:hint="cs"/>
                      <w:szCs w:val="18"/>
                      <w:rtl/>
                    </w:rPr>
                  </w:pPr>
                  <w:r>
                    <w:rPr>
                      <w:rFonts w:cs="Miriam" w:hint="cs"/>
                      <w:szCs w:val="18"/>
                      <w:rtl/>
                    </w:rPr>
                    <w:t>תעודה ציבורית</w:t>
                  </w:r>
                </w:p>
              </w:txbxContent>
            </v:textbox>
            <w10:anchorlock/>
          </v:rect>
        </w:pict>
      </w:r>
      <w:r>
        <w:rPr>
          <w:rStyle w:val="big-number"/>
          <w:rFonts w:hint="cs"/>
          <w:rtl/>
        </w:rPr>
        <w:t>8</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 xml:space="preserve">תעודה וכל מסמך רשמי אחר שהוציאה רשות מוסמכת בשטחי המועצה הפלסטינית (להלן בסעיף זה </w:t>
      </w:r>
      <w:r>
        <w:rPr>
          <w:rStyle w:val="default"/>
          <w:rFonts w:cs="FrankRuehl"/>
          <w:rtl/>
        </w:rPr>
        <w:t>–</w:t>
      </w:r>
      <w:r>
        <w:rPr>
          <w:rStyle w:val="default"/>
          <w:rFonts w:cs="FrankRuehl" w:hint="cs"/>
          <w:rtl/>
        </w:rPr>
        <w:t xml:space="preserve"> תעודה), יראו אותה כ"תעודה ציבורית" לענין סימן ד' לפרק ב' לפקודת הראיות [נוסח חדש], התשל"א-1971, ובלבד שאושרו בידי הממונה.</w:t>
      </w:r>
    </w:p>
    <w:p w:rsidR="00D75D41" w:rsidRDefault="00D75D41">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הממונה רשאי לאשר בחתימתו תעודה כאמור בסעיף קטן (א) על יסוד בקשה שהוגשה לו שאליה צורפה התעודה המקורית וכן העתק צילומי של התעודה הנושא את אישורו של מי שהסמיכה לכך המועצה הפלסטינית, המעיד כי זוהי תעודה שהוציאה רשות מוסמכת בשטחי המועצה.</w:t>
      </w:r>
    </w:p>
    <w:p w:rsidR="00D75D41" w:rsidRDefault="00D75D41">
      <w:pPr>
        <w:pStyle w:val="P00"/>
        <w:spacing w:before="72"/>
        <w:ind w:left="0" w:right="1134"/>
        <w:rPr>
          <w:rStyle w:val="default"/>
          <w:rFonts w:cs="FrankRuehl" w:hint="cs"/>
          <w:rtl/>
        </w:rPr>
      </w:pPr>
    </w:p>
    <w:p w:rsidR="00D75D41" w:rsidRDefault="00D75D41">
      <w:pPr>
        <w:pStyle w:val="P00"/>
        <w:spacing w:before="72"/>
        <w:ind w:left="0" w:right="1134"/>
        <w:rPr>
          <w:rStyle w:val="default"/>
          <w:rFonts w:cs="FrankRuehl" w:hint="cs"/>
          <w:rtl/>
        </w:rPr>
      </w:pPr>
    </w:p>
    <w:p w:rsidR="00D75D41" w:rsidRDefault="00D75D41">
      <w:pPr>
        <w:pStyle w:val="P00"/>
        <w:tabs>
          <w:tab w:val="clear" w:pos="624"/>
          <w:tab w:val="clear" w:pos="1021"/>
          <w:tab w:val="clear" w:pos="1474"/>
          <w:tab w:val="clear" w:pos="1928"/>
          <w:tab w:val="clear" w:pos="2381"/>
          <w:tab w:val="clear" w:pos="2835"/>
          <w:tab w:val="clear" w:pos="6259"/>
          <w:tab w:val="center" w:pos="5103"/>
        </w:tabs>
        <w:spacing w:before="72"/>
        <w:ind w:left="0" w:right="1134"/>
        <w:rPr>
          <w:rFonts w:hint="cs"/>
          <w:rtl/>
        </w:rPr>
      </w:pPr>
      <w:r>
        <w:rPr>
          <w:rFonts w:hint="cs"/>
          <w:rtl/>
        </w:rPr>
        <w:t>ט"ו בטבת התשנ"ט (3 בינואר 1999)</w:t>
      </w:r>
      <w:r>
        <w:rPr>
          <w:rFonts w:hint="cs"/>
          <w:rtl/>
        </w:rPr>
        <w:tab/>
        <w:t>צחי הנגבי</w:t>
      </w:r>
    </w:p>
    <w:p w:rsidR="00D75D41" w:rsidRDefault="00D75D41">
      <w:pPr>
        <w:pStyle w:val="P00"/>
        <w:tabs>
          <w:tab w:val="clear" w:pos="624"/>
          <w:tab w:val="clear" w:pos="1021"/>
          <w:tab w:val="clear" w:pos="1474"/>
          <w:tab w:val="clear" w:pos="1928"/>
          <w:tab w:val="clear" w:pos="2381"/>
          <w:tab w:val="clear" w:pos="2835"/>
          <w:tab w:val="clear" w:pos="6259"/>
          <w:tab w:val="center" w:pos="5103"/>
        </w:tabs>
        <w:spacing w:before="72"/>
        <w:ind w:left="0" w:right="1134"/>
        <w:rPr>
          <w:rFonts w:hint="cs"/>
          <w:sz w:val="22"/>
          <w:szCs w:val="22"/>
          <w:rtl/>
        </w:rPr>
      </w:pPr>
      <w:r>
        <w:rPr>
          <w:rFonts w:hint="cs"/>
          <w:sz w:val="22"/>
          <w:szCs w:val="22"/>
          <w:rtl/>
        </w:rPr>
        <w:tab/>
        <w:t>שר המשפטים</w:t>
      </w:r>
    </w:p>
    <w:p w:rsidR="00D75D41" w:rsidRDefault="00D75D41">
      <w:pPr>
        <w:pStyle w:val="P00"/>
        <w:spacing w:before="72"/>
        <w:ind w:left="0" w:right="1134"/>
        <w:rPr>
          <w:rFonts w:hint="cs"/>
          <w:rtl/>
        </w:rPr>
      </w:pPr>
    </w:p>
    <w:p w:rsidR="00D75D41" w:rsidRDefault="00D75D41">
      <w:pPr>
        <w:pStyle w:val="P00"/>
        <w:spacing w:before="72"/>
        <w:ind w:left="0" w:right="1134"/>
        <w:rPr>
          <w:rFonts w:hint="cs"/>
          <w:rtl/>
        </w:rPr>
      </w:pPr>
    </w:p>
    <w:sectPr w:rsidR="00D75D41">
      <w:headerReference w:type="even" r:id="rId8"/>
      <w:headerReference w:type="default" r:id="rId9"/>
      <w:footerReference w:type="even" r:id="rId10"/>
      <w:footerReference w:type="default" r:id="rId11"/>
      <w:type w:val="continuous"/>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672BB" w:rsidRDefault="00D672BB">
      <w:r>
        <w:separator/>
      </w:r>
    </w:p>
  </w:endnote>
  <w:endnote w:type="continuationSeparator" w:id="0">
    <w:p w:rsidR="00D672BB" w:rsidRDefault="00D672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75D41" w:rsidRDefault="00D75D41">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Pr>
        <w:rFonts w:hAnsi="FrankRuehl"/>
        <w:sz w:val="24"/>
        <w:szCs w:val="24"/>
        <w:rtl/>
      </w:rPr>
      <w:t>1</w:t>
    </w:r>
    <w:r>
      <w:rPr>
        <w:rFonts w:hAnsi="FrankRuehl"/>
        <w:sz w:val="24"/>
        <w:szCs w:val="24"/>
        <w:rtl/>
      </w:rPr>
      <w:fldChar w:fldCharType="end"/>
    </w:r>
  </w:p>
  <w:p w:rsidR="00D75D41" w:rsidRDefault="00D75D41">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D75D41" w:rsidRDefault="00D75D41">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Z:\000000000000-law\yael\07-07-02\999_786.doc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75D41" w:rsidRDefault="00D75D41">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sidR="00FE38AE">
      <w:rPr>
        <w:rFonts w:hAnsi="FrankRuehl"/>
        <w:noProof/>
        <w:sz w:val="24"/>
        <w:szCs w:val="24"/>
        <w:rtl/>
      </w:rPr>
      <w:t>2</w:t>
    </w:r>
    <w:r>
      <w:rPr>
        <w:rFonts w:hAnsi="FrankRuehl"/>
        <w:sz w:val="24"/>
        <w:szCs w:val="24"/>
        <w:rtl/>
      </w:rPr>
      <w:fldChar w:fldCharType="end"/>
    </w:r>
  </w:p>
  <w:p w:rsidR="00D75D41" w:rsidRDefault="00D75D41">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D75D41" w:rsidRDefault="00D75D41">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Z:\000000000000-law\yael\07-07-02\999_786.doc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672BB" w:rsidRDefault="00D672BB">
      <w:pPr>
        <w:spacing w:before="60" w:line="240" w:lineRule="auto"/>
        <w:ind w:right="1134"/>
      </w:pPr>
      <w:r>
        <w:separator/>
      </w:r>
    </w:p>
  </w:footnote>
  <w:footnote w:type="continuationSeparator" w:id="0">
    <w:p w:rsidR="00D672BB" w:rsidRDefault="00D672BB">
      <w:r>
        <w:separator/>
      </w:r>
    </w:p>
  </w:footnote>
  <w:footnote w:id="1">
    <w:p w:rsidR="00D75D41" w:rsidRDefault="00D75D41">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sz w:val="20"/>
        </w:rPr>
        <w:t>*</w:t>
      </w:r>
      <w:r>
        <w:rPr>
          <w:rFonts w:hint="cs"/>
          <w:sz w:val="20"/>
          <w:rtl/>
        </w:rPr>
        <w:t xml:space="preserve"> פורסם </w:t>
      </w:r>
      <w:hyperlink r:id="rId1" w:history="1">
        <w:r>
          <w:rPr>
            <w:rStyle w:val="Hyperlink"/>
            <w:rFonts w:hint="cs"/>
            <w:sz w:val="20"/>
            <w:rtl/>
          </w:rPr>
          <w:t>ק"ת תשנ"ט מס' 5947</w:t>
        </w:r>
      </w:hyperlink>
      <w:r>
        <w:rPr>
          <w:rFonts w:hint="cs"/>
          <w:sz w:val="20"/>
          <w:rtl/>
        </w:rPr>
        <w:t xml:space="preserve"> מיום 20.1.1999 עמ' 278.</w:t>
      </w:r>
    </w:p>
    <w:p w:rsidR="00D75D41" w:rsidRDefault="00D75D41">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rFonts w:hint="cs"/>
          <w:sz w:val="20"/>
          <w:rtl/>
        </w:rPr>
        <w:t xml:space="preserve">תוקן </w:t>
      </w:r>
      <w:hyperlink r:id="rId2" w:history="1">
        <w:r>
          <w:rPr>
            <w:rStyle w:val="Hyperlink"/>
            <w:rFonts w:hint="cs"/>
            <w:sz w:val="20"/>
            <w:rtl/>
          </w:rPr>
          <w:t>ק"ת תשס"ד מס' 6300</w:t>
        </w:r>
      </w:hyperlink>
      <w:r>
        <w:rPr>
          <w:rFonts w:hint="cs"/>
          <w:sz w:val="20"/>
          <w:rtl/>
        </w:rPr>
        <w:t xml:space="preserve"> מיום 30.3.2004 עמ' 338 </w:t>
      </w:r>
      <w:r>
        <w:rPr>
          <w:sz w:val="20"/>
          <w:rtl/>
        </w:rPr>
        <w:t>–</w:t>
      </w:r>
      <w:r>
        <w:rPr>
          <w:rFonts w:hint="cs"/>
          <w:sz w:val="20"/>
          <w:rtl/>
        </w:rPr>
        <w:t xml:space="preserve"> צו תשס"ד-2004.</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75D41" w:rsidRDefault="00D75D41">
    <w:pPr>
      <w:pStyle w:val="a3"/>
      <w:spacing w:line="220" w:lineRule="exact"/>
      <w:ind w:left="0" w:right="1134"/>
      <w:jc w:val="center"/>
      <w:rPr>
        <w:rFonts w:hAnsi="FrankRuehl"/>
        <w:color w:val="000000"/>
        <w:sz w:val="28"/>
        <w:szCs w:val="28"/>
        <w:rtl/>
      </w:rPr>
    </w:pPr>
    <w:r>
      <w:rPr>
        <w:rFonts w:hAnsi="FrankRuehl"/>
        <w:color w:val="000000"/>
        <w:sz w:val="28"/>
        <w:szCs w:val="28"/>
        <w:rtl/>
      </w:rPr>
      <w:t>תקנות התקשורת (בזק ושידורים) (תשלומים בעד שירותי בזק המפורטים בתוספת לחוק), תשס"ב- 2002</w:t>
    </w:r>
  </w:p>
  <w:p w:rsidR="00D75D41" w:rsidRDefault="00D75D41">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rsidR="00D75D41" w:rsidRDefault="00D75D41">
    <w:pPr>
      <w:pStyle w:val="a3"/>
      <w:pBdr>
        <w:top w:val="single" w:sz="4" w:space="0" w:color="auto"/>
      </w:pBdr>
      <w:spacing w:line="220" w:lineRule="exact"/>
      <w:ind w:left="0" w:right="1134"/>
      <w:jc w:val="center"/>
      <w:rPr>
        <w:rFonts w:hAnsi="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75D41" w:rsidRDefault="00D75D41">
    <w:pPr>
      <w:pStyle w:val="a3"/>
      <w:spacing w:line="220" w:lineRule="exact"/>
      <w:ind w:left="0" w:right="1134"/>
      <w:jc w:val="center"/>
      <w:rPr>
        <w:rFonts w:hAnsi="FrankRuehl" w:hint="cs"/>
        <w:color w:val="000000"/>
        <w:sz w:val="28"/>
        <w:szCs w:val="28"/>
        <w:rtl/>
      </w:rPr>
    </w:pPr>
    <w:r>
      <w:rPr>
        <w:rFonts w:hAnsi="FrankRuehl" w:hint="cs"/>
        <w:color w:val="000000"/>
        <w:sz w:val="28"/>
        <w:szCs w:val="28"/>
        <w:rtl/>
      </w:rPr>
      <w:t xml:space="preserve">צו שעת חירום (יהודה והשומרון וחבל עזה </w:t>
    </w:r>
    <w:r>
      <w:rPr>
        <w:rFonts w:hAnsi="FrankRuehl"/>
        <w:color w:val="000000"/>
        <w:sz w:val="28"/>
        <w:szCs w:val="28"/>
        <w:rtl/>
      </w:rPr>
      <w:t>–</w:t>
    </w:r>
    <w:r>
      <w:rPr>
        <w:rFonts w:hAnsi="FrankRuehl" w:hint="cs"/>
        <w:color w:val="000000"/>
        <w:sz w:val="28"/>
        <w:szCs w:val="28"/>
        <w:rtl/>
      </w:rPr>
      <w:t xml:space="preserve"> שיפוט בעבירות ועזרה משפטית) (שטחי המועצה הפלסטינית </w:t>
    </w:r>
    <w:r>
      <w:rPr>
        <w:rFonts w:hAnsi="FrankRuehl"/>
        <w:color w:val="000000"/>
        <w:sz w:val="28"/>
        <w:szCs w:val="28"/>
        <w:rtl/>
      </w:rPr>
      <w:t>–</w:t>
    </w:r>
    <w:r>
      <w:rPr>
        <w:rFonts w:hAnsi="FrankRuehl" w:hint="cs"/>
        <w:color w:val="000000"/>
        <w:sz w:val="28"/>
        <w:szCs w:val="28"/>
        <w:rtl/>
      </w:rPr>
      <w:t xml:space="preserve"> עזרה משפטית בענינים אזרחיים), תשנ"ט-1999</w:t>
    </w:r>
  </w:p>
  <w:p w:rsidR="00D75D41" w:rsidRDefault="00D75D41">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rsidR="00D75D41" w:rsidRDefault="00D75D41">
    <w:pPr>
      <w:pStyle w:val="a3"/>
      <w:pBdr>
        <w:top w:val="single" w:sz="4" w:space="0" w:color="auto"/>
      </w:pBdr>
      <w:spacing w:line="220" w:lineRule="exact"/>
      <w:ind w:left="0" w:right="1134"/>
      <w:jc w:val="center"/>
      <w:rPr>
        <w:rFonts w:hAnsi="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F2950"/>
    <w:rsid w:val="003955F5"/>
    <w:rsid w:val="0041284B"/>
    <w:rsid w:val="00455411"/>
    <w:rsid w:val="00584A33"/>
    <w:rsid w:val="007521B9"/>
    <w:rsid w:val="007F2950"/>
    <w:rsid w:val="00C4090D"/>
    <w:rsid w:val="00D672BB"/>
    <w:rsid w:val="00D75D41"/>
    <w:rsid w:val="00FE38AE"/>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19DF233D-103C-4DEF-938C-45F9EE9A0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Miriam"/>
      <w:sz w:val="20"/>
      <w:szCs w:val="32"/>
    </w:rPr>
  </w:style>
  <w:style w:type="paragraph" w:customStyle="1" w:styleId="sidenote">
    <w:name w:val="sidenote"/>
    <w:pPr>
      <w:keepNext/>
      <w:keepLines/>
      <w:widowControl w:val="0"/>
      <w:autoSpaceDE w:val="0"/>
      <w:autoSpaceDN w:val="0"/>
      <w:bidi/>
      <w:spacing w:line="-180" w:lineRule="auto"/>
      <w:ind w:left="9356" w:right="-1701"/>
    </w:pPr>
    <w:rPr>
      <w:rFonts w:cs="Miriam"/>
      <w:noProof/>
      <w:szCs w:val="18"/>
      <w:lang w:val="en-US" w:eastAsia="he-IL"/>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rFonts w:cs="Miriam"/>
      <w:szCs w:val="20"/>
    </w:rPr>
  </w:style>
  <w:style w:type="character" w:customStyle="1" w:styleId="super">
    <w:name w:val="super"/>
    <w:basedOn w:val="default"/>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sig-2">
    <w:name w:val="sig-2"/>
    <w:basedOn w:val="sig-1"/>
    <w:pPr>
      <w:tabs>
        <w:tab w:val="clear" w:pos="851"/>
        <w:tab w:val="clear" w:pos="2835"/>
        <w:tab w:val="clear" w:pos="4820"/>
        <w:tab w:val="center" w:pos="1985"/>
        <w:tab w:val="center" w:pos="4536"/>
      </w:tabs>
    </w:pPr>
  </w:style>
  <w:style w:type="paragraph" w:customStyle="1" w:styleId="sig-3">
    <w:name w:val="sig-3"/>
    <w:basedOn w:val="sig-1"/>
    <w:pPr>
      <w:tabs>
        <w:tab w:val="clear" w:pos="851"/>
        <w:tab w:val="clear" w:pos="2835"/>
        <w:tab w:val="clear" w:pos="4820"/>
        <w:tab w:val="center" w:pos="1134"/>
        <w:tab w:val="center" w:pos="1985"/>
        <w:tab w:val="center" w:pos="3686"/>
        <w:tab w:val="center" w:pos="4536"/>
      </w:tabs>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widowControl w:val="0"/>
      <w:tabs>
        <w:tab w:val="center" w:pos="4153"/>
        <w:tab w:val="right" w:pos="8306"/>
      </w:tabs>
      <w:spacing w:before="60" w:line="240" w:lineRule="auto"/>
      <w:ind w:left="2835"/>
    </w:pPr>
    <w:rPr>
      <w:rFonts w:cs="FrankRuehl"/>
      <w:sz w:val="20"/>
      <w:szCs w:val="20"/>
    </w:rPr>
  </w:style>
  <w:style w:type="paragraph" w:styleId="a4">
    <w:name w:val="footer"/>
    <w:basedOn w:val="a"/>
    <w:pPr>
      <w:widowControl w:val="0"/>
      <w:tabs>
        <w:tab w:val="center" w:pos="4153"/>
        <w:tab w:val="right" w:pos="8306"/>
      </w:tabs>
      <w:spacing w:before="60" w:line="240" w:lineRule="auto"/>
      <w:ind w:left="2835"/>
    </w:pPr>
    <w:rPr>
      <w:rFonts w:cs="FrankRuehl"/>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styleId="a7">
    <w:name w:val="Body Text"/>
    <w:basedOn w:val="a"/>
    <w:rPr>
      <w:rFonts w:cs="Miriam"/>
      <w:sz w:val="18"/>
      <w:szCs w:val="18"/>
    </w:rPr>
  </w:style>
  <w:style w:type="character" w:styleId="FollowedHyperlink">
    <w:name w:val="FollowedHyperlink"/>
    <w:basedOn w:val="a0"/>
    <w:rPr>
      <w:color w:val="800080"/>
      <w:u w:val="single"/>
    </w:rPr>
  </w:style>
  <w:style w:type="paragraph" w:styleId="2">
    <w:name w:val="Body Text 2"/>
    <w:basedOn w:val="a"/>
  </w:style>
  <w:style w:type="paragraph" w:styleId="3">
    <w:name w:val="Body Text 3"/>
    <w:basedOn w:val="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nevo.co.il/Law_word/law06/TAK-6300.pdf"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Law_word/law06/TAK-6300.pdf" TargetMode="External"/><Relationship Id="rId11"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s>
</file>

<file path=word/_rels/footnotes.xml.rels><?xml version="1.0" encoding="UTF-8" standalone="yes"?>
<Relationships xmlns="http://schemas.openxmlformats.org/package/2006/relationships"><Relationship Id="rId2" Type="http://schemas.openxmlformats.org/officeDocument/2006/relationships/hyperlink" Target="http://www.nevo.co.il/Law_word/law06/TAK-6300.pdf" TargetMode="External"/><Relationship Id="rId1" Type="http://schemas.openxmlformats.org/officeDocument/2006/relationships/hyperlink" Target="http://www.nevo.co.il/Law_word/law06/TAK-5947.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1506</Words>
  <Characters>8586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פרק 32</vt:lpstr>
    </vt:vector>
  </TitlesOfParts>
  <Company/>
  <LinksUpToDate>false</LinksUpToDate>
  <CharactersWithSpaces>10072</CharactersWithSpaces>
  <SharedDoc>false</SharedDoc>
  <HLinks>
    <vt:vector size="72" baseType="variant">
      <vt:variant>
        <vt:i4>8323083</vt:i4>
      </vt:variant>
      <vt:variant>
        <vt:i4>51</vt:i4>
      </vt:variant>
      <vt:variant>
        <vt:i4>0</vt:i4>
      </vt:variant>
      <vt:variant>
        <vt:i4>5</vt:i4>
      </vt:variant>
      <vt:variant>
        <vt:lpwstr>http://www.nevo.co.il/Law_word/law06/TAK-6300.pdf</vt:lpwstr>
      </vt:variant>
      <vt:variant>
        <vt:lpwstr/>
      </vt:variant>
      <vt:variant>
        <vt:i4>8323083</vt:i4>
      </vt:variant>
      <vt:variant>
        <vt:i4>48</vt:i4>
      </vt:variant>
      <vt:variant>
        <vt:i4>0</vt:i4>
      </vt:variant>
      <vt:variant>
        <vt:i4>5</vt:i4>
      </vt:variant>
      <vt:variant>
        <vt:lpwstr>http://www.nevo.co.il/Law_word/law06/TAK-6300.pdf</vt:lpwstr>
      </vt:variant>
      <vt:variant>
        <vt:lpwstr/>
      </vt:variant>
      <vt:variant>
        <vt:i4>196634</vt:i4>
      </vt:variant>
      <vt:variant>
        <vt:i4>45</vt:i4>
      </vt:variant>
      <vt:variant>
        <vt:i4>0</vt:i4>
      </vt:variant>
      <vt:variant>
        <vt:i4>5</vt:i4>
      </vt:variant>
      <vt:variant>
        <vt:lpwstr/>
      </vt:variant>
      <vt:variant>
        <vt:lpwstr>Seif7</vt:lpwstr>
      </vt:variant>
      <vt:variant>
        <vt:i4>196634</vt:i4>
      </vt:variant>
      <vt:variant>
        <vt:i4>39</vt:i4>
      </vt:variant>
      <vt:variant>
        <vt:i4>0</vt:i4>
      </vt:variant>
      <vt:variant>
        <vt:i4>5</vt:i4>
      </vt:variant>
      <vt:variant>
        <vt:lpwstr/>
      </vt:variant>
      <vt:variant>
        <vt:lpwstr>Seif6</vt:lpwstr>
      </vt:variant>
      <vt:variant>
        <vt:i4>196634</vt:i4>
      </vt:variant>
      <vt:variant>
        <vt:i4>33</vt:i4>
      </vt:variant>
      <vt:variant>
        <vt:i4>0</vt:i4>
      </vt:variant>
      <vt:variant>
        <vt:i4>5</vt:i4>
      </vt:variant>
      <vt:variant>
        <vt:lpwstr/>
      </vt:variant>
      <vt:variant>
        <vt:lpwstr>Seif5</vt:lpwstr>
      </vt:variant>
      <vt:variant>
        <vt:i4>196634</vt:i4>
      </vt:variant>
      <vt:variant>
        <vt:i4>27</vt:i4>
      </vt:variant>
      <vt:variant>
        <vt:i4>0</vt:i4>
      </vt:variant>
      <vt:variant>
        <vt:i4>5</vt:i4>
      </vt:variant>
      <vt:variant>
        <vt:lpwstr/>
      </vt:variant>
      <vt:variant>
        <vt:lpwstr>Seif4</vt:lpwstr>
      </vt: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8323083</vt:i4>
      </vt:variant>
      <vt:variant>
        <vt:i4>3</vt:i4>
      </vt:variant>
      <vt:variant>
        <vt:i4>0</vt:i4>
      </vt:variant>
      <vt:variant>
        <vt:i4>5</vt:i4>
      </vt:variant>
      <vt:variant>
        <vt:lpwstr>http://www.nevo.co.il/Law_word/law06/TAK-6300.pdf</vt:lpwstr>
      </vt:variant>
      <vt:variant>
        <vt:lpwstr/>
      </vt:variant>
      <vt:variant>
        <vt:i4>7864326</vt:i4>
      </vt:variant>
      <vt:variant>
        <vt:i4>0</vt:i4>
      </vt:variant>
      <vt:variant>
        <vt:i4>0</vt:i4>
      </vt:variant>
      <vt:variant>
        <vt:i4>5</vt:i4>
      </vt:variant>
      <vt:variant>
        <vt:lpwstr>http://www.nevo.co.il/Law_word/law06/TAK-5947.pdf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32</dc:title>
  <dc:subject/>
  <dc:creator>eli</dc:creator>
  <cp:keywords/>
  <dc:description/>
  <cp:lastModifiedBy>Shimon Doodkin</cp:lastModifiedBy>
  <cp:revision>2</cp:revision>
  <dcterms:created xsi:type="dcterms:W3CDTF">2023-06-05T20:15:00Z</dcterms:created>
  <dcterms:modified xsi:type="dcterms:W3CDTF">2023-06-05T20:15:00Z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0999</vt:lpwstr>
  </property>
  <property fmtid="{D5CDD505-2E9C-101B-9397-08002B2CF9AE}" pid="3" name="CHNAME">
    <vt:lpwstr>תקנות שעת חירום</vt:lpwstr>
  </property>
  <property fmtid="{D5CDD505-2E9C-101B-9397-08002B2CF9AE}" pid="4" name="LAWNAME">
    <vt:lpwstr>צו שעת חירום (יהודה והשומרון וחבל עזה - שיפוט בעבירות ועזרה משפטית) (שטחי המועצה הפלסטינית - עזרה משפטית בענינים אזרחיים), תשנ"ט-1999</vt:lpwstr>
  </property>
  <property fmtid="{D5CDD505-2E9C-101B-9397-08002B2CF9AE}" pid="5" name="LAWNUMBER">
    <vt:lpwstr>0786</vt:lpwstr>
  </property>
  <property fmtid="{D5CDD505-2E9C-101B-9397-08002B2CF9AE}" pid="6" name="TYPE">
    <vt:lpwstr>01</vt:lpwstr>
  </property>
  <property fmtid="{D5CDD505-2E9C-101B-9397-08002B2CF9AE}" pid="7" name="LINKK4">
    <vt:lpwstr/>
  </property>
  <property fmtid="{D5CDD505-2E9C-101B-9397-08002B2CF9AE}" pid="8" name="LINKK5">
    <vt:lpwstr/>
  </property>
  <property fmtid="{D5CDD505-2E9C-101B-9397-08002B2CF9AE}" pid="9" name="LINKK6">
    <vt:lpwstr/>
  </property>
  <property fmtid="{D5CDD505-2E9C-101B-9397-08002B2CF9AE}" pid="10" name="LINKK7">
    <vt:lpwstr/>
  </property>
  <property fmtid="{D5CDD505-2E9C-101B-9397-08002B2CF9AE}" pid="11" name="LINKK8">
    <vt:lpwstr/>
  </property>
  <property fmtid="{D5CDD505-2E9C-101B-9397-08002B2CF9AE}" pid="12" name="LINKK9">
    <vt:lpwstr/>
  </property>
  <property fmtid="{D5CDD505-2E9C-101B-9397-08002B2CF9AE}" pid="13" name="LINKK10">
    <vt:lpwstr/>
  </property>
  <property fmtid="{D5CDD505-2E9C-101B-9397-08002B2CF9AE}" pid="14" name="LINKI1">
    <vt:lpwstr/>
  </property>
  <property fmtid="{D5CDD505-2E9C-101B-9397-08002B2CF9AE}" pid="15" name="LINKI2">
    <vt:lpwstr/>
  </property>
  <property fmtid="{D5CDD505-2E9C-101B-9397-08002B2CF9AE}" pid="16" name="LINKI3">
    <vt:lpwstr/>
  </property>
  <property fmtid="{D5CDD505-2E9C-101B-9397-08002B2CF9AE}" pid="17" name="LINKI4">
    <vt:lpwstr/>
  </property>
  <property fmtid="{D5CDD505-2E9C-101B-9397-08002B2CF9AE}" pid="18" name="LINKI5">
    <vt:lpwstr/>
  </property>
  <property fmtid="{D5CDD505-2E9C-101B-9397-08002B2CF9AE}" pid="19" name="NOSE11">
    <vt:lpwstr>בטחון</vt:lpwstr>
  </property>
  <property fmtid="{D5CDD505-2E9C-101B-9397-08002B2CF9AE}" pid="20" name="NOSE21">
    <vt:lpwstr>שעת חירום</vt:lpwstr>
  </property>
  <property fmtid="{D5CDD505-2E9C-101B-9397-08002B2CF9AE}" pid="21" name="NOSE31">
    <vt:lpwstr>שיפוט ועזרה משפטית</vt:lpwstr>
  </property>
  <property fmtid="{D5CDD505-2E9C-101B-9397-08002B2CF9AE}" pid="22" name="NOSE41">
    <vt:lpwstr/>
  </property>
  <property fmtid="{D5CDD505-2E9C-101B-9397-08002B2CF9AE}" pid="23" name="NOSE12">
    <vt:lpwstr>בתי משפט וסדרי דין</vt:lpwstr>
  </property>
  <property fmtid="{D5CDD505-2E9C-101B-9397-08002B2CF9AE}" pid="24" name="NOSE22">
    <vt:lpwstr>שיפוט ועזרה משפטית</vt:lpwstr>
  </property>
  <property fmtid="{D5CDD505-2E9C-101B-9397-08002B2CF9AE}" pid="25" name="NOSE32">
    <vt:lpwstr/>
  </property>
  <property fmtid="{D5CDD505-2E9C-101B-9397-08002B2CF9AE}" pid="26" name="NOSE42">
    <vt:lpwstr/>
  </property>
  <property fmtid="{D5CDD505-2E9C-101B-9397-08002B2CF9AE}" pid="27" name="NOSE13">
    <vt:lpwstr>משפט בינ"ל פומבי</vt:lpwstr>
  </property>
  <property fmtid="{D5CDD505-2E9C-101B-9397-08002B2CF9AE}" pid="28" name="NOSE23">
    <vt:lpwstr>עזרה משפטית</vt:lpwstr>
  </property>
  <property fmtid="{D5CDD505-2E9C-101B-9397-08002B2CF9AE}" pid="29" name="NOSE33">
    <vt:lpwstr/>
  </property>
  <property fmtid="{D5CDD505-2E9C-101B-9397-08002B2CF9AE}" pid="30" name="NOSE43">
    <vt:lpwstr/>
  </property>
  <property fmtid="{D5CDD505-2E9C-101B-9397-08002B2CF9AE}" pid="31" name="NOSE14">
    <vt:lpwstr>משפט בינ"ל פומבי</vt:lpwstr>
  </property>
  <property fmtid="{D5CDD505-2E9C-101B-9397-08002B2CF9AE}" pid="32" name="NOSE24">
    <vt:lpwstr>הרשות הפלסטינית</vt:lpwstr>
  </property>
  <property fmtid="{D5CDD505-2E9C-101B-9397-08002B2CF9AE}" pid="33" name="NOSE34">
    <vt:lpwstr/>
  </property>
  <property fmtid="{D5CDD505-2E9C-101B-9397-08002B2CF9AE}" pid="34" name="NOSE44">
    <vt:lpwstr/>
  </property>
  <property fmtid="{D5CDD505-2E9C-101B-9397-08002B2CF9AE}" pid="35" name="NOSE15">
    <vt:lpwstr>עונשין ומשפט פלילי</vt:lpwstr>
  </property>
  <property fmtid="{D5CDD505-2E9C-101B-9397-08002B2CF9AE}" pid="36" name="NOSE25">
    <vt:lpwstr>עבירות</vt:lpwstr>
  </property>
  <property fmtid="{D5CDD505-2E9C-101B-9397-08002B2CF9AE}" pid="37" name="NOSE35">
    <vt:lpwstr/>
  </property>
  <property fmtid="{D5CDD505-2E9C-101B-9397-08002B2CF9AE}" pid="38" name="NOSE45">
    <vt:lpwstr/>
  </property>
  <property fmtid="{D5CDD505-2E9C-101B-9397-08002B2CF9AE}" pid="39" name="NOSE16">
    <vt:lpwstr/>
  </property>
  <property fmtid="{D5CDD505-2E9C-101B-9397-08002B2CF9AE}" pid="40" name="NOSE26">
    <vt:lpwstr/>
  </property>
  <property fmtid="{D5CDD505-2E9C-101B-9397-08002B2CF9AE}" pid="41" name="NOSE36">
    <vt:lpwstr/>
  </property>
  <property fmtid="{D5CDD505-2E9C-101B-9397-08002B2CF9AE}" pid="42" name="NOSE46">
    <vt:lpwstr/>
  </property>
  <property fmtid="{D5CDD505-2E9C-101B-9397-08002B2CF9AE}" pid="43" name="NOSE17">
    <vt:lpwstr/>
  </property>
  <property fmtid="{D5CDD505-2E9C-101B-9397-08002B2CF9AE}" pid="44" name="NOSE27">
    <vt:lpwstr/>
  </property>
  <property fmtid="{D5CDD505-2E9C-101B-9397-08002B2CF9AE}" pid="45" name="NOSE37">
    <vt:lpwstr/>
  </property>
  <property fmtid="{D5CDD505-2E9C-101B-9397-08002B2CF9AE}" pid="46" name="NOSE47">
    <vt:lpwstr/>
  </property>
  <property fmtid="{D5CDD505-2E9C-101B-9397-08002B2CF9AE}" pid="47" name="NOSE18">
    <vt:lpwstr/>
  </property>
  <property fmtid="{D5CDD505-2E9C-101B-9397-08002B2CF9AE}" pid="48" name="NOSE28">
    <vt:lpwstr/>
  </property>
  <property fmtid="{D5CDD505-2E9C-101B-9397-08002B2CF9AE}" pid="49" name="NOSE38">
    <vt:lpwstr/>
  </property>
  <property fmtid="{D5CDD505-2E9C-101B-9397-08002B2CF9AE}" pid="50" name="NOSE48">
    <vt:lpwstr/>
  </property>
  <property fmtid="{D5CDD505-2E9C-101B-9397-08002B2CF9AE}" pid="51" name="NOSE19">
    <vt:lpwstr/>
  </property>
  <property fmtid="{D5CDD505-2E9C-101B-9397-08002B2CF9AE}" pid="52" name="NOSE29">
    <vt:lpwstr/>
  </property>
  <property fmtid="{D5CDD505-2E9C-101B-9397-08002B2CF9AE}" pid="53" name="NOSE39">
    <vt:lpwstr/>
  </property>
  <property fmtid="{D5CDD505-2E9C-101B-9397-08002B2CF9AE}" pid="54" name="NOSE49">
    <vt:lpwstr/>
  </property>
  <property fmtid="{D5CDD505-2E9C-101B-9397-08002B2CF9AE}" pid="55" name="NOSE110">
    <vt:lpwstr/>
  </property>
  <property fmtid="{D5CDD505-2E9C-101B-9397-08002B2CF9AE}" pid="56" name="NOSE210">
    <vt:lpwstr/>
  </property>
  <property fmtid="{D5CDD505-2E9C-101B-9397-08002B2CF9AE}" pid="57" name="NOSE310">
    <vt:lpwstr/>
  </property>
  <property fmtid="{D5CDD505-2E9C-101B-9397-08002B2CF9AE}" pid="58" name="NOSE410">
    <vt:lpwstr/>
  </property>
  <property fmtid="{D5CDD505-2E9C-101B-9397-08002B2CF9AE}" pid="59" name="MEKOR_NAME1">
    <vt:lpwstr>חוק להארכת תוקפן של תקנות שעת חירום (יהודה והשומרון וחבל עזה – שיפוט בעבירות ועזרה ‏משפטית)‏</vt:lpwstr>
  </property>
  <property fmtid="{D5CDD505-2E9C-101B-9397-08002B2CF9AE}" pid="60" name="MEKOR_SAIF1">
    <vt:lpwstr>16X;17X</vt:lpwstr>
  </property>
  <property fmtid="{D5CDD505-2E9C-101B-9397-08002B2CF9AE}" pid="61" name="MEKOR_NAME3">
    <vt:lpwstr>חוק ההוצאה לפועל</vt:lpwstr>
  </property>
  <property fmtid="{D5CDD505-2E9C-101B-9397-08002B2CF9AE}" pid="62" name="MEKOR_SAIF3">
    <vt:lpwstr>88X</vt:lpwstr>
  </property>
  <property fmtid="{D5CDD505-2E9C-101B-9397-08002B2CF9AE}" pid="63" name="MEKOR_NAME2">
    <vt:lpwstr>חוק בתי המשפט [נוסח משולב]‏</vt:lpwstr>
  </property>
  <property fmtid="{D5CDD505-2E9C-101B-9397-08002B2CF9AE}" pid="64" name="MEKOR_SAIF2">
    <vt:lpwstr>108X</vt:lpwstr>
  </property>
</Properties>
</file>