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1774" w14:textId="77777777" w:rsidR="00706523" w:rsidRDefault="00706523" w:rsidP="00F632D0">
      <w:pPr>
        <w:pStyle w:val="big-header"/>
        <w:ind w:left="0" w:right="1134"/>
        <w:rPr>
          <w:rFonts w:hint="cs"/>
          <w:rtl/>
        </w:rPr>
      </w:pPr>
      <w:r>
        <w:rPr>
          <w:rtl/>
        </w:rPr>
        <w:t xml:space="preserve">צו שעת חירום (יהודה והשומרון </w:t>
      </w:r>
      <w:r w:rsidR="00F632D0">
        <w:rPr>
          <w:rtl/>
        </w:rPr>
        <w:t>–</w:t>
      </w:r>
      <w:r>
        <w:rPr>
          <w:rtl/>
        </w:rPr>
        <w:t xml:space="preserve"> עזרה משפטית בגביית מסים), </w:t>
      </w:r>
      <w:r w:rsidR="00F632D0">
        <w:rPr>
          <w:rFonts w:hint="cs"/>
          <w:rtl/>
        </w:rPr>
        <w:br/>
      </w:r>
      <w:r>
        <w:rPr>
          <w:rtl/>
        </w:rPr>
        <w:t>תשמ"ח</w:t>
      </w:r>
      <w:r w:rsidR="00FE7834">
        <w:rPr>
          <w:rFonts w:hint="cs"/>
          <w:rtl/>
        </w:rPr>
        <w:t>-</w:t>
      </w:r>
      <w:r>
        <w:rPr>
          <w:rtl/>
        </w:rPr>
        <w:t>1988</w:t>
      </w:r>
    </w:p>
    <w:p w14:paraId="20AD6DEC" w14:textId="77777777" w:rsidR="00F632D0" w:rsidRPr="00F632D0" w:rsidRDefault="00F632D0" w:rsidP="00F632D0">
      <w:pPr>
        <w:pStyle w:val="big-header"/>
        <w:ind w:left="0" w:right="1134"/>
        <w:rPr>
          <w:rFonts w:hint="cs"/>
          <w:color w:val="008000"/>
          <w:rtl/>
        </w:rPr>
      </w:pPr>
      <w:r w:rsidRPr="00F632D0">
        <w:rPr>
          <w:rFonts w:hint="cs"/>
          <w:color w:val="008000"/>
          <w:rtl/>
        </w:rPr>
        <w:t>רבדים בחקיקה</w:t>
      </w:r>
    </w:p>
    <w:p w14:paraId="385EB3BA" w14:textId="77777777" w:rsidR="003D45EF" w:rsidRPr="003D45EF" w:rsidRDefault="003D45EF" w:rsidP="003D45EF">
      <w:pPr>
        <w:spacing w:line="320" w:lineRule="auto"/>
        <w:jc w:val="left"/>
        <w:rPr>
          <w:rFonts w:cs="FrankRuehl"/>
          <w:szCs w:val="26"/>
          <w:rtl/>
        </w:rPr>
      </w:pPr>
    </w:p>
    <w:p w14:paraId="2421BADE" w14:textId="77777777" w:rsidR="003D45EF" w:rsidRDefault="003D45EF" w:rsidP="003D45EF">
      <w:pPr>
        <w:spacing w:line="320" w:lineRule="auto"/>
        <w:jc w:val="left"/>
        <w:rPr>
          <w:rtl/>
        </w:rPr>
      </w:pPr>
    </w:p>
    <w:p w14:paraId="3D0A9763" w14:textId="77777777" w:rsidR="003D45EF" w:rsidRDefault="003D45EF" w:rsidP="003D45EF">
      <w:pPr>
        <w:spacing w:line="320" w:lineRule="auto"/>
        <w:jc w:val="left"/>
        <w:rPr>
          <w:rFonts w:cs="FrankRuehl"/>
          <w:szCs w:val="26"/>
          <w:rtl/>
        </w:rPr>
      </w:pPr>
      <w:r w:rsidRPr="003D45EF">
        <w:rPr>
          <w:rFonts w:cs="Miriam"/>
          <w:szCs w:val="22"/>
          <w:rtl/>
        </w:rPr>
        <w:t>בטחון</w:t>
      </w:r>
      <w:r w:rsidRPr="003D45EF">
        <w:rPr>
          <w:rFonts w:cs="FrankRuehl"/>
          <w:szCs w:val="26"/>
          <w:rtl/>
        </w:rPr>
        <w:t xml:space="preserve"> – שעת חירום – שיפוט ועזרה משפטית</w:t>
      </w:r>
    </w:p>
    <w:p w14:paraId="5A5E8868" w14:textId="77777777" w:rsidR="003D45EF" w:rsidRDefault="003D45EF" w:rsidP="003D45EF">
      <w:pPr>
        <w:spacing w:line="320" w:lineRule="auto"/>
        <w:jc w:val="left"/>
        <w:rPr>
          <w:rFonts w:cs="FrankRuehl"/>
          <w:szCs w:val="26"/>
          <w:rtl/>
        </w:rPr>
      </w:pPr>
      <w:r w:rsidRPr="003D45EF">
        <w:rPr>
          <w:rFonts w:cs="Miriam"/>
          <w:szCs w:val="22"/>
          <w:rtl/>
        </w:rPr>
        <w:t>בתי משפט וסדרי דין</w:t>
      </w:r>
      <w:r w:rsidRPr="003D45EF">
        <w:rPr>
          <w:rFonts w:cs="FrankRuehl"/>
          <w:szCs w:val="26"/>
          <w:rtl/>
        </w:rPr>
        <w:t xml:space="preserve"> – שיפוט ועזרה משפטית</w:t>
      </w:r>
    </w:p>
    <w:p w14:paraId="77A3D6A5" w14:textId="77777777" w:rsidR="003D45EF" w:rsidRDefault="003D45EF" w:rsidP="003D45EF">
      <w:pPr>
        <w:spacing w:line="320" w:lineRule="auto"/>
        <w:jc w:val="left"/>
        <w:rPr>
          <w:rFonts w:cs="FrankRuehl"/>
          <w:szCs w:val="26"/>
          <w:rtl/>
        </w:rPr>
      </w:pPr>
      <w:r w:rsidRPr="003D45EF">
        <w:rPr>
          <w:rFonts w:cs="Miriam"/>
          <w:szCs w:val="22"/>
          <w:rtl/>
        </w:rPr>
        <w:t>משפט בינ"ל פומבי</w:t>
      </w:r>
      <w:r w:rsidRPr="003D45EF">
        <w:rPr>
          <w:rFonts w:cs="FrankRuehl"/>
          <w:szCs w:val="26"/>
          <w:rtl/>
        </w:rPr>
        <w:t xml:space="preserve"> – עזרה משפטית</w:t>
      </w:r>
    </w:p>
    <w:p w14:paraId="636E621D" w14:textId="77777777" w:rsidR="003D45EF" w:rsidRDefault="003D45EF" w:rsidP="003D45EF">
      <w:pPr>
        <w:spacing w:line="320" w:lineRule="auto"/>
        <w:jc w:val="left"/>
        <w:rPr>
          <w:rFonts w:cs="FrankRuehl"/>
          <w:szCs w:val="26"/>
          <w:rtl/>
        </w:rPr>
      </w:pPr>
      <w:r w:rsidRPr="003D45EF">
        <w:rPr>
          <w:rFonts w:cs="Miriam"/>
          <w:szCs w:val="22"/>
          <w:rtl/>
        </w:rPr>
        <w:t>מסים</w:t>
      </w:r>
      <w:r w:rsidRPr="003D45EF">
        <w:rPr>
          <w:rFonts w:cs="FrankRuehl"/>
          <w:szCs w:val="26"/>
          <w:rtl/>
        </w:rPr>
        <w:t xml:space="preserve"> – גבייה</w:t>
      </w:r>
    </w:p>
    <w:p w14:paraId="1CB6DB36" w14:textId="77777777" w:rsidR="0021757B" w:rsidRPr="003D45EF" w:rsidRDefault="003D45EF" w:rsidP="003D45EF">
      <w:pPr>
        <w:spacing w:line="320" w:lineRule="auto"/>
        <w:jc w:val="left"/>
        <w:rPr>
          <w:rFonts w:cs="Miriam"/>
          <w:szCs w:val="22"/>
          <w:rtl/>
        </w:rPr>
      </w:pPr>
      <w:r w:rsidRPr="003D45EF">
        <w:rPr>
          <w:rFonts w:cs="Miriam"/>
          <w:szCs w:val="22"/>
          <w:rtl/>
        </w:rPr>
        <w:t>מסים</w:t>
      </w:r>
      <w:r w:rsidRPr="003D45EF">
        <w:rPr>
          <w:rFonts w:cs="FrankRuehl"/>
          <w:szCs w:val="26"/>
          <w:rtl/>
        </w:rPr>
        <w:t xml:space="preserve"> – הרשות הפלסטינית</w:t>
      </w:r>
    </w:p>
    <w:p w14:paraId="2E0476F1" w14:textId="77777777" w:rsidR="00706523" w:rsidRDefault="0070652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41DB" w:rsidRPr="00CF41DB" w14:paraId="3C347023" w14:textId="77777777">
        <w:tblPrEx>
          <w:tblCellMar>
            <w:top w:w="0" w:type="dxa"/>
            <w:bottom w:w="0" w:type="dxa"/>
          </w:tblCellMar>
        </w:tblPrEx>
        <w:tc>
          <w:tcPr>
            <w:tcW w:w="1247" w:type="dxa"/>
          </w:tcPr>
          <w:p w14:paraId="7C53CA99" w14:textId="77777777" w:rsidR="00CF41DB" w:rsidRPr="00CF41DB" w:rsidRDefault="00CF41DB" w:rsidP="00CF41DB">
            <w:pPr>
              <w:spacing w:line="240" w:lineRule="auto"/>
              <w:jc w:val="left"/>
              <w:rPr>
                <w:rFonts w:cs="Frankruhel"/>
                <w:sz w:val="24"/>
                <w:rtl/>
              </w:rPr>
            </w:pPr>
            <w:r>
              <w:rPr>
                <w:rFonts w:cs="Times New Roman"/>
                <w:sz w:val="24"/>
                <w:rtl/>
              </w:rPr>
              <w:t xml:space="preserve">סעיף 1 </w:t>
            </w:r>
          </w:p>
        </w:tc>
        <w:tc>
          <w:tcPr>
            <w:tcW w:w="5669" w:type="dxa"/>
          </w:tcPr>
          <w:p w14:paraId="359041A0" w14:textId="77777777" w:rsidR="00CF41DB" w:rsidRPr="00CF41DB" w:rsidRDefault="00CF41DB" w:rsidP="00CF41DB">
            <w:pPr>
              <w:spacing w:line="240" w:lineRule="auto"/>
              <w:jc w:val="left"/>
              <w:rPr>
                <w:rFonts w:cs="Frankruhel"/>
                <w:sz w:val="24"/>
                <w:rtl/>
              </w:rPr>
            </w:pPr>
            <w:r>
              <w:rPr>
                <w:rFonts w:cs="Times New Roman"/>
                <w:sz w:val="24"/>
                <w:rtl/>
              </w:rPr>
              <w:t>גביה בישראל של מס שהוטל באזור</w:t>
            </w:r>
          </w:p>
        </w:tc>
        <w:tc>
          <w:tcPr>
            <w:tcW w:w="567" w:type="dxa"/>
          </w:tcPr>
          <w:p w14:paraId="7A325C48" w14:textId="77777777" w:rsidR="00CF41DB" w:rsidRPr="00CF41DB" w:rsidRDefault="00CF41DB" w:rsidP="00CF41DB">
            <w:pPr>
              <w:spacing w:line="240" w:lineRule="auto"/>
              <w:jc w:val="left"/>
              <w:rPr>
                <w:rStyle w:val="Hyperlink"/>
                <w:rtl/>
              </w:rPr>
            </w:pPr>
            <w:hyperlink w:anchor="Seif1" w:tooltip="גביה בישראל של מס שהוטל באזור" w:history="1">
              <w:r w:rsidRPr="00CF41DB">
                <w:rPr>
                  <w:rStyle w:val="Hyperlink"/>
                </w:rPr>
                <w:t>Go</w:t>
              </w:r>
            </w:hyperlink>
          </w:p>
        </w:tc>
        <w:tc>
          <w:tcPr>
            <w:tcW w:w="850" w:type="dxa"/>
          </w:tcPr>
          <w:p w14:paraId="790B2918" w14:textId="77777777" w:rsidR="00CF41DB" w:rsidRPr="00CF41DB" w:rsidRDefault="00CF41DB" w:rsidP="00CF41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F41DB" w:rsidRPr="00CF41DB" w14:paraId="25F69913" w14:textId="77777777">
        <w:tblPrEx>
          <w:tblCellMar>
            <w:top w:w="0" w:type="dxa"/>
            <w:bottom w:w="0" w:type="dxa"/>
          </w:tblCellMar>
        </w:tblPrEx>
        <w:tc>
          <w:tcPr>
            <w:tcW w:w="1247" w:type="dxa"/>
          </w:tcPr>
          <w:p w14:paraId="42BEB047" w14:textId="77777777" w:rsidR="00CF41DB" w:rsidRPr="00CF41DB" w:rsidRDefault="00CF41DB" w:rsidP="00CF41DB">
            <w:pPr>
              <w:spacing w:line="240" w:lineRule="auto"/>
              <w:jc w:val="left"/>
              <w:rPr>
                <w:rFonts w:cs="Frankruhel"/>
                <w:sz w:val="24"/>
                <w:rtl/>
              </w:rPr>
            </w:pPr>
            <w:r>
              <w:rPr>
                <w:rFonts w:cs="Times New Roman"/>
                <w:sz w:val="24"/>
                <w:rtl/>
              </w:rPr>
              <w:t xml:space="preserve">סעיף 1א </w:t>
            </w:r>
          </w:p>
        </w:tc>
        <w:tc>
          <w:tcPr>
            <w:tcW w:w="5669" w:type="dxa"/>
          </w:tcPr>
          <w:p w14:paraId="287D6B29" w14:textId="77777777" w:rsidR="00CF41DB" w:rsidRPr="00CF41DB" w:rsidRDefault="00CF41DB" w:rsidP="00CF41DB">
            <w:pPr>
              <w:spacing w:line="240" w:lineRule="auto"/>
              <w:jc w:val="left"/>
              <w:rPr>
                <w:rFonts w:cs="Frankruhel"/>
                <w:sz w:val="24"/>
                <w:rtl/>
              </w:rPr>
            </w:pPr>
            <w:r>
              <w:rPr>
                <w:rFonts w:cs="Times New Roman"/>
                <w:sz w:val="24"/>
                <w:rtl/>
              </w:rPr>
              <w:t>גביית ארנונה צו תש"ע 2010</w:t>
            </w:r>
          </w:p>
        </w:tc>
        <w:tc>
          <w:tcPr>
            <w:tcW w:w="567" w:type="dxa"/>
          </w:tcPr>
          <w:p w14:paraId="6E84D5CA" w14:textId="77777777" w:rsidR="00CF41DB" w:rsidRPr="00CF41DB" w:rsidRDefault="00CF41DB" w:rsidP="00CF41DB">
            <w:pPr>
              <w:spacing w:line="240" w:lineRule="auto"/>
              <w:jc w:val="left"/>
              <w:rPr>
                <w:rStyle w:val="Hyperlink"/>
                <w:rtl/>
              </w:rPr>
            </w:pPr>
            <w:hyperlink w:anchor="Seif3" w:tooltip="גביית ארנונה צו תשע 2010" w:history="1">
              <w:r w:rsidRPr="00CF41DB">
                <w:rPr>
                  <w:rStyle w:val="Hyperlink"/>
                </w:rPr>
                <w:t>Go</w:t>
              </w:r>
            </w:hyperlink>
          </w:p>
        </w:tc>
        <w:tc>
          <w:tcPr>
            <w:tcW w:w="850" w:type="dxa"/>
          </w:tcPr>
          <w:p w14:paraId="790A94AD" w14:textId="77777777" w:rsidR="00CF41DB" w:rsidRPr="00CF41DB" w:rsidRDefault="00CF41DB" w:rsidP="00CF41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F41DB" w:rsidRPr="00CF41DB" w14:paraId="598E8684" w14:textId="77777777">
        <w:tblPrEx>
          <w:tblCellMar>
            <w:top w:w="0" w:type="dxa"/>
            <w:bottom w:w="0" w:type="dxa"/>
          </w:tblCellMar>
        </w:tblPrEx>
        <w:tc>
          <w:tcPr>
            <w:tcW w:w="1247" w:type="dxa"/>
          </w:tcPr>
          <w:p w14:paraId="005B3ADC" w14:textId="77777777" w:rsidR="00CF41DB" w:rsidRPr="00CF41DB" w:rsidRDefault="00CF41DB" w:rsidP="00CF41DB">
            <w:pPr>
              <w:spacing w:line="240" w:lineRule="auto"/>
              <w:jc w:val="left"/>
              <w:rPr>
                <w:rFonts w:cs="Frankruhel"/>
                <w:sz w:val="24"/>
                <w:rtl/>
              </w:rPr>
            </w:pPr>
            <w:r>
              <w:rPr>
                <w:rFonts w:cs="Times New Roman"/>
                <w:sz w:val="24"/>
                <w:rtl/>
              </w:rPr>
              <w:t xml:space="preserve">סעיף 2 </w:t>
            </w:r>
          </w:p>
        </w:tc>
        <w:tc>
          <w:tcPr>
            <w:tcW w:w="5669" w:type="dxa"/>
          </w:tcPr>
          <w:p w14:paraId="46EDABF0" w14:textId="77777777" w:rsidR="00CF41DB" w:rsidRPr="00CF41DB" w:rsidRDefault="00CF41DB" w:rsidP="00CF41DB">
            <w:pPr>
              <w:spacing w:line="240" w:lineRule="auto"/>
              <w:jc w:val="left"/>
              <w:rPr>
                <w:rFonts w:cs="Frankruhel"/>
                <w:sz w:val="24"/>
                <w:rtl/>
              </w:rPr>
            </w:pPr>
            <w:r>
              <w:rPr>
                <w:rFonts w:cs="Times New Roman"/>
                <w:sz w:val="24"/>
                <w:rtl/>
              </w:rPr>
              <w:t>תחולה</w:t>
            </w:r>
          </w:p>
        </w:tc>
        <w:tc>
          <w:tcPr>
            <w:tcW w:w="567" w:type="dxa"/>
          </w:tcPr>
          <w:p w14:paraId="26EA01DD" w14:textId="77777777" w:rsidR="00CF41DB" w:rsidRPr="00CF41DB" w:rsidRDefault="00CF41DB" w:rsidP="00CF41DB">
            <w:pPr>
              <w:spacing w:line="240" w:lineRule="auto"/>
              <w:jc w:val="left"/>
              <w:rPr>
                <w:rStyle w:val="Hyperlink"/>
                <w:rtl/>
              </w:rPr>
            </w:pPr>
            <w:hyperlink w:anchor="Seif2" w:tooltip="תחולה" w:history="1">
              <w:r w:rsidRPr="00CF41DB">
                <w:rPr>
                  <w:rStyle w:val="Hyperlink"/>
                </w:rPr>
                <w:t>Go</w:t>
              </w:r>
            </w:hyperlink>
          </w:p>
        </w:tc>
        <w:tc>
          <w:tcPr>
            <w:tcW w:w="850" w:type="dxa"/>
          </w:tcPr>
          <w:p w14:paraId="7A563DD1" w14:textId="77777777" w:rsidR="00CF41DB" w:rsidRPr="00CF41DB" w:rsidRDefault="00CF41DB" w:rsidP="00CF41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BCB5F14" w14:textId="77777777" w:rsidR="00706523" w:rsidRDefault="00706523">
      <w:pPr>
        <w:pStyle w:val="big-header"/>
        <w:ind w:left="0" w:right="1134"/>
        <w:rPr>
          <w:rtl/>
        </w:rPr>
      </w:pPr>
    </w:p>
    <w:p w14:paraId="540B5609" w14:textId="77777777" w:rsidR="00706523" w:rsidRPr="006D739D" w:rsidRDefault="00706523" w:rsidP="00F632D0">
      <w:pPr>
        <w:pStyle w:val="big-header"/>
        <w:ind w:left="0" w:right="1134"/>
        <w:rPr>
          <w:rStyle w:val="default"/>
          <w:rFonts w:cs="FrankRuehl" w:hint="cs"/>
          <w:szCs w:val="32"/>
          <w:rtl/>
        </w:rPr>
      </w:pPr>
      <w:r>
        <w:rPr>
          <w:rtl/>
        </w:rPr>
        <w:br w:type="page"/>
      </w:r>
      <w:r w:rsidR="00F632D0">
        <w:rPr>
          <w:rtl/>
          <w:lang w:eastAsia="en-US"/>
        </w:rPr>
        <w:lastRenderedPageBreak/>
        <w:pict w14:anchorId="07372617">
          <v:shapetype id="_x0000_t202" coordsize="21600,21600" o:spt="202" path="m,l,21600r21600,l21600,xe">
            <v:stroke joinstyle="miter"/>
            <v:path gradientshapeok="t" o:connecttype="rect"/>
          </v:shapetype>
          <v:shape id="_x0000_s1028" type="#_x0000_t202" style="position:absolute;left:0;text-align:left;margin-left:470.25pt;margin-top:25.5pt;width:1in;height:11.95pt;z-index:251658240" filled="f" stroked="f">
            <v:textbox inset="1mm,0,1mm,0">
              <w:txbxContent>
                <w:p w14:paraId="0F511C43" w14:textId="77777777" w:rsidR="00F632D0" w:rsidRDefault="00F632D0" w:rsidP="00F632D0">
                  <w:pPr>
                    <w:spacing w:line="160" w:lineRule="exact"/>
                    <w:jc w:val="left"/>
                    <w:rPr>
                      <w:rFonts w:cs="Miriam" w:hint="cs"/>
                      <w:noProof/>
                      <w:szCs w:val="18"/>
                      <w:rtl/>
                    </w:rPr>
                  </w:pPr>
                  <w:r>
                    <w:rPr>
                      <w:rFonts w:cs="Miriam" w:hint="cs"/>
                      <w:szCs w:val="18"/>
                      <w:rtl/>
                    </w:rPr>
                    <w:t>צו תש"ע-2010</w:t>
                  </w:r>
                </w:p>
              </w:txbxContent>
            </v:textbox>
            <w10:anchorlock/>
          </v:shape>
        </w:pict>
      </w:r>
      <w:r>
        <w:rPr>
          <w:rtl/>
        </w:rPr>
        <w:t>צ</w:t>
      </w:r>
      <w:r>
        <w:rPr>
          <w:rFonts w:hint="cs"/>
          <w:rtl/>
        </w:rPr>
        <w:t xml:space="preserve">ו שעת חירום (יהודה והשומרון </w:t>
      </w:r>
      <w:r w:rsidR="00F632D0">
        <w:rPr>
          <w:rtl/>
        </w:rPr>
        <w:t>–</w:t>
      </w:r>
      <w:r>
        <w:rPr>
          <w:rFonts w:hint="cs"/>
          <w:rtl/>
        </w:rPr>
        <w:t xml:space="preserve"> עזרה משפטית בגביית מסים), </w:t>
      </w:r>
      <w:r w:rsidR="00F632D0">
        <w:rPr>
          <w:rtl/>
        </w:rPr>
        <w:br/>
      </w:r>
      <w:r>
        <w:rPr>
          <w:rFonts w:hint="cs"/>
          <w:rtl/>
        </w:rPr>
        <w:t>תשמ"ח</w:t>
      </w:r>
      <w:r w:rsidR="00FE7834">
        <w:rPr>
          <w:rFonts w:hint="cs"/>
          <w:rtl/>
        </w:rPr>
        <w:t>-</w:t>
      </w:r>
      <w:r>
        <w:rPr>
          <w:rFonts w:hint="cs"/>
          <w:rtl/>
        </w:rPr>
        <w:t>1988</w:t>
      </w:r>
      <w:r w:rsidR="00FE7834">
        <w:rPr>
          <w:rStyle w:val="a6"/>
          <w:rtl/>
        </w:rPr>
        <w:footnoteReference w:customMarkFollows="1" w:id="1"/>
        <w:t>*</w:t>
      </w:r>
    </w:p>
    <w:p w14:paraId="51F073F4" w14:textId="77777777" w:rsidR="00F632D0" w:rsidRPr="00F632D0" w:rsidRDefault="00F632D0" w:rsidP="00F632D0">
      <w:pPr>
        <w:pStyle w:val="P00"/>
        <w:spacing w:before="0"/>
        <w:ind w:left="0" w:right="1134"/>
        <w:rPr>
          <w:rFonts w:hint="cs"/>
          <w:vanish/>
          <w:color w:val="FF0000"/>
          <w:szCs w:val="20"/>
          <w:shd w:val="clear" w:color="auto" w:fill="FFFF99"/>
          <w:rtl/>
        </w:rPr>
      </w:pPr>
      <w:bookmarkStart w:id="0" w:name="Rov4"/>
      <w:r w:rsidRPr="00F632D0">
        <w:rPr>
          <w:rFonts w:hint="cs"/>
          <w:vanish/>
          <w:color w:val="FF0000"/>
          <w:szCs w:val="20"/>
          <w:shd w:val="clear" w:color="auto" w:fill="FFFF99"/>
          <w:rtl/>
        </w:rPr>
        <w:t>מיום 5.5.2010</w:t>
      </w:r>
    </w:p>
    <w:p w14:paraId="109D4BEF" w14:textId="77777777" w:rsidR="00F632D0" w:rsidRPr="00F632D0" w:rsidRDefault="00F632D0" w:rsidP="00F632D0">
      <w:pPr>
        <w:pStyle w:val="P00"/>
        <w:spacing w:before="0"/>
        <w:ind w:left="0" w:right="1134"/>
        <w:rPr>
          <w:rFonts w:hint="cs"/>
          <w:vanish/>
          <w:szCs w:val="20"/>
          <w:shd w:val="clear" w:color="auto" w:fill="FFFF99"/>
          <w:rtl/>
        </w:rPr>
      </w:pPr>
      <w:r w:rsidRPr="00F632D0">
        <w:rPr>
          <w:rFonts w:hint="cs"/>
          <w:b/>
          <w:bCs/>
          <w:vanish/>
          <w:szCs w:val="20"/>
          <w:shd w:val="clear" w:color="auto" w:fill="FFFF99"/>
          <w:rtl/>
        </w:rPr>
        <w:t>צו תש"ע-2010</w:t>
      </w:r>
    </w:p>
    <w:p w14:paraId="7D76BFB3" w14:textId="77777777" w:rsidR="00F632D0" w:rsidRPr="00F632D0" w:rsidRDefault="00F632D0" w:rsidP="00F632D0">
      <w:pPr>
        <w:pStyle w:val="P00"/>
        <w:spacing w:before="0"/>
        <w:ind w:left="0" w:right="1134"/>
        <w:rPr>
          <w:rFonts w:hint="cs"/>
          <w:vanish/>
          <w:szCs w:val="20"/>
          <w:shd w:val="clear" w:color="auto" w:fill="FFFF99"/>
          <w:rtl/>
        </w:rPr>
      </w:pPr>
      <w:hyperlink r:id="rId6" w:history="1">
        <w:r w:rsidRPr="00F632D0">
          <w:rPr>
            <w:rStyle w:val="Hyperlink"/>
            <w:rFonts w:hint="cs"/>
            <w:vanish/>
            <w:szCs w:val="20"/>
            <w:shd w:val="clear" w:color="auto" w:fill="FFFF99"/>
            <w:rtl/>
          </w:rPr>
          <w:t>ק"ת תש"ע מס' 6890</w:t>
        </w:r>
      </w:hyperlink>
      <w:r w:rsidRPr="00F632D0">
        <w:rPr>
          <w:rFonts w:hint="cs"/>
          <w:vanish/>
          <w:szCs w:val="20"/>
          <w:shd w:val="clear" w:color="auto" w:fill="FFFF99"/>
          <w:rtl/>
        </w:rPr>
        <w:t xml:space="preserve"> מיום 5.5.2010 עמ' 1070</w:t>
      </w:r>
    </w:p>
    <w:p w14:paraId="4FA538DA" w14:textId="77777777" w:rsidR="00F632D0" w:rsidRPr="00F632D0" w:rsidRDefault="00F632D0" w:rsidP="00F632D0">
      <w:pPr>
        <w:pStyle w:val="P00"/>
        <w:spacing w:before="60"/>
        <w:ind w:left="0" w:right="1134"/>
        <w:rPr>
          <w:rFonts w:hint="cs"/>
          <w:sz w:val="2"/>
          <w:szCs w:val="2"/>
          <w:rtl/>
        </w:rPr>
      </w:pPr>
      <w:r w:rsidRPr="00F632D0">
        <w:rPr>
          <w:rFonts w:hint="cs"/>
          <w:vanish/>
          <w:sz w:val="22"/>
          <w:szCs w:val="22"/>
          <w:shd w:val="clear" w:color="auto" w:fill="FFFF99"/>
          <w:rtl/>
        </w:rPr>
        <w:t xml:space="preserve">צו שעת חירום (יהודה והשומרון </w:t>
      </w:r>
      <w:r w:rsidRPr="00F632D0">
        <w:rPr>
          <w:rFonts w:hint="cs"/>
          <w:strike/>
          <w:vanish/>
          <w:sz w:val="22"/>
          <w:szCs w:val="22"/>
          <w:shd w:val="clear" w:color="auto" w:fill="FFFF99"/>
          <w:rtl/>
        </w:rPr>
        <w:t>וחבל עזה</w:t>
      </w:r>
      <w:r w:rsidRPr="00F632D0">
        <w:rPr>
          <w:rFonts w:hint="cs"/>
          <w:vanish/>
          <w:sz w:val="22"/>
          <w:szCs w:val="22"/>
          <w:shd w:val="clear" w:color="auto" w:fill="FFFF99"/>
          <w:rtl/>
        </w:rPr>
        <w:t xml:space="preserve"> </w:t>
      </w:r>
      <w:r w:rsidRPr="00F632D0">
        <w:rPr>
          <w:vanish/>
          <w:sz w:val="22"/>
          <w:szCs w:val="22"/>
          <w:shd w:val="clear" w:color="auto" w:fill="FFFF99"/>
          <w:rtl/>
        </w:rPr>
        <w:t>–</w:t>
      </w:r>
      <w:r w:rsidRPr="00F632D0">
        <w:rPr>
          <w:rFonts w:hint="cs"/>
          <w:vanish/>
          <w:sz w:val="22"/>
          <w:szCs w:val="22"/>
          <w:shd w:val="clear" w:color="auto" w:fill="FFFF99"/>
          <w:rtl/>
        </w:rPr>
        <w:t xml:space="preserve"> עזרה משפטית בגביית מסים), תשמ"ח-1988</w:t>
      </w:r>
      <w:bookmarkEnd w:id="0"/>
    </w:p>
    <w:p w14:paraId="1082E2BB" w14:textId="77777777" w:rsidR="00706523" w:rsidRDefault="00706523" w:rsidP="00FE7834">
      <w:pPr>
        <w:pStyle w:val="P00"/>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תקנה 7א לתקנות שעת חירום (יהודה והשומרון וחבל עזה - שיפוט בעבירות ועזרה משפטית), תשכ"ח</w:t>
      </w:r>
      <w:r w:rsidR="00FE7834">
        <w:rPr>
          <w:rStyle w:val="default"/>
          <w:rFonts w:cs="FrankRuehl" w:hint="cs"/>
          <w:rtl/>
        </w:rPr>
        <w:t>-</w:t>
      </w:r>
      <w:r>
        <w:rPr>
          <w:rStyle w:val="default"/>
          <w:rFonts w:cs="FrankRuehl" w:hint="cs"/>
          <w:rtl/>
        </w:rPr>
        <w:t>1967, ושאר</w:t>
      </w:r>
      <w:r>
        <w:rPr>
          <w:rStyle w:val="default"/>
          <w:rFonts w:cs="FrankRuehl"/>
          <w:rtl/>
        </w:rPr>
        <w:t xml:space="preserve"> </w:t>
      </w:r>
      <w:r>
        <w:rPr>
          <w:rStyle w:val="default"/>
          <w:rFonts w:cs="FrankRuehl" w:hint="cs"/>
          <w:rtl/>
        </w:rPr>
        <w:t>הסמכויות הנתונות לי על פי דין, אני מצווה לאמור:</w:t>
      </w:r>
    </w:p>
    <w:p w14:paraId="0840EA1E" w14:textId="77777777" w:rsidR="00706523" w:rsidRDefault="00706523">
      <w:pPr>
        <w:pStyle w:val="P00"/>
        <w:ind w:left="0" w:right="1134"/>
        <w:rPr>
          <w:rStyle w:val="default"/>
          <w:rFonts w:cs="FrankRuehl" w:hint="cs"/>
          <w:rtl/>
        </w:rPr>
      </w:pPr>
      <w:bookmarkStart w:id="1" w:name="Seif1"/>
      <w:bookmarkEnd w:id="1"/>
      <w:r>
        <w:rPr>
          <w:lang w:val="he-IL"/>
        </w:rPr>
        <w:pict w14:anchorId="69BCEDE9">
          <v:rect id="_x0000_s1026" style="position:absolute;left:0;text-align:left;margin-left:464.5pt;margin-top:8.05pt;width:75.05pt;height:20.4pt;z-index:251656192" o:allowincell="f" filled="f" stroked="f" strokecolor="lime" strokeweight=".25pt">
            <v:textbox inset="0,0,0,0">
              <w:txbxContent>
                <w:p w14:paraId="79D239E7" w14:textId="77777777" w:rsidR="00706523" w:rsidRDefault="00706523" w:rsidP="00FE7834">
                  <w:pPr>
                    <w:spacing w:line="160" w:lineRule="exact"/>
                    <w:jc w:val="left"/>
                    <w:rPr>
                      <w:rFonts w:cs="Miriam"/>
                      <w:noProof/>
                      <w:szCs w:val="18"/>
                      <w:rtl/>
                    </w:rPr>
                  </w:pPr>
                  <w:r>
                    <w:rPr>
                      <w:rFonts w:cs="Miriam"/>
                      <w:szCs w:val="18"/>
                      <w:rtl/>
                    </w:rPr>
                    <w:t>ג</w:t>
                  </w:r>
                  <w:r>
                    <w:rPr>
                      <w:rFonts w:cs="Miriam" w:hint="cs"/>
                      <w:szCs w:val="18"/>
                      <w:rtl/>
                    </w:rPr>
                    <w:t>ביה בישראל</w:t>
                  </w:r>
                  <w:r w:rsidR="00FE7834">
                    <w:rPr>
                      <w:rFonts w:cs="Miriam" w:hint="cs"/>
                      <w:szCs w:val="18"/>
                      <w:rtl/>
                    </w:rPr>
                    <w:t xml:space="preserve"> </w:t>
                  </w:r>
                  <w:r>
                    <w:rPr>
                      <w:rFonts w:cs="Miriam"/>
                      <w:szCs w:val="18"/>
                      <w:rtl/>
                    </w:rPr>
                    <w:t>ש</w:t>
                  </w:r>
                  <w:r>
                    <w:rPr>
                      <w:rFonts w:cs="Miriam" w:hint="cs"/>
                      <w:szCs w:val="18"/>
                      <w:rtl/>
                    </w:rPr>
                    <w:t>ל מס</w:t>
                  </w:r>
                  <w:r w:rsidR="00FE7834">
                    <w:rPr>
                      <w:rFonts w:cs="Miriam" w:hint="cs"/>
                      <w:szCs w:val="18"/>
                      <w:rtl/>
                    </w:rPr>
                    <w:t xml:space="preserve"> </w:t>
                  </w:r>
                  <w:r>
                    <w:rPr>
                      <w:rFonts w:cs="Miriam"/>
                      <w:szCs w:val="18"/>
                      <w:rtl/>
                    </w:rPr>
                    <w:t>ש</w:t>
                  </w:r>
                  <w:r>
                    <w:rPr>
                      <w:rFonts w:cs="Miriam" w:hint="cs"/>
                      <w:szCs w:val="18"/>
                      <w:rtl/>
                    </w:rPr>
                    <w:t>הוטל באזור</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ס שהוטל באזור ניתן לגביה בישראל בידי מי שהוסמך לגבות מסים בישראל לפי פקודת המסים (גביה), כאילו היה מס שהוטל בישראל, והוא הדין באכיפתן בישראל של החלטות סופיות של רשות מוסמ</w:t>
      </w:r>
      <w:r>
        <w:rPr>
          <w:rStyle w:val="default"/>
          <w:rFonts w:cs="FrankRuehl"/>
          <w:rtl/>
        </w:rPr>
        <w:t>כ</w:t>
      </w:r>
      <w:r>
        <w:rPr>
          <w:rStyle w:val="default"/>
          <w:rFonts w:cs="FrankRuehl" w:hint="cs"/>
          <w:rtl/>
        </w:rPr>
        <w:t>ת באזור בדבר חבות במס.</w:t>
      </w:r>
    </w:p>
    <w:p w14:paraId="3D622DA2" w14:textId="77777777" w:rsidR="00F632D0" w:rsidRDefault="00F632D0" w:rsidP="00F632D0">
      <w:pPr>
        <w:pStyle w:val="P00"/>
        <w:ind w:left="0" w:right="1134"/>
        <w:rPr>
          <w:rStyle w:val="default"/>
          <w:rFonts w:cs="FrankRuehl" w:hint="cs"/>
          <w:rtl/>
        </w:rPr>
      </w:pPr>
      <w:bookmarkStart w:id="2" w:name="Seif3"/>
      <w:bookmarkEnd w:id="2"/>
      <w:r>
        <w:rPr>
          <w:lang w:val="he-IL"/>
        </w:rPr>
        <w:pict w14:anchorId="0FFFEE45">
          <v:rect id="_x0000_s1029" style="position:absolute;left:0;text-align:left;margin-left:464.5pt;margin-top:8.05pt;width:75.05pt;height:20.4pt;z-index:251659264" o:allowincell="f" filled="f" stroked="f" strokecolor="lime" strokeweight=".25pt">
            <v:textbox inset="0,0,0,0">
              <w:txbxContent>
                <w:p w14:paraId="200E3AA2" w14:textId="77777777" w:rsidR="00F632D0" w:rsidRDefault="00F632D0" w:rsidP="00F632D0">
                  <w:pPr>
                    <w:spacing w:line="160" w:lineRule="exact"/>
                    <w:jc w:val="left"/>
                    <w:rPr>
                      <w:rFonts w:cs="Miriam" w:hint="cs"/>
                      <w:szCs w:val="18"/>
                      <w:rtl/>
                    </w:rPr>
                  </w:pPr>
                  <w:r>
                    <w:rPr>
                      <w:rFonts w:cs="Miriam" w:hint="cs"/>
                      <w:szCs w:val="18"/>
                      <w:rtl/>
                    </w:rPr>
                    <w:t>גביית ארנונה</w:t>
                  </w:r>
                </w:p>
                <w:p w14:paraId="5CEC1B29" w14:textId="77777777" w:rsidR="00F632D0" w:rsidRDefault="00F632D0" w:rsidP="00F632D0">
                  <w:pPr>
                    <w:spacing w:line="160" w:lineRule="exact"/>
                    <w:jc w:val="left"/>
                    <w:rPr>
                      <w:rFonts w:cs="Miriam" w:hint="cs"/>
                      <w:noProof/>
                      <w:szCs w:val="18"/>
                      <w:rtl/>
                    </w:rPr>
                  </w:pPr>
                  <w:r>
                    <w:rPr>
                      <w:rFonts w:cs="Miriam" w:hint="cs"/>
                      <w:szCs w:val="18"/>
                      <w:rtl/>
                    </w:rPr>
                    <w:t>צו תש"ע-2010</w:t>
                  </w:r>
                </w:p>
              </w:txbxContent>
            </v:textbox>
            <w10:anchorlock/>
          </v:rect>
        </w:pict>
      </w:r>
      <w:r>
        <w:rPr>
          <w:rStyle w:val="big-number"/>
          <w:rtl/>
        </w:rPr>
        <w:t>1</w:t>
      </w:r>
      <w:r>
        <w:rPr>
          <w:rStyle w:val="default"/>
          <w:rFonts w:cs="FrankRuehl" w:hint="cs"/>
          <w:rtl/>
        </w:rPr>
        <w:t>א</w:t>
      </w:r>
      <w:r w:rsidRPr="00F632D0">
        <w:rPr>
          <w:rStyle w:val="default"/>
          <w:rFonts w:cs="FrankRuehl"/>
          <w:rtl/>
        </w:rPr>
        <w:t>.</w:t>
      </w:r>
      <w:r w:rsidRPr="00F632D0">
        <w:rPr>
          <w:rStyle w:val="default"/>
          <w:rFonts w:cs="FrankRuehl"/>
          <w:rtl/>
        </w:rPr>
        <w:tab/>
      </w:r>
      <w:r>
        <w:rPr>
          <w:rStyle w:val="default"/>
          <w:rFonts w:cs="FrankRuehl" w:hint="cs"/>
          <w:rtl/>
        </w:rPr>
        <w:t>(א)</w:t>
      </w:r>
      <w:r>
        <w:rPr>
          <w:rStyle w:val="default"/>
          <w:rFonts w:cs="FrankRuehl" w:hint="cs"/>
          <w:rtl/>
        </w:rPr>
        <w:tab/>
        <w:t xml:space="preserve">על אף האמור בסעיף 1, ארנונה המגיעה לרשות מקומית באזור לפי תקנון המועצות האזוריות (יהודה והשומרון), התשל"ט-1979, או לפי תקנון המועצות המקומיות (יהודה והשומרון), התשמ"א-1981, לפי העניין (להלן </w:t>
      </w:r>
      <w:r>
        <w:rPr>
          <w:rStyle w:val="default"/>
          <w:rFonts w:cs="FrankRuehl"/>
          <w:rtl/>
        </w:rPr>
        <w:t>–</w:t>
      </w:r>
      <w:r>
        <w:rPr>
          <w:rStyle w:val="default"/>
          <w:rFonts w:cs="FrankRuehl" w:hint="cs"/>
          <w:rtl/>
        </w:rPr>
        <w:t xml:space="preserve"> התקנון), ניתנת לגבייה בישראל בידי הרשות המוסמכת לגבות את הארנונה לפי התקנון, בהתאם לסמכויותיה לפי התקנון ובלבד שלרשות המוסמכת באזור לא תהיה בישראל סמכות שלא ניתנה לרשות המקומית המוסמכת בישראל לעניין גביית ארנונה.</w:t>
      </w:r>
    </w:p>
    <w:p w14:paraId="7A7D642F" w14:textId="77777777" w:rsidR="00F632D0" w:rsidRDefault="00F632D0" w:rsidP="00F632D0">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לא יינקטו פעולות לפי סעיף קטן (א) כל עוד לא חלף המועד להגשת השגה, ערר או ערעור, לפי העניין, בהתאם להוראות התקנון (להלן </w:t>
      </w:r>
      <w:r>
        <w:rPr>
          <w:rStyle w:val="default"/>
          <w:rFonts w:cs="FrankRuehl"/>
          <w:rtl/>
        </w:rPr>
        <w:t>–</w:t>
      </w:r>
      <w:r>
        <w:rPr>
          <w:rStyle w:val="default"/>
          <w:rFonts w:cs="FrankRuehl" w:hint="cs"/>
          <w:rtl/>
        </w:rPr>
        <w:t xml:space="preserve"> הליכי ערעור), ואם הגיש אדם הליכי ערעור כאמור </w:t>
      </w:r>
      <w:r>
        <w:rPr>
          <w:rStyle w:val="default"/>
          <w:rFonts w:cs="FrankRuehl"/>
          <w:rtl/>
        </w:rPr>
        <w:t>–</w:t>
      </w:r>
      <w:r>
        <w:rPr>
          <w:rStyle w:val="default"/>
          <w:rFonts w:cs="FrankRuehl" w:hint="cs"/>
          <w:rtl/>
        </w:rPr>
        <w:t xml:space="preserve"> כל עוד לא ניתן פסק דין סופי או החלטה סופית, שאינה ניתנת לערעור עוד.</w:t>
      </w:r>
    </w:p>
    <w:p w14:paraId="37795217" w14:textId="77777777" w:rsidR="00F632D0" w:rsidRPr="00F632D0" w:rsidRDefault="00F632D0" w:rsidP="00F632D0">
      <w:pPr>
        <w:pStyle w:val="P00"/>
        <w:spacing w:before="0"/>
        <w:ind w:left="0" w:right="1134"/>
        <w:rPr>
          <w:rFonts w:hint="cs"/>
          <w:vanish/>
          <w:color w:val="FF0000"/>
          <w:szCs w:val="20"/>
          <w:shd w:val="clear" w:color="auto" w:fill="FFFF99"/>
          <w:rtl/>
        </w:rPr>
      </w:pPr>
      <w:bookmarkStart w:id="3" w:name="Rov5"/>
      <w:r w:rsidRPr="00F632D0">
        <w:rPr>
          <w:rFonts w:hint="cs"/>
          <w:vanish/>
          <w:color w:val="FF0000"/>
          <w:szCs w:val="20"/>
          <w:shd w:val="clear" w:color="auto" w:fill="FFFF99"/>
          <w:rtl/>
        </w:rPr>
        <w:t>מיום 5.5.2010</w:t>
      </w:r>
    </w:p>
    <w:p w14:paraId="444F0F4D" w14:textId="77777777" w:rsidR="00F632D0" w:rsidRPr="00F632D0" w:rsidRDefault="00F632D0" w:rsidP="00F632D0">
      <w:pPr>
        <w:pStyle w:val="P00"/>
        <w:spacing w:before="0"/>
        <w:ind w:left="0" w:right="1134"/>
        <w:rPr>
          <w:rFonts w:hint="cs"/>
          <w:vanish/>
          <w:szCs w:val="20"/>
          <w:shd w:val="clear" w:color="auto" w:fill="FFFF99"/>
          <w:rtl/>
        </w:rPr>
      </w:pPr>
      <w:r w:rsidRPr="00F632D0">
        <w:rPr>
          <w:rFonts w:hint="cs"/>
          <w:b/>
          <w:bCs/>
          <w:vanish/>
          <w:szCs w:val="20"/>
          <w:shd w:val="clear" w:color="auto" w:fill="FFFF99"/>
          <w:rtl/>
        </w:rPr>
        <w:t>צו תש"ע-2010</w:t>
      </w:r>
    </w:p>
    <w:p w14:paraId="280AD9BC" w14:textId="77777777" w:rsidR="00F632D0" w:rsidRPr="00F632D0" w:rsidRDefault="00F632D0" w:rsidP="00F632D0">
      <w:pPr>
        <w:pStyle w:val="P00"/>
        <w:spacing w:before="0"/>
        <w:ind w:left="0" w:right="1134"/>
        <w:rPr>
          <w:rFonts w:hint="cs"/>
          <w:vanish/>
          <w:szCs w:val="20"/>
          <w:shd w:val="clear" w:color="auto" w:fill="FFFF99"/>
          <w:rtl/>
        </w:rPr>
      </w:pPr>
      <w:hyperlink r:id="rId7" w:history="1">
        <w:r w:rsidRPr="00F632D0">
          <w:rPr>
            <w:rStyle w:val="Hyperlink"/>
            <w:rFonts w:hint="cs"/>
            <w:vanish/>
            <w:szCs w:val="20"/>
            <w:shd w:val="clear" w:color="auto" w:fill="FFFF99"/>
            <w:rtl/>
          </w:rPr>
          <w:t>ק"ת תש"ע מס' 6890</w:t>
        </w:r>
      </w:hyperlink>
      <w:r w:rsidRPr="00F632D0">
        <w:rPr>
          <w:rFonts w:hint="cs"/>
          <w:vanish/>
          <w:szCs w:val="20"/>
          <w:shd w:val="clear" w:color="auto" w:fill="FFFF99"/>
          <w:rtl/>
        </w:rPr>
        <w:t xml:space="preserve"> מיום 5.5.2010 עמ' 1070</w:t>
      </w:r>
    </w:p>
    <w:p w14:paraId="434FD631" w14:textId="77777777" w:rsidR="00F632D0" w:rsidRPr="00F632D0" w:rsidRDefault="00F632D0" w:rsidP="00F632D0">
      <w:pPr>
        <w:pStyle w:val="P00"/>
        <w:spacing w:before="0"/>
        <w:ind w:left="0" w:right="1134"/>
        <w:rPr>
          <w:rFonts w:hint="cs"/>
          <w:sz w:val="2"/>
          <w:szCs w:val="2"/>
          <w:rtl/>
        </w:rPr>
      </w:pPr>
      <w:r w:rsidRPr="00F632D0">
        <w:rPr>
          <w:rFonts w:hint="cs"/>
          <w:b/>
          <w:bCs/>
          <w:vanish/>
          <w:szCs w:val="20"/>
          <w:shd w:val="clear" w:color="auto" w:fill="FFFF99"/>
          <w:rtl/>
        </w:rPr>
        <w:t>הוספת סעיף 1א</w:t>
      </w:r>
      <w:bookmarkEnd w:id="3"/>
    </w:p>
    <w:p w14:paraId="68D8E7EC" w14:textId="77777777" w:rsidR="00706523" w:rsidRDefault="00706523">
      <w:pPr>
        <w:pStyle w:val="P00"/>
        <w:ind w:left="0" w:right="1134"/>
        <w:rPr>
          <w:rStyle w:val="default"/>
          <w:rFonts w:cs="FrankRuehl"/>
          <w:rtl/>
        </w:rPr>
      </w:pPr>
      <w:bookmarkStart w:id="4" w:name="Seif2"/>
      <w:bookmarkEnd w:id="4"/>
      <w:r>
        <w:rPr>
          <w:lang w:val="he-IL"/>
        </w:rPr>
        <w:pict w14:anchorId="686492BF">
          <v:rect id="_x0000_s1027" style="position:absolute;left:0;text-align:left;margin-left:464.5pt;margin-top:8.05pt;width:75.05pt;height:10pt;z-index:251657216" o:allowincell="f" filled="f" stroked="f" strokecolor="lime" strokeweight=".25pt">
            <v:textbox inset="0,0,0,0">
              <w:txbxContent>
                <w:p w14:paraId="6D910275" w14:textId="77777777" w:rsidR="00706523" w:rsidRDefault="00706523">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צ</w:t>
      </w:r>
      <w:r>
        <w:rPr>
          <w:rStyle w:val="default"/>
          <w:rFonts w:cs="FrankRuehl" w:hint="cs"/>
          <w:rtl/>
        </w:rPr>
        <w:t>ו זה יחול גם על חוב מס שנוצר לפני תחילתו.</w:t>
      </w:r>
    </w:p>
    <w:p w14:paraId="64462592" w14:textId="77777777" w:rsidR="00706523" w:rsidRDefault="00706523">
      <w:pPr>
        <w:pStyle w:val="P00"/>
        <w:ind w:left="0" w:right="1134"/>
        <w:rPr>
          <w:rStyle w:val="default"/>
          <w:rFonts w:cs="FrankRuehl" w:hint="cs"/>
          <w:rtl/>
        </w:rPr>
      </w:pPr>
    </w:p>
    <w:p w14:paraId="721C2DE6" w14:textId="77777777" w:rsidR="00FE7834" w:rsidRDefault="00FE7834">
      <w:pPr>
        <w:pStyle w:val="P00"/>
        <w:ind w:left="0" w:right="1134"/>
        <w:rPr>
          <w:rStyle w:val="default"/>
          <w:rFonts w:cs="FrankRuehl" w:hint="cs"/>
          <w:rtl/>
        </w:rPr>
      </w:pPr>
    </w:p>
    <w:p w14:paraId="3E19C4EB" w14:textId="77777777" w:rsidR="00706523" w:rsidRDefault="00706523">
      <w:pPr>
        <w:pStyle w:val="sig-0"/>
        <w:ind w:left="0" w:right="1134"/>
        <w:rPr>
          <w:rtl/>
        </w:rPr>
      </w:pPr>
      <w:r>
        <w:rPr>
          <w:rtl/>
        </w:rPr>
        <w:t>כ</w:t>
      </w:r>
      <w:r>
        <w:rPr>
          <w:rFonts w:hint="cs"/>
          <w:rtl/>
        </w:rPr>
        <w:t>"ה בתמוז תשמ"ח (10 ביולי 1988)</w:t>
      </w:r>
      <w:r>
        <w:rPr>
          <w:rtl/>
        </w:rPr>
        <w:tab/>
      </w:r>
      <w:r>
        <w:rPr>
          <w:rFonts w:hint="cs"/>
          <w:rtl/>
        </w:rPr>
        <w:t>אברהם שריר</w:t>
      </w:r>
    </w:p>
    <w:p w14:paraId="7DA448A7" w14:textId="77777777" w:rsidR="00706523" w:rsidRDefault="00706523">
      <w:pPr>
        <w:pStyle w:val="sig-1"/>
        <w:widowControl/>
        <w:ind w:left="0" w:right="1134"/>
        <w:rPr>
          <w:rtl/>
        </w:rPr>
      </w:pPr>
      <w:r>
        <w:rPr>
          <w:rtl/>
        </w:rPr>
        <w:tab/>
      </w:r>
      <w:r>
        <w:rPr>
          <w:rtl/>
        </w:rPr>
        <w:tab/>
      </w:r>
      <w:r>
        <w:rPr>
          <w:rtl/>
        </w:rPr>
        <w:tab/>
      </w:r>
      <w:r>
        <w:rPr>
          <w:rFonts w:hint="cs"/>
          <w:rtl/>
        </w:rPr>
        <w:t>שר המשפטים</w:t>
      </w:r>
    </w:p>
    <w:p w14:paraId="22843458" w14:textId="77777777" w:rsidR="00706523" w:rsidRPr="00FE7834" w:rsidRDefault="00706523" w:rsidP="00FE7834">
      <w:pPr>
        <w:pStyle w:val="P00"/>
        <w:ind w:left="0" w:right="1134"/>
        <w:rPr>
          <w:rStyle w:val="default"/>
          <w:rFonts w:cs="FrankRuehl"/>
          <w:rtl/>
        </w:rPr>
      </w:pPr>
    </w:p>
    <w:p w14:paraId="44D8C93E" w14:textId="77777777" w:rsidR="00706523" w:rsidRPr="00FE7834" w:rsidRDefault="00706523" w:rsidP="00FE7834">
      <w:pPr>
        <w:pStyle w:val="P00"/>
        <w:ind w:left="0" w:right="1134"/>
        <w:rPr>
          <w:rStyle w:val="default"/>
          <w:rFonts w:cs="FrankRuehl"/>
          <w:rtl/>
        </w:rPr>
      </w:pPr>
    </w:p>
    <w:p w14:paraId="4BAD2EFB" w14:textId="77777777" w:rsidR="00706523" w:rsidRPr="00FE7834" w:rsidRDefault="00706523" w:rsidP="00FE7834">
      <w:pPr>
        <w:pStyle w:val="P00"/>
        <w:ind w:left="0" w:right="1134"/>
        <w:rPr>
          <w:rStyle w:val="default"/>
          <w:rFonts w:cs="FrankRuehl"/>
          <w:rtl/>
        </w:rPr>
      </w:pPr>
      <w:bookmarkStart w:id="5" w:name="LawPartEnd"/>
    </w:p>
    <w:bookmarkEnd w:id="5"/>
    <w:p w14:paraId="4DF03CC2" w14:textId="77777777" w:rsidR="00CF41DB" w:rsidRDefault="00CF41DB" w:rsidP="00FE7834">
      <w:pPr>
        <w:pStyle w:val="P00"/>
        <w:ind w:left="0" w:right="1134"/>
        <w:rPr>
          <w:rStyle w:val="default"/>
          <w:rFonts w:cs="FrankRuehl"/>
          <w:rtl/>
        </w:rPr>
      </w:pPr>
    </w:p>
    <w:p w14:paraId="1457B5B2" w14:textId="77777777" w:rsidR="00CF41DB" w:rsidRDefault="00CF41DB" w:rsidP="00FE7834">
      <w:pPr>
        <w:pStyle w:val="P00"/>
        <w:ind w:left="0" w:right="1134"/>
        <w:rPr>
          <w:rStyle w:val="default"/>
          <w:rFonts w:cs="FrankRuehl"/>
          <w:rtl/>
        </w:rPr>
      </w:pPr>
    </w:p>
    <w:p w14:paraId="03E231A1" w14:textId="77777777" w:rsidR="00CF41DB" w:rsidRDefault="00CF41DB" w:rsidP="00CF41DB">
      <w:pPr>
        <w:pStyle w:val="P00"/>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1796974D" w14:textId="77777777" w:rsidR="00706523" w:rsidRPr="00CF41DB" w:rsidRDefault="00706523" w:rsidP="00CF41DB">
      <w:pPr>
        <w:pStyle w:val="P00"/>
        <w:ind w:left="0" w:right="1134"/>
        <w:jc w:val="center"/>
        <w:rPr>
          <w:rStyle w:val="default"/>
          <w:rFonts w:cs="David"/>
          <w:color w:val="0000FF"/>
          <w:szCs w:val="24"/>
          <w:u w:val="single"/>
          <w:rtl/>
        </w:rPr>
      </w:pPr>
    </w:p>
    <w:sectPr w:rsidR="00706523" w:rsidRPr="00CF41D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88C1B" w14:textId="77777777" w:rsidR="003F502D" w:rsidRDefault="003F502D">
      <w:r>
        <w:separator/>
      </w:r>
    </w:p>
  </w:endnote>
  <w:endnote w:type="continuationSeparator" w:id="0">
    <w:p w14:paraId="12CA75C7" w14:textId="77777777" w:rsidR="003F502D" w:rsidRDefault="003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D9EBB" w14:textId="77777777" w:rsidR="00706523" w:rsidRDefault="007065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BF6997" w14:textId="77777777" w:rsidR="00706523" w:rsidRDefault="007065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4290DD" w14:textId="77777777" w:rsidR="00706523" w:rsidRDefault="007065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41DB">
      <w:rPr>
        <w:rFonts w:cs="TopType Jerushalmi"/>
        <w:noProof/>
        <w:color w:val="000000"/>
        <w:sz w:val="14"/>
        <w:szCs w:val="14"/>
      </w:rPr>
      <w:t>Y:\000000000000-law\yael\10-05-06\tav\319_075.doc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7348" w14:textId="77777777" w:rsidR="00706523" w:rsidRDefault="007065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41DB">
      <w:rPr>
        <w:rFonts w:hAnsi="FrankRuehl" w:cs="FrankRuehl"/>
        <w:noProof/>
        <w:sz w:val="24"/>
        <w:szCs w:val="24"/>
        <w:rtl/>
      </w:rPr>
      <w:t>2</w:t>
    </w:r>
    <w:r>
      <w:rPr>
        <w:rFonts w:hAnsi="FrankRuehl" w:cs="FrankRuehl"/>
        <w:sz w:val="24"/>
        <w:szCs w:val="24"/>
        <w:rtl/>
      </w:rPr>
      <w:fldChar w:fldCharType="end"/>
    </w:r>
  </w:p>
  <w:p w14:paraId="05ED61EF" w14:textId="77777777" w:rsidR="00706523" w:rsidRDefault="007065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D2B9F4" w14:textId="77777777" w:rsidR="00706523" w:rsidRDefault="007065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41DB">
      <w:rPr>
        <w:rFonts w:cs="TopType Jerushalmi"/>
        <w:noProof/>
        <w:color w:val="000000"/>
        <w:sz w:val="14"/>
        <w:szCs w:val="14"/>
      </w:rPr>
      <w:t>Y:\000000000000-law\yael\10-05-06\tav\319_075.doc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A6BD" w14:textId="77777777" w:rsidR="003F502D" w:rsidRDefault="003F502D" w:rsidP="00FE7834">
      <w:pPr>
        <w:spacing w:before="60" w:line="240" w:lineRule="auto"/>
        <w:ind w:right="1134"/>
      </w:pPr>
      <w:r>
        <w:separator/>
      </w:r>
    </w:p>
  </w:footnote>
  <w:footnote w:type="continuationSeparator" w:id="0">
    <w:p w14:paraId="7C917795" w14:textId="77777777" w:rsidR="003F502D" w:rsidRDefault="003F502D">
      <w:r>
        <w:continuationSeparator/>
      </w:r>
    </w:p>
  </w:footnote>
  <w:footnote w:id="1">
    <w:p w14:paraId="228F764F" w14:textId="77777777" w:rsidR="00FE7834" w:rsidRDefault="00FE7834" w:rsidP="00FE78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E7834">
        <w:rPr>
          <w:sz w:val="20"/>
          <w:rtl/>
        </w:rPr>
        <w:t xml:space="preserve">* </w:t>
      </w:r>
      <w:r>
        <w:rPr>
          <w:sz w:val="20"/>
          <w:rtl/>
        </w:rPr>
        <w:t>פ</w:t>
      </w:r>
      <w:r>
        <w:rPr>
          <w:rFonts w:hint="cs"/>
          <w:sz w:val="20"/>
          <w:rtl/>
        </w:rPr>
        <w:t xml:space="preserve">ורסם </w:t>
      </w:r>
      <w:hyperlink r:id="rId1" w:history="1">
        <w:r w:rsidRPr="008865D5">
          <w:rPr>
            <w:rStyle w:val="Hyperlink"/>
            <w:rFonts w:hint="cs"/>
            <w:sz w:val="20"/>
            <w:rtl/>
          </w:rPr>
          <w:t>ק"ת תשמ"ח מס' 5128</w:t>
        </w:r>
      </w:hyperlink>
      <w:r>
        <w:rPr>
          <w:rFonts w:hint="cs"/>
          <w:sz w:val="20"/>
          <w:rtl/>
        </w:rPr>
        <w:t xml:space="preserve"> מיום 25.8.1988 עמ' 1058.</w:t>
      </w:r>
    </w:p>
    <w:p w14:paraId="74BA8744" w14:textId="77777777" w:rsidR="002E5849" w:rsidRPr="00FE7834" w:rsidRDefault="00A00A7F" w:rsidP="002E58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תוקן </w:t>
      </w:r>
      <w:hyperlink r:id="rId2" w:history="1">
        <w:r w:rsidRPr="002E5849">
          <w:rPr>
            <w:rStyle w:val="Hyperlink"/>
            <w:rFonts w:hint="cs"/>
            <w:sz w:val="20"/>
            <w:rtl/>
          </w:rPr>
          <w:t>ק"ת תש"ע מס' 6890</w:t>
        </w:r>
      </w:hyperlink>
      <w:r>
        <w:rPr>
          <w:rFonts w:hint="cs"/>
          <w:sz w:val="20"/>
          <w:rtl/>
        </w:rPr>
        <w:t xml:space="preserve"> מיום 5.5.2010 עמ' 1070 </w:t>
      </w:r>
      <w:r>
        <w:rPr>
          <w:sz w:val="20"/>
          <w:rtl/>
        </w:rPr>
        <w:t>–</w:t>
      </w:r>
      <w:r>
        <w:rPr>
          <w:rFonts w:hint="cs"/>
          <w:sz w:val="20"/>
          <w:rtl/>
        </w:rPr>
        <w:t xml:space="preserve"> צו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B703" w14:textId="77777777" w:rsidR="00706523" w:rsidRDefault="007065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שעת חירום (יהודה והשומרון וחבל עזה - עזרה משפטית בגביית מסים), תשמ"ח 1988-</w:t>
    </w:r>
  </w:p>
  <w:p w14:paraId="1092CE87" w14:textId="77777777" w:rsidR="00706523" w:rsidRDefault="007065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09BBC0" w14:textId="77777777" w:rsidR="00706523" w:rsidRDefault="007065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A52A" w14:textId="77777777" w:rsidR="00706523" w:rsidRDefault="00706523" w:rsidP="00F632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שעת חירום (יהודה והשומרון </w:t>
    </w:r>
    <w:r w:rsidR="00F632D0">
      <w:rPr>
        <w:rFonts w:hAnsi="FrankRuehl" w:cs="FrankRuehl"/>
        <w:color w:val="000000"/>
        <w:sz w:val="28"/>
        <w:szCs w:val="28"/>
        <w:rtl/>
      </w:rPr>
      <w:t>–</w:t>
    </w:r>
    <w:r>
      <w:rPr>
        <w:rFonts w:hAnsi="FrankRuehl" w:cs="FrankRuehl"/>
        <w:color w:val="000000"/>
        <w:sz w:val="28"/>
        <w:szCs w:val="28"/>
        <w:rtl/>
      </w:rPr>
      <w:t xml:space="preserve"> עזרה משפטית בגביית מסים), תשמ"ח</w:t>
    </w:r>
    <w:r w:rsidR="00FE7834">
      <w:rPr>
        <w:rFonts w:hAnsi="FrankRuehl" w:cs="FrankRuehl" w:hint="cs"/>
        <w:color w:val="000000"/>
        <w:sz w:val="28"/>
        <w:szCs w:val="28"/>
        <w:rtl/>
      </w:rPr>
      <w:t>-</w:t>
    </w:r>
    <w:r>
      <w:rPr>
        <w:rFonts w:hAnsi="FrankRuehl" w:cs="FrankRuehl"/>
        <w:color w:val="000000"/>
        <w:sz w:val="28"/>
        <w:szCs w:val="28"/>
        <w:rtl/>
      </w:rPr>
      <w:t>1988</w:t>
    </w:r>
  </w:p>
  <w:p w14:paraId="42A7326B" w14:textId="77777777" w:rsidR="00706523" w:rsidRDefault="007065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461DDF" w14:textId="77777777" w:rsidR="00706523" w:rsidRDefault="0070652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39D"/>
    <w:rsid w:val="000F6754"/>
    <w:rsid w:val="001C54B2"/>
    <w:rsid w:val="0021757B"/>
    <w:rsid w:val="002E5849"/>
    <w:rsid w:val="003D45EF"/>
    <w:rsid w:val="003F502D"/>
    <w:rsid w:val="0062682B"/>
    <w:rsid w:val="00652DED"/>
    <w:rsid w:val="006D739D"/>
    <w:rsid w:val="00706523"/>
    <w:rsid w:val="00865D75"/>
    <w:rsid w:val="008865D5"/>
    <w:rsid w:val="00A00A7F"/>
    <w:rsid w:val="00C115C0"/>
    <w:rsid w:val="00CF41DB"/>
    <w:rsid w:val="00D34C45"/>
    <w:rsid w:val="00F632D0"/>
    <w:rsid w:val="00FE78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E6BE57"/>
  <w15:chartTrackingRefBased/>
  <w15:docId w15:val="{9EAB9230-55B1-4EDB-AFDD-E162D3D6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E7834"/>
    <w:rPr>
      <w:sz w:val="20"/>
      <w:szCs w:val="20"/>
    </w:rPr>
  </w:style>
  <w:style w:type="character" w:styleId="a6">
    <w:name w:val="footnote reference"/>
    <w:basedOn w:val="a0"/>
    <w:semiHidden/>
    <w:rsid w:val="00FE78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89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89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90.pdf" TargetMode="External"/><Relationship Id="rId1" Type="http://schemas.openxmlformats.org/officeDocument/2006/relationships/hyperlink" Target="http://www.nevo.co.il/Law_word/law06/TAK-51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319</vt:lpstr>
    </vt:vector>
  </TitlesOfParts>
  <Company/>
  <LinksUpToDate>false</LinksUpToDate>
  <CharactersWithSpaces>2261</CharactersWithSpaces>
  <SharedDoc>false</SharedDoc>
  <HLinks>
    <vt:vector size="48" baseType="variant">
      <vt:variant>
        <vt:i4>393283</vt:i4>
      </vt:variant>
      <vt:variant>
        <vt:i4>24</vt:i4>
      </vt:variant>
      <vt:variant>
        <vt:i4>0</vt:i4>
      </vt:variant>
      <vt:variant>
        <vt:i4>5</vt:i4>
      </vt:variant>
      <vt:variant>
        <vt:lpwstr>http://www.nevo.co.il/advertisements/nevo-100.doc</vt:lpwstr>
      </vt:variant>
      <vt:variant>
        <vt:lpwstr/>
      </vt:variant>
      <vt:variant>
        <vt:i4>7733248</vt:i4>
      </vt:variant>
      <vt:variant>
        <vt:i4>21</vt:i4>
      </vt:variant>
      <vt:variant>
        <vt:i4>0</vt:i4>
      </vt:variant>
      <vt:variant>
        <vt:i4>5</vt:i4>
      </vt:variant>
      <vt:variant>
        <vt:lpwstr>http://www.nevo.co.il/Law_word/law06/TAK-6890.pdf</vt:lpwstr>
      </vt:variant>
      <vt:variant>
        <vt:lpwstr/>
      </vt:variant>
      <vt:variant>
        <vt:i4>7733248</vt:i4>
      </vt:variant>
      <vt:variant>
        <vt:i4>18</vt:i4>
      </vt:variant>
      <vt:variant>
        <vt:i4>0</vt:i4>
      </vt:variant>
      <vt:variant>
        <vt:i4>5</vt:i4>
      </vt:variant>
      <vt:variant>
        <vt:lpwstr>http://www.nevo.co.il/Law_word/law06/TAK-6890.pdf</vt:lpwstr>
      </vt:variant>
      <vt:variant>
        <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7733248</vt:i4>
      </vt:variant>
      <vt:variant>
        <vt:i4>3</vt:i4>
      </vt:variant>
      <vt:variant>
        <vt:i4>0</vt:i4>
      </vt:variant>
      <vt:variant>
        <vt:i4>5</vt:i4>
      </vt:variant>
      <vt:variant>
        <vt:lpwstr>http://www.nevo.co.il/law_word/law06/tak-6890.pdf</vt:lpwstr>
      </vt:variant>
      <vt:variant>
        <vt:lpwstr/>
      </vt:variant>
      <vt:variant>
        <vt:i4>8257537</vt:i4>
      </vt:variant>
      <vt:variant>
        <vt:i4>0</vt:i4>
      </vt:variant>
      <vt:variant>
        <vt:i4>0</vt:i4>
      </vt:variant>
      <vt:variant>
        <vt:i4>5</vt:i4>
      </vt:variant>
      <vt:variant>
        <vt:lpwstr>http://www.nevo.co.il/Law_word/law06/TAK-5128.pdf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comp99</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צו שעת חירום (יהודה והשומרון - עזרה משפטית בגביית מסים), תשמ"ח-1988 - רבדים</vt:lpwstr>
  </property>
  <property fmtid="{D5CDD505-2E9C-101B-9397-08002B2CF9AE}" pid="5" name="LAWNUMBER">
    <vt:lpwstr>0075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שיפוט ועזרה משפטית</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שיפוט ועזרה משפטית</vt:lpwstr>
  </property>
  <property fmtid="{D5CDD505-2E9C-101B-9397-08002B2CF9AE}" pid="13" name="NOSE32">
    <vt:lpwstr/>
  </property>
  <property fmtid="{D5CDD505-2E9C-101B-9397-08002B2CF9AE}" pid="14" name="NOSE42">
    <vt:lpwstr/>
  </property>
  <property fmtid="{D5CDD505-2E9C-101B-9397-08002B2CF9AE}" pid="15" name="NOSE13">
    <vt:lpwstr>משפט בינ"ל פומבי</vt:lpwstr>
  </property>
  <property fmtid="{D5CDD505-2E9C-101B-9397-08002B2CF9AE}" pid="16" name="NOSE23">
    <vt:lpwstr>עזרה משפטית</vt:lpwstr>
  </property>
  <property fmtid="{D5CDD505-2E9C-101B-9397-08002B2CF9AE}" pid="17" name="NOSE33">
    <vt:lpwstr/>
  </property>
  <property fmtid="{D5CDD505-2E9C-101B-9397-08002B2CF9AE}" pid="18" name="NOSE43">
    <vt:lpwstr/>
  </property>
  <property fmtid="{D5CDD505-2E9C-101B-9397-08002B2CF9AE}" pid="19" name="NOSE14">
    <vt:lpwstr>מסים</vt:lpwstr>
  </property>
  <property fmtid="{D5CDD505-2E9C-101B-9397-08002B2CF9AE}" pid="20" name="NOSE24">
    <vt:lpwstr>גבייה</vt:lpwstr>
  </property>
  <property fmtid="{D5CDD505-2E9C-101B-9397-08002B2CF9AE}" pid="21" name="NOSE34">
    <vt:lpwstr/>
  </property>
  <property fmtid="{D5CDD505-2E9C-101B-9397-08002B2CF9AE}" pid="22" name="NOSE44">
    <vt:lpwstr/>
  </property>
  <property fmtid="{D5CDD505-2E9C-101B-9397-08002B2CF9AE}" pid="23" name="NOSE15">
    <vt:lpwstr>מסים</vt:lpwstr>
  </property>
  <property fmtid="{D5CDD505-2E9C-101B-9397-08002B2CF9AE}" pid="24" name="NOSE25">
    <vt:lpwstr>הרשות הפלסטינית</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http://www.nevo.co.il/law_word/law06/tak-6890.pdf;‎רשומות - תקנות כלליות#תוקן ק"ת תש"ע מס' ‏‏6890# מיום 5.5.2010 עמ' 1070 – צו תש"ע-2010‏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