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E89" w:rsidRDefault="00165B8E" w:rsidP="00951E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תובענות ייצוגיות (הארכת תקופת פעילותה של הקרן למימון תובענות ייצוגיות</w:t>
      </w:r>
      <w:r w:rsidR="007C5E89">
        <w:rPr>
          <w:rFonts w:cs="FrankRuehl" w:hint="cs"/>
          <w:sz w:val="32"/>
          <w:rtl/>
        </w:rPr>
        <w:t xml:space="preserve">), </w:t>
      </w:r>
      <w:r w:rsidR="00B17FA4">
        <w:rPr>
          <w:rFonts w:cs="FrankRuehl" w:hint="cs"/>
          <w:sz w:val="32"/>
          <w:rtl/>
        </w:rPr>
        <w:t>תשע"</w:t>
      </w:r>
      <w:r w:rsidR="00A07D98">
        <w:rPr>
          <w:rFonts w:cs="FrankRuehl" w:hint="cs"/>
          <w:sz w:val="32"/>
          <w:rtl/>
        </w:rPr>
        <w:t>ט</w:t>
      </w:r>
      <w:r w:rsidR="00647B98">
        <w:rPr>
          <w:rFonts w:cs="FrankRuehl" w:hint="cs"/>
          <w:sz w:val="32"/>
          <w:rtl/>
        </w:rPr>
        <w:t>-201</w:t>
      </w:r>
      <w:r w:rsidR="00A07D98">
        <w:rPr>
          <w:rFonts w:cs="FrankRuehl" w:hint="cs"/>
          <w:sz w:val="32"/>
          <w:rtl/>
        </w:rPr>
        <w:t>9</w:t>
      </w:r>
    </w:p>
    <w:p w:rsidR="00165B8E" w:rsidRPr="00165B8E" w:rsidRDefault="00165B8E" w:rsidP="00165B8E">
      <w:pPr>
        <w:spacing w:line="320" w:lineRule="auto"/>
        <w:rPr>
          <w:rFonts w:cs="FrankRuehl"/>
          <w:szCs w:val="26"/>
          <w:rtl/>
        </w:rPr>
      </w:pPr>
    </w:p>
    <w:p w:rsidR="00165B8E" w:rsidRDefault="00165B8E" w:rsidP="00165B8E">
      <w:pPr>
        <w:spacing w:line="320" w:lineRule="auto"/>
        <w:rPr>
          <w:rtl/>
        </w:rPr>
      </w:pP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משפט פרטי וכלכלה</w:t>
      </w:r>
      <w:r w:rsidRPr="00165B8E">
        <w:rPr>
          <w:rFonts w:cs="FrankRuehl"/>
          <w:szCs w:val="26"/>
          <w:rtl/>
        </w:rPr>
        <w:t xml:space="preserve"> – חיובים – נזיקין – תובענות ייצוגיות</w:t>
      </w: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בתי משפט וסדרי דין</w:t>
      </w:r>
      <w:r w:rsidRPr="00165B8E">
        <w:rPr>
          <w:rFonts w:cs="FrankRuehl"/>
          <w:szCs w:val="26"/>
          <w:rtl/>
        </w:rPr>
        <w:t xml:space="preserve"> – סדר דין אזרחי – תובענות ייצוגיות</w:t>
      </w:r>
    </w:p>
    <w:p w:rsidR="00165B8E" w:rsidRPr="00165B8E" w:rsidRDefault="00165B8E" w:rsidP="00165B8E">
      <w:pPr>
        <w:spacing w:line="320" w:lineRule="auto"/>
        <w:rPr>
          <w:rFonts w:cs="Miriam" w:hint="cs"/>
          <w:szCs w:val="22"/>
          <w:rtl/>
        </w:rPr>
      </w:pPr>
      <w:r w:rsidRPr="00165B8E">
        <w:rPr>
          <w:rFonts w:cs="Miriam"/>
          <w:szCs w:val="22"/>
          <w:rtl/>
        </w:rPr>
        <w:t>רשויות ומשפט מנהלי</w:t>
      </w:r>
      <w:r w:rsidRPr="00165B8E">
        <w:rPr>
          <w:rFonts w:cs="FrankRuehl"/>
          <w:szCs w:val="26"/>
          <w:rtl/>
        </w:rPr>
        <w:t xml:space="preserve"> – תובענות ייצוגיות</w:t>
      </w:r>
    </w:p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517C" w:rsidRPr="003A517C" w:rsidTr="003A51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517C" w:rsidRPr="003A517C" w:rsidRDefault="003A517C" w:rsidP="003A517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A517C" w:rsidRPr="003A517C" w:rsidRDefault="003A517C" w:rsidP="003A517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תקופה</w:t>
            </w:r>
          </w:p>
        </w:tc>
        <w:tc>
          <w:tcPr>
            <w:tcW w:w="567" w:type="dxa"/>
          </w:tcPr>
          <w:p w:rsidR="003A517C" w:rsidRPr="003A517C" w:rsidRDefault="003A517C" w:rsidP="003A517C">
            <w:pPr>
              <w:rPr>
                <w:rStyle w:val="Hyperlink"/>
                <w:rFonts w:hint="cs"/>
                <w:rtl/>
              </w:rPr>
            </w:pPr>
            <w:hyperlink w:anchor="Seif1" w:tooltip="הארכת תקופה" w:history="1">
              <w:r w:rsidRPr="003A51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517C" w:rsidRPr="003A517C" w:rsidRDefault="003A517C" w:rsidP="003A517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A517C" w:rsidRPr="003A517C" w:rsidTr="003A51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517C" w:rsidRPr="003A517C" w:rsidRDefault="003A517C" w:rsidP="003A517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A517C" w:rsidRPr="003A517C" w:rsidRDefault="003A517C" w:rsidP="003A517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3A517C" w:rsidRPr="003A517C" w:rsidRDefault="003A517C" w:rsidP="003A517C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3A51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517C" w:rsidRPr="003A517C" w:rsidRDefault="003A517C" w:rsidP="003A517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7C5E89" w:rsidRDefault="007C5E89" w:rsidP="00951E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65B8E">
        <w:rPr>
          <w:rFonts w:cs="FrankRuehl" w:hint="cs"/>
          <w:sz w:val="32"/>
          <w:rtl/>
        </w:rPr>
        <w:lastRenderedPageBreak/>
        <w:t>צו תובענות ייצוגיות (הארכת תקופת פעילותה של הקרן למימון תובענות ייצוגיות), תשע"</w:t>
      </w:r>
      <w:r w:rsidR="00A07D98">
        <w:rPr>
          <w:rFonts w:cs="FrankRuehl" w:hint="cs"/>
          <w:sz w:val="32"/>
          <w:rtl/>
        </w:rPr>
        <w:t>ט</w:t>
      </w:r>
      <w:r w:rsidR="00165B8E">
        <w:rPr>
          <w:rFonts w:cs="FrankRuehl" w:hint="cs"/>
          <w:sz w:val="32"/>
          <w:rtl/>
        </w:rPr>
        <w:t>-201</w:t>
      </w:r>
      <w:r w:rsidR="00A07D98">
        <w:rPr>
          <w:rFonts w:cs="FrankRuehl" w:hint="cs"/>
          <w:sz w:val="32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65B8E" w:rsidRDefault="00165B8E" w:rsidP="00165B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27(ו)(1) לחוק תובענות ייצוגיות, התשס"ו-2006, אני מצווה לאמור:</w:t>
      </w:r>
    </w:p>
    <w:p w:rsidR="007C5E89" w:rsidRDefault="007C5E89" w:rsidP="00951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7C5E89" w:rsidRDefault="007C5E89" w:rsidP="00165B8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</w:t>
                  </w:r>
                  <w:r w:rsidR="00165B8E">
                    <w:rPr>
                      <w:rFonts w:cs="Miriam" w:hint="cs"/>
                      <w:sz w:val="18"/>
                      <w:szCs w:val="18"/>
                      <w:rtl/>
                    </w:rPr>
                    <w:t>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5B8E">
        <w:rPr>
          <w:rStyle w:val="default"/>
          <w:rFonts w:cs="FrankRuehl" w:hint="cs"/>
          <w:rtl/>
        </w:rPr>
        <w:t xml:space="preserve">תקופת פעילותה של הקרן למימון תובענות ייצוגיות תוארך בזה </w:t>
      </w:r>
      <w:r w:rsidR="00A07D98">
        <w:rPr>
          <w:rStyle w:val="default"/>
          <w:rFonts w:cs="FrankRuehl" w:hint="cs"/>
          <w:rtl/>
        </w:rPr>
        <w:t>ל-18 חודשים</w:t>
      </w:r>
      <w:r w:rsidR="00951E11">
        <w:rPr>
          <w:rStyle w:val="default"/>
          <w:rFonts w:cs="FrankRuehl" w:hint="cs"/>
          <w:rtl/>
        </w:rPr>
        <w:t xml:space="preserve"> נוספ</w:t>
      </w:r>
      <w:r w:rsidR="00A07D98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>.</w:t>
      </w:r>
    </w:p>
    <w:p w:rsidR="00647B98" w:rsidRDefault="00647B98" w:rsidP="00951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7" style="position:absolute;left:0;text-align:left;margin-left:464.35pt;margin-top:7.1pt;width:75.05pt;height:16.95pt;z-index:251658240" o:allowincell="f" filled="f" stroked="f" strokecolor="lime" strokeweight=".25pt">
            <v:textbox style="mso-next-textbox:#_x0000_s1217" inset="0,0,0,0">
              <w:txbxContent>
                <w:p w:rsidR="00647B98" w:rsidRDefault="00382092" w:rsidP="00647B9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382092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82092">
        <w:rPr>
          <w:rStyle w:val="default"/>
          <w:rFonts w:cs="FrankRuehl" w:hint="cs"/>
          <w:rtl/>
        </w:rPr>
        <w:t xml:space="preserve">תחילתו של צו זה ביום </w:t>
      </w:r>
      <w:r w:rsidR="00A07D98">
        <w:rPr>
          <w:rStyle w:val="default"/>
          <w:rFonts w:cs="FrankRuehl" w:hint="cs"/>
          <w:rtl/>
        </w:rPr>
        <w:t>ז'</w:t>
      </w:r>
      <w:r w:rsidR="00951E11">
        <w:rPr>
          <w:rStyle w:val="default"/>
          <w:rFonts w:cs="FrankRuehl" w:hint="cs"/>
          <w:rtl/>
        </w:rPr>
        <w:t xml:space="preserve"> באדר </w:t>
      </w:r>
      <w:r w:rsidR="00A07D98">
        <w:rPr>
          <w:rStyle w:val="default"/>
          <w:rFonts w:cs="FrankRuehl" w:hint="cs"/>
          <w:rtl/>
        </w:rPr>
        <w:t xml:space="preserve">ב' </w:t>
      </w:r>
      <w:r w:rsidR="00951E11">
        <w:rPr>
          <w:rStyle w:val="default"/>
          <w:rFonts w:cs="FrankRuehl" w:hint="cs"/>
          <w:rtl/>
        </w:rPr>
        <w:t>התשע"</w:t>
      </w:r>
      <w:r w:rsidR="00A07D98">
        <w:rPr>
          <w:rStyle w:val="default"/>
          <w:rFonts w:cs="FrankRuehl" w:hint="cs"/>
          <w:rtl/>
        </w:rPr>
        <w:t>ט</w:t>
      </w:r>
      <w:r w:rsidR="00951E11">
        <w:rPr>
          <w:rStyle w:val="default"/>
          <w:rFonts w:cs="FrankRuehl" w:hint="cs"/>
          <w:rtl/>
        </w:rPr>
        <w:t xml:space="preserve"> (14 במרס 201</w:t>
      </w:r>
      <w:r w:rsidR="00A07D98">
        <w:rPr>
          <w:rStyle w:val="default"/>
          <w:rFonts w:cs="FrankRuehl" w:hint="cs"/>
          <w:rtl/>
        </w:rPr>
        <w:t>9</w:t>
      </w:r>
      <w:r w:rsidR="0038209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096C6B" w:rsidP="00951E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</w:t>
      </w:r>
      <w:r w:rsidR="00A07D98">
        <w:rPr>
          <w:rStyle w:val="default"/>
          <w:rFonts w:cs="FrankRuehl" w:hint="cs"/>
          <w:rtl/>
        </w:rPr>
        <w:t>'</w:t>
      </w:r>
      <w:r w:rsidR="00951E11">
        <w:rPr>
          <w:rStyle w:val="default"/>
          <w:rFonts w:cs="FrankRuehl" w:hint="cs"/>
          <w:rtl/>
        </w:rPr>
        <w:t xml:space="preserve"> באדר </w:t>
      </w:r>
      <w:r w:rsidR="00A07D98">
        <w:rPr>
          <w:rStyle w:val="default"/>
          <w:rFonts w:cs="FrankRuehl" w:hint="cs"/>
          <w:rtl/>
        </w:rPr>
        <w:t xml:space="preserve">א' </w:t>
      </w:r>
      <w:r w:rsidR="00951E11">
        <w:rPr>
          <w:rStyle w:val="default"/>
          <w:rFonts w:cs="FrankRuehl" w:hint="cs"/>
          <w:rtl/>
        </w:rPr>
        <w:t>התשע"</w:t>
      </w:r>
      <w:r w:rsidR="00A07D98">
        <w:rPr>
          <w:rStyle w:val="default"/>
          <w:rFonts w:cs="FrankRuehl" w:hint="cs"/>
          <w:rtl/>
        </w:rPr>
        <w:t>ט</w:t>
      </w:r>
      <w:r w:rsidR="00951E11">
        <w:rPr>
          <w:rStyle w:val="default"/>
          <w:rFonts w:cs="FrankRuehl" w:hint="cs"/>
          <w:rtl/>
        </w:rPr>
        <w:t xml:space="preserve"> (</w:t>
      </w:r>
      <w:r w:rsidR="00A07D98">
        <w:rPr>
          <w:rStyle w:val="default"/>
          <w:rFonts w:cs="FrankRuehl" w:hint="cs"/>
          <w:rtl/>
        </w:rPr>
        <w:t>25 בפברואר 2019</w:t>
      </w:r>
      <w:r w:rsidR="00165B8E">
        <w:rPr>
          <w:rStyle w:val="default"/>
          <w:rFonts w:cs="FrankRuehl" w:hint="cs"/>
          <w:rtl/>
        </w:rPr>
        <w:t>)</w:t>
      </w:r>
      <w:r w:rsidR="007C5E89">
        <w:rPr>
          <w:rStyle w:val="default"/>
          <w:rFonts w:cs="FrankRuehl" w:hint="cs"/>
          <w:rtl/>
        </w:rPr>
        <w:tab/>
      </w:r>
      <w:r w:rsidR="00951E11">
        <w:rPr>
          <w:rStyle w:val="default"/>
          <w:rFonts w:cs="FrankRuehl" w:hint="cs"/>
          <w:rtl/>
        </w:rPr>
        <w:t>איילת שקד</w:t>
      </w:r>
    </w:p>
    <w:p w:rsidR="007C5E89" w:rsidRDefault="007C5E89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65B8E">
        <w:rPr>
          <w:rStyle w:val="default"/>
          <w:rFonts w:cs="FrankRuehl" w:hint="cs"/>
          <w:sz w:val="22"/>
          <w:szCs w:val="22"/>
          <w:rtl/>
        </w:rPr>
        <w:t>שר</w:t>
      </w:r>
      <w:r w:rsidR="00382092">
        <w:rPr>
          <w:rStyle w:val="default"/>
          <w:rFonts w:cs="FrankRuehl" w:hint="cs"/>
          <w:sz w:val="22"/>
          <w:szCs w:val="22"/>
          <w:rtl/>
        </w:rPr>
        <w:t>ת</w:t>
      </w:r>
      <w:r w:rsidR="00165B8E">
        <w:rPr>
          <w:rStyle w:val="default"/>
          <w:rFonts w:cs="FrankRuehl" w:hint="cs"/>
          <w:sz w:val="22"/>
          <w:szCs w:val="22"/>
          <w:rtl/>
        </w:rPr>
        <w:t xml:space="preserve"> המשפטים</w:t>
      </w:r>
    </w:p>
    <w:p w:rsidR="004B5F77" w:rsidRDefault="004B5F77">
      <w:pPr>
        <w:pStyle w:val="sig-0"/>
        <w:ind w:left="0" w:right="1134"/>
        <w:rPr>
          <w:rFonts w:cs="FrankRuehl"/>
          <w:sz w:val="26"/>
          <w:rtl/>
        </w:rPr>
      </w:pPr>
    </w:p>
    <w:p w:rsidR="0018298F" w:rsidRDefault="0018298F">
      <w:pPr>
        <w:pStyle w:val="sig-0"/>
        <w:ind w:left="0" w:right="1134"/>
        <w:rPr>
          <w:rFonts w:cs="FrankRuehl"/>
          <w:sz w:val="26"/>
          <w:rtl/>
        </w:rPr>
      </w:pPr>
    </w:p>
    <w:p w:rsidR="003A517C" w:rsidRDefault="003A517C">
      <w:pPr>
        <w:pStyle w:val="sig-0"/>
        <w:ind w:left="0" w:right="1134"/>
        <w:rPr>
          <w:rFonts w:cs="FrankRuehl"/>
          <w:sz w:val="26"/>
          <w:rtl/>
        </w:rPr>
      </w:pPr>
    </w:p>
    <w:p w:rsidR="003A517C" w:rsidRDefault="003A517C">
      <w:pPr>
        <w:pStyle w:val="sig-0"/>
        <w:ind w:left="0" w:right="1134"/>
        <w:rPr>
          <w:rFonts w:cs="FrankRuehl"/>
          <w:sz w:val="26"/>
          <w:rtl/>
        </w:rPr>
      </w:pPr>
    </w:p>
    <w:p w:rsidR="003A517C" w:rsidRDefault="003A517C" w:rsidP="003A517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3E0E" w:rsidRPr="003A517C" w:rsidRDefault="00E13E0E" w:rsidP="003A517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E13E0E" w:rsidRPr="003A517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FE8" w:rsidRDefault="00397FE8">
      <w:pPr>
        <w:rPr>
          <w:rFonts w:cs="Arial"/>
          <w:szCs w:val="20"/>
        </w:rPr>
      </w:pPr>
      <w:r>
        <w:separator/>
      </w:r>
    </w:p>
  </w:endnote>
  <w:endnote w:type="continuationSeparator" w:id="0">
    <w:p w:rsidR="00397FE8" w:rsidRDefault="00397FE8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517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FE8" w:rsidRDefault="00397FE8">
      <w:pPr>
        <w:rPr>
          <w:rFonts w:cs="Arial"/>
          <w:szCs w:val="20"/>
        </w:rPr>
      </w:pPr>
      <w:r>
        <w:separator/>
      </w:r>
    </w:p>
  </w:footnote>
  <w:footnote w:type="continuationSeparator" w:id="0">
    <w:p w:rsidR="00397FE8" w:rsidRDefault="00397FE8">
      <w:pPr>
        <w:rPr>
          <w:rFonts w:cs="Arial"/>
          <w:szCs w:val="20"/>
        </w:rPr>
      </w:pPr>
      <w:r>
        <w:continuationSeparator/>
      </w:r>
    </w:p>
  </w:footnote>
  <w:footnote w:id="1">
    <w:p w:rsidR="006828AE" w:rsidRDefault="007C5E89" w:rsidP="006828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165B8E" w:rsidRPr="006828AE">
          <w:rPr>
            <w:rStyle w:val="Hyperlink"/>
            <w:rFonts w:cs="FrankRuehl" w:hint="cs"/>
            <w:rtl/>
          </w:rPr>
          <w:t>ק"ת</w:t>
        </w:r>
        <w:r w:rsidRPr="006828AE">
          <w:rPr>
            <w:rStyle w:val="Hyperlink"/>
            <w:rFonts w:cs="FrankRuehl" w:hint="cs"/>
            <w:rtl/>
          </w:rPr>
          <w:t xml:space="preserve"> </w:t>
        </w:r>
        <w:r w:rsidR="00852290" w:rsidRPr="006828AE">
          <w:rPr>
            <w:rStyle w:val="Hyperlink"/>
            <w:rFonts w:cs="FrankRuehl" w:hint="cs"/>
            <w:rtl/>
          </w:rPr>
          <w:t>תשע"</w:t>
        </w:r>
        <w:r w:rsidR="00A07D98" w:rsidRPr="006828AE">
          <w:rPr>
            <w:rStyle w:val="Hyperlink"/>
            <w:rFonts w:cs="FrankRuehl" w:hint="cs"/>
            <w:rtl/>
          </w:rPr>
          <w:t>ט</w:t>
        </w:r>
        <w:r w:rsidRPr="006828AE">
          <w:rPr>
            <w:rStyle w:val="Hyperlink"/>
            <w:rFonts w:cs="FrankRuehl" w:hint="cs"/>
            <w:rtl/>
          </w:rPr>
          <w:t xml:space="preserve"> מס' </w:t>
        </w:r>
        <w:r w:rsidR="00A07D98" w:rsidRPr="006828AE">
          <w:rPr>
            <w:rStyle w:val="Hyperlink"/>
            <w:rFonts w:cs="FrankRuehl" w:hint="cs"/>
            <w:rtl/>
          </w:rPr>
          <w:t>8188</w:t>
        </w:r>
      </w:hyperlink>
      <w:r>
        <w:rPr>
          <w:rFonts w:cs="FrankRuehl" w:hint="cs"/>
          <w:rtl/>
        </w:rPr>
        <w:t xml:space="preserve"> מיום </w:t>
      </w:r>
      <w:r w:rsidR="00A07D98">
        <w:rPr>
          <w:rFonts w:cs="FrankRuehl" w:hint="cs"/>
          <w:rtl/>
        </w:rPr>
        <w:t>10.3.2019</w:t>
      </w:r>
      <w:r>
        <w:rPr>
          <w:rFonts w:cs="FrankRuehl" w:hint="cs"/>
          <w:rtl/>
        </w:rPr>
        <w:t xml:space="preserve"> עמ' </w:t>
      </w:r>
      <w:r w:rsidR="00A07D98">
        <w:rPr>
          <w:rFonts w:cs="FrankRuehl" w:hint="cs"/>
          <w:rtl/>
        </w:rPr>
        <w:t>2991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F151A8" w:rsidP="00951E1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תובענות ייצוגיות (הארכת תקופת פעילותה של הקרן למימון תובענות ייצוגיות</w:t>
    </w:r>
    <w:r w:rsidR="007C5E89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17FA4">
      <w:rPr>
        <w:rFonts w:hAnsi="FrankRuehl" w:cs="FrankRuehl" w:hint="cs"/>
        <w:color w:val="000000"/>
        <w:sz w:val="28"/>
        <w:szCs w:val="28"/>
        <w:rtl/>
      </w:rPr>
      <w:t>תשע"</w:t>
    </w:r>
    <w:r w:rsidR="00A07D98">
      <w:rPr>
        <w:rFonts w:hAnsi="FrankRuehl" w:cs="FrankRuehl" w:hint="cs"/>
        <w:color w:val="000000"/>
        <w:sz w:val="28"/>
        <w:szCs w:val="28"/>
        <w:rtl/>
      </w:rPr>
      <w:t>ט</w:t>
    </w:r>
    <w:r w:rsidR="00951E11">
      <w:rPr>
        <w:rFonts w:hAnsi="FrankRuehl" w:cs="FrankRuehl" w:hint="cs"/>
        <w:color w:val="000000"/>
        <w:sz w:val="28"/>
        <w:szCs w:val="28"/>
        <w:rtl/>
      </w:rPr>
      <w:t>-201</w:t>
    </w:r>
    <w:r w:rsidR="00A07D98">
      <w:rPr>
        <w:rFonts w:hAnsi="FrankRuehl" w:cs="FrankRuehl" w:hint="cs"/>
        <w:color w:val="000000"/>
        <w:sz w:val="28"/>
        <w:szCs w:val="28"/>
        <w:rtl/>
      </w:rPr>
      <w:t>9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7673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096C6B"/>
    <w:rsid w:val="000A2024"/>
    <w:rsid w:val="00165B8E"/>
    <w:rsid w:val="0018298F"/>
    <w:rsid w:val="00193845"/>
    <w:rsid w:val="0029752F"/>
    <w:rsid w:val="00346B65"/>
    <w:rsid w:val="00382092"/>
    <w:rsid w:val="00397FE8"/>
    <w:rsid w:val="003A517C"/>
    <w:rsid w:val="003B2EE4"/>
    <w:rsid w:val="003D7DB4"/>
    <w:rsid w:val="004B5F77"/>
    <w:rsid w:val="005646E0"/>
    <w:rsid w:val="00582C65"/>
    <w:rsid w:val="005B1349"/>
    <w:rsid w:val="00635CBA"/>
    <w:rsid w:val="00647B98"/>
    <w:rsid w:val="006828AE"/>
    <w:rsid w:val="007C5E89"/>
    <w:rsid w:val="007E54B5"/>
    <w:rsid w:val="00836D2B"/>
    <w:rsid w:val="00852290"/>
    <w:rsid w:val="00951E11"/>
    <w:rsid w:val="009618E0"/>
    <w:rsid w:val="00A07D98"/>
    <w:rsid w:val="00A86B5D"/>
    <w:rsid w:val="00B17FA4"/>
    <w:rsid w:val="00C3029F"/>
    <w:rsid w:val="00CE2755"/>
    <w:rsid w:val="00CF476F"/>
    <w:rsid w:val="00E13E0E"/>
    <w:rsid w:val="00EA3EEC"/>
    <w:rsid w:val="00EE1A78"/>
    <w:rsid w:val="00F151A8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BF3B8CB-6D4E-4746-B23B-0FE523E1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1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8323090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https://www.nevo.co.il/law_word/law06/tak-8188.pdf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תובענות ייצוגיות (הארכת תקופת פעילותה של הקרן למימון תובענות ייצוגיות), תשע"ט-2019</vt:lpwstr>
  </property>
  <property fmtid="{D5CDD505-2E9C-101B-9397-08002B2CF9AE}" pid="4" name="LAWNUMBER">
    <vt:lpwstr>0357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חיובים</vt:lpwstr>
  </property>
  <property fmtid="{D5CDD505-2E9C-101B-9397-08002B2CF9AE}" pid="22" name="NOSE31">
    <vt:lpwstr>נזיקין</vt:lpwstr>
  </property>
  <property fmtid="{D5CDD505-2E9C-101B-9397-08002B2CF9AE}" pid="23" name="NOSE41">
    <vt:lpwstr>תובענות ייצוגיות</vt:lpwstr>
  </property>
  <property fmtid="{D5CDD505-2E9C-101B-9397-08002B2CF9AE}" pid="24" name="NOSE12">
    <vt:lpwstr>בתי משפט וסדרי דין</vt:lpwstr>
  </property>
  <property fmtid="{D5CDD505-2E9C-101B-9397-08002B2CF9AE}" pid="25" name="NOSE22">
    <vt:lpwstr>סדר דין אזרחי</vt:lpwstr>
  </property>
  <property fmtid="{D5CDD505-2E9C-101B-9397-08002B2CF9AE}" pid="26" name="NOSE32">
    <vt:lpwstr>תובענות ייצוגיות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תובענות ייצוגיות</vt:lpwstr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תובענות ייצוגיות</vt:lpwstr>
  </property>
  <property fmtid="{D5CDD505-2E9C-101B-9397-08002B2CF9AE}" pid="61" name="MEKOR_SAIF1">
    <vt:lpwstr>27XוX1X</vt:lpwstr>
  </property>
  <property fmtid="{D5CDD505-2E9C-101B-9397-08002B2CF9AE}" pid="62" name="MEKORSAMCHUT">
    <vt:lpwstr/>
  </property>
  <property fmtid="{D5CDD505-2E9C-101B-9397-08002B2CF9AE}" pid="63" name="LINKK2">
    <vt:lpwstr/>
  </property>
  <property fmtid="{D5CDD505-2E9C-101B-9397-08002B2CF9AE}" pid="64" name="LINKK1">
    <vt:lpwstr>https://www.nevo.co.il/law_word/law06/tak-8188.pdf‏;רשומות - תקנות כלליות#פורסם ק"ת ‏תשע"ט מס' 8188 #מיום 10.3.2019 עמ' 2991‏</vt:lpwstr>
  </property>
</Properties>
</file>