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738B" w14:textId="77777777" w:rsidR="00325251" w:rsidRDefault="00325251">
      <w:pPr>
        <w:pStyle w:val="big-header"/>
        <w:ind w:left="0" w:right="2835"/>
      </w:pPr>
      <w:r>
        <w:rPr>
          <w:rtl/>
        </w:rPr>
        <w:t>צ</w:t>
      </w:r>
      <w:r>
        <w:rPr>
          <w:rFonts w:hint="cs"/>
          <w:rtl/>
        </w:rPr>
        <w:t xml:space="preserve">ווי איסור </w:t>
      </w:r>
      <w:r>
        <w:rPr>
          <w:rtl/>
        </w:rPr>
        <w:t>מ</w:t>
      </w:r>
      <w:r>
        <w:rPr>
          <w:rFonts w:hint="cs"/>
          <w:rtl/>
        </w:rPr>
        <w:t>חסום ועיבוד</w:t>
      </w:r>
    </w:p>
    <w:p w14:paraId="48FA7E07" w14:textId="77777777" w:rsidR="00B01F04" w:rsidRPr="00B01F04" w:rsidRDefault="00B01F04" w:rsidP="00B01F04">
      <w:pPr>
        <w:spacing w:line="320" w:lineRule="auto"/>
        <w:rPr>
          <w:rFonts w:cs="FrankRuehl"/>
          <w:szCs w:val="26"/>
          <w:rtl/>
        </w:rPr>
      </w:pPr>
    </w:p>
    <w:p w14:paraId="4CC1A6FD" w14:textId="77777777" w:rsidR="00B01F04" w:rsidRDefault="00B01F04" w:rsidP="00B01F04">
      <w:pPr>
        <w:spacing w:line="320" w:lineRule="auto"/>
        <w:rPr>
          <w:rtl/>
        </w:rPr>
      </w:pPr>
    </w:p>
    <w:p w14:paraId="3C300696" w14:textId="77777777" w:rsidR="00B01F04" w:rsidRPr="00B01F04" w:rsidRDefault="00B01F04" w:rsidP="00B01F04">
      <w:pPr>
        <w:spacing w:line="320" w:lineRule="auto"/>
        <w:rPr>
          <w:rFonts w:cs="Miriam"/>
          <w:szCs w:val="22"/>
        </w:rPr>
      </w:pPr>
      <w:r w:rsidRPr="00B01F04">
        <w:rPr>
          <w:rFonts w:cs="Miriam"/>
          <w:szCs w:val="22"/>
          <w:rtl/>
        </w:rPr>
        <w:t>רשויות ומשפט מנהלי</w:t>
      </w:r>
      <w:r w:rsidRPr="00B01F04">
        <w:rPr>
          <w:rFonts w:cs="FrankRuehl"/>
          <w:szCs w:val="26"/>
          <w:rtl/>
        </w:rPr>
        <w:t xml:space="preserve"> – רשויות מקומיות – ניקוז והגנה מפני שיטפונות</w:t>
      </w:r>
    </w:p>
    <w:p w14:paraId="197977B2" w14:textId="77777777" w:rsidR="00B01F04" w:rsidRDefault="00B01F04">
      <w:pPr>
        <w:pStyle w:val="big-header"/>
        <w:ind w:left="0" w:right="2835"/>
        <w:rPr>
          <w:rtl/>
        </w:rPr>
      </w:pPr>
    </w:p>
    <w:p w14:paraId="63F19AEA" w14:textId="77777777" w:rsidR="00325251" w:rsidRDefault="00325251">
      <w:pPr>
        <w:pStyle w:val="medium-header"/>
        <w:keepNext w:val="0"/>
        <w:keepLines w:val="0"/>
        <w:ind w:left="0" w:right="2835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עפ"י סעיף 5 לפקודת הניקוז (מים עליונים), 1941)</w:t>
      </w:r>
    </w:p>
    <w:p w14:paraId="46D0E623" w14:textId="77777777" w:rsidR="00325251" w:rsidRDefault="00325251">
      <w:pPr>
        <w:pStyle w:val="P00"/>
        <w:spacing w:before="72"/>
        <w:ind w:left="0" w:right="2835"/>
        <w:rPr>
          <w:rStyle w:val="default"/>
          <w:rtl/>
        </w:rPr>
      </w:pPr>
      <w:r>
        <w:rPr>
          <w:rStyle w:val="default"/>
          <w:rtl/>
        </w:rPr>
        <w:t>צ</w:t>
      </w:r>
      <w:r>
        <w:rPr>
          <w:rStyle w:val="default"/>
          <w:rFonts w:hint="cs"/>
          <w:rtl/>
        </w:rPr>
        <w:t>ווים כאלה פורסמו בנידון:</w:t>
      </w:r>
    </w:p>
    <w:p w14:paraId="5719B277" w14:textId="77777777" w:rsidR="00325251" w:rsidRDefault="00325251">
      <w:pPr>
        <w:pStyle w:val="P11"/>
        <w:spacing w:before="72"/>
        <w:ind w:left="624" w:right="2835"/>
        <w:rPr>
          <w:rStyle w:val="default"/>
          <w:rtl/>
        </w:rPr>
      </w:pPr>
      <w:r>
        <w:rPr>
          <w:rStyle w:val="default"/>
          <w:rtl/>
        </w:rPr>
        <w:t>ו</w:t>
      </w:r>
      <w:r>
        <w:rPr>
          <w:rStyle w:val="default"/>
          <w:rFonts w:hint="cs"/>
          <w:rtl/>
        </w:rPr>
        <w:t>אדי א-סראר</w:t>
      </w:r>
      <w:r>
        <w:rPr>
          <w:rStyle w:val="super"/>
          <w:rFonts w:cs="Miriam"/>
          <w:rtl/>
        </w:rPr>
        <w:t>(7)</w:t>
      </w:r>
      <w:r>
        <w:rPr>
          <w:rStyle w:val="default"/>
          <w:rtl/>
        </w:rPr>
        <w:t xml:space="preserve">; </w:t>
      </w:r>
      <w:r>
        <w:rPr>
          <w:rStyle w:val="default"/>
          <w:rFonts w:hint="cs"/>
          <w:rtl/>
        </w:rPr>
        <w:t>ואדי מגארה</w:t>
      </w:r>
      <w:r>
        <w:rPr>
          <w:rStyle w:val="super"/>
          <w:rFonts w:cs="Miriam"/>
          <w:rtl/>
        </w:rPr>
        <w:t>(8)</w:t>
      </w:r>
      <w:r>
        <w:rPr>
          <w:rStyle w:val="default"/>
          <w:rtl/>
        </w:rPr>
        <w:t xml:space="preserve">; </w:t>
      </w:r>
      <w:r>
        <w:rPr>
          <w:rStyle w:val="default"/>
          <w:rFonts w:hint="cs"/>
          <w:rtl/>
        </w:rPr>
        <w:t>ואדי פריעה</w:t>
      </w:r>
      <w:r>
        <w:rPr>
          <w:rStyle w:val="super"/>
          <w:rFonts w:cs="Miriam"/>
          <w:rtl/>
        </w:rPr>
        <w:t>(9)</w:t>
      </w:r>
      <w:r>
        <w:rPr>
          <w:rStyle w:val="default"/>
          <w:rtl/>
        </w:rPr>
        <w:t xml:space="preserve">; </w:t>
      </w:r>
      <w:r>
        <w:rPr>
          <w:rStyle w:val="default"/>
          <w:rFonts w:hint="cs"/>
          <w:rtl/>
        </w:rPr>
        <w:t>נעמן</w:t>
      </w:r>
      <w:r>
        <w:rPr>
          <w:rStyle w:val="super"/>
          <w:rFonts w:cs="Miriam"/>
          <w:rtl/>
        </w:rPr>
        <w:t>(10)</w:t>
      </w:r>
      <w:r>
        <w:rPr>
          <w:rStyle w:val="default"/>
          <w:rtl/>
        </w:rPr>
        <w:t>.</w:t>
      </w:r>
    </w:p>
    <w:p w14:paraId="0FE072B3" w14:textId="77777777" w:rsidR="00325251" w:rsidRDefault="00325251">
      <w:pPr>
        <w:rPr>
          <w:rtl/>
        </w:rPr>
      </w:pPr>
      <w:bookmarkStart w:id="0" w:name="LawPartEnd"/>
    </w:p>
    <w:bookmarkEnd w:id="0"/>
    <w:p w14:paraId="309CECFC" w14:textId="77777777" w:rsidR="00325251" w:rsidRDefault="003252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(7)</w:t>
      </w:r>
      <w:r>
        <w:rPr>
          <w:rtl/>
        </w:rPr>
        <w:t> 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>"ר מס' 1304 מיום 9.12.1943, תוס' 2,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עמ' (ע) 873, (א) 1105;</w:t>
      </w:r>
    </w:p>
    <w:p w14:paraId="0F3C3C9E" w14:textId="77777777" w:rsidR="00325251" w:rsidRDefault="003252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ע</w:t>
      </w:r>
      <w:r>
        <w:rPr>
          <w:rFonts w:hint="cs"/>
          <w:sz w:val="20"/>
          <w:rtl/>
        </w:rPr>
        <w:t>"ר 1448 מיום 1.11.1945, תוס' 2, עמ' (ע) 1028, (א) 1262.</w:t>
      </w:r>
    </w:p>
    <w:p w14:paraId="14EE2E4D" w14:textId="77777777" w:rsidR="00325251" w:rsidRDefault="00325251"/>
    <w:sectPr w:rsidR="0032525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F79A" w14:textId="77777777" w:rsidR="00325251" w:rsidRDefault="00325251">
      <w:r>
        <w:separator/>
      </w:r>
    </w:p>
  </w:endnote>
  <w:endnote w:type="continuationSeparator" w:id="0">
    <w:p w14:paraId="737CD151" w14:textId="77777777" w:rsidR="00325251" w:rsidRDefault="0032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1A42" w14:textId="77777777" w:rsidR="00325251" w:rsidRDefault="00325251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A204F23" w14:textId="77777777" w:rsidR="00325251" w:rsidRDefault="0032525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88C08A" w14:textId="77777777" w:rsidR="00325251" w:rsidRDefault="00325251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G:\Nevo\Laws\Laws\309_007.doc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6771" w14:textId="77777777" w:rsidR="00325251" w:rsidRDefault="00325251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01F04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65181791" w14:textId="77777777" w:rsidR="00325251" w:rsidRDefault="00325251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84CF462" w14:textId="77777777" w:rsidR="00325251" w:rsidRDefault="00325251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G:\Nevo\Laws\Laws\309_007.doc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FC98" w14:textId="77777777" w:rsidR="00325251" w:rsidRDefault="00325251">
      <w:r>
        <w:separator/>
      </w:r>
    </w:p>
  </w:footnote>
  <w:footnote w:type="continuationSeparator" w:id="0">
    <w:p w14:paraId="0D2D0FD5" w14:textId="77777777" w:rsidR="00325251" w:rsidRDefault="00325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6B3B" w14:textId="77777777" w:rsidR="00325251" w:rsidRDefault="00325251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צווי איסור מחסום ועיבוד</w:t>
    </w:r>
  </w:p>
  <w:p w14:paraId="34C1AD92" w14:textId="77777777" w:rsidR="00325251" w:rsidRDefault="00325251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2C8CB0" w14:textId="77777777" w:rsidR="00325251" w:rsidRDefault="00325251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91008" w14:textId="77777777" w:rsidR="00325251" w:rsidRDefault="00325251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צווי איסור מחסום ועיבוד</w:t>
    </w:r>
  </w:p>
  <w:p w14:paraId="7568D387" w14:textId="77777777" w:rsidR="00325251" w:rsidRDefault="00325251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87CCF7" w14:textId="77777777" w:rsidR="00325251" w:rsidRDefault="00325251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F04"/>
    <w:rsid w:val="00325251"/>
    <w:rsid w:val="00B01F04"/>
    <w:rsid w:val="00D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DE6430"/>
  <w15:chartTrackingRefBased/>
  <w15:docId w15:val="{FEEC7926-C978-4E72-B968-FDEC6288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309</vt:lpstr>
    </vt:vector>
  </TitlesOfParts>
  <Company> 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309</dc:title>
  <dc:subject/>
  <dc:creator> 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0309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צווי איסור מחסום ועיבוד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ניקוז והגנה מפני שיטפונות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