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E7C2C" w14:textId="77777777" w:rsidR="00B56A59" w:rsidRDefault="00B56A59">
      <w:pPr>
        <w:rPr>
          <w:rtl/>
        </w:rPr>
      </w:pPr>
      <w:bookmarkStart w:id="0" w:name="LawPartStart"/>
    </w:p>
    <w:bookmarkEnd w:id="0"/>
    <w:p w14:paraId="62CE749B" w14:textId="77777777" w:rsidR="00B56A59" w:rsidRDefault="00B56A59">
      <w:pPr>
        <w:pStyle w:val="big-header"/>
        <w:ind w:left="0" w:right="2835"/>
        <w:rPr>
          <w:rStyle w:val="super"/>
          <w:rFonts w:cs="Miriam"/>
        </w:rPr>
      </w:pPr>
      <w:r>
        <w:rPr>
          <w:rtl/>
        </w:rPr>
        <w:t>צ</w:t>
      </w:r>
      <w:r>
        <w:rPr>
          <w:rFonts w:hint="cs"/>
          <w:rtl/>
        </w:rPr>
        <w:t>ווי ניקוז (הכרזה על אזור ניקוז)</w:t>
      </w:r>
      <w:r>
        <w:rPr>
          <w:rStyle w:val="super"/>
          <w:rFonts w:cs="Miriam"/>
          <w:rtl/>
        </w:rPr>
        <w:t>(6)</w:t>
      </w:r>
    </w:p>
    <w:p w14:paraId="255C493C" w14:textId="77777777" w:rsidR="00A76546" w:rsidRPr="00A76546" w:rsidRDefault="00A76546" w:rsidP="00A76546">
      <w:pPr>
        <w:spacing w:line="320" w:lineRule="auto"/>
        <w:rPr>
          <w:rStyle w:val="super"/>
          <w:rFonts w:cs="FrankRuehl"/>
          <w:szCs w:val="26"/>
          <w:rtl/>
        </w:rPr>
      </w:pPr>
    </w:p>
    <w:p w14:paraId="60723DFD" w14:textId="77777777" w:rsidR="00A76546" w:rsidRDefault="00A76546" w:rsidP="00A76546">
      <w:pPr>
        <w:spacing w:line="320" w:lineRule="auto"/>
        <w:rPr>
          <w:rStyle w:val="super"/>
          <w:rFonts w:cs="Miriam"/>
          <w:rtl/>
        </w:rPr>
      </w:pPr>
    </w:p>
    <w:p w14:paraId="19C0FFC9" w14:textId="77777777" w:rsidR="00A76546" w:rsidRPr="00A76546" w:rsidRDefault="00A76546" w:rsidP="00A76546">
      <w:pPr>
        <w:spacing w:line="320" w:lineRule="auto"/>
        <w:rPr>
          <w:rStyle w:val="super"/>
          <w:rFonts w:cs="Miriam"/>
          <w:szCs w:val="22"/>
        </w:rPr>
      </w:pPr>
      <w:r w:rsidRPr="00A76546">
        <w:rPr>
          <w:rStyle w:val="super"/>
          <w:rFonts w:cs="Miriam"/>
          <w:szCs w:val="22"/>
          <w:rtl/>
        </w:rPr>
        <w:t>רשויות ומשפט מנהלי</w:t>
      </w:r>
      <w:r w:rsidRPr="00A76546">
        <w:rPr>
          <w:rStyle w:val="super"/>
          <w:rFonts w:cs="FrankRuehl"/>
          <w:szCs w:val="26"/>
          <w:rtl/>
        </w:rPr>
        <w:t xml:space="preserve"> – רשויות מקומיות – ניקוז והגנה מפני שיטפונות – הכרזה על אזור ניקוז</w:t>
      </w:r>
    </w:p>
    <w:p w14:paraId="1C217293" w14:textId="77777777" w:rsidR="00A76546" w:rsidRDefault="00A76546">
      <w:pPr>
        <w:pStyle w:val="big-header"/>
        <w:ind w:left="0" w:right="2835"/>
        <w:rPr>
          <w:rStyle w:val="default"/>
          <w:rtl/>
        </w:rPr>
      </w:pPr>
    </w:p>
    <w:p w14:paraId="4A353FDA" w14:textId="77777777" w:rsidR="00B56A59" w:rsidRDefault="00B56A59">
      <w:pPr>
        <w:pStyle w:val="medium-header"/>
        <w:keepNext w:val="0"/>
        <w:keepLines w:val="0"/>
        <w:ind w:left="0" w:right="2835"/>
        <w:rPr>
          <w:rtl/>
        </w:rPr>
      </w:pPr>
      <w:r>
        <w:rPr>
          <w:rtl/>
        </w:rPr>
        <w:t>(</w:t>
      </w:r>
      <w:r>
        <w:rPr>
          <w:rFonts w:hint="cs"/>
          <w:rtl/>
        </w:rPr>
        <w:t>עפ"י סעיף 4 לפקודת הניקוז (מים עליונים), 1941)</w:t>
      </w:r>
    </w:p>
    <w:p w14:paraId="77DF6EDA" w14:textId="77777777" w:rsidR="00B56A59" w:rsidRDefault="00B56A59">
      <w:pPr>
        <w:rPr>
          <w:rtl/>
        </w:rPr>
      </w:pPr>
      <w:bookmarkStart w:id="1" w:name="LawPartEnd"/>
    </w:p>
    <w:bookmarkEnd w:id="1"/>
    <w:p w14:paraId="51AC872C" w14:textId="77777777" w:rsidR="00B56A59" w:rsidRDefault="00B56A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>(6)</w:t>
      </w:r>
      <w:r>
        <w:rPr>
          <w:rtl/>
        </w:rPr>
        <w:t> </w:t>
      </w:r>
      <w:r>
        <w:rPr>
          <w:sz w:val="20"/>
          <w:rtl/>
        </w:rPr>
        <w:t>צ</w:t>
      </w:r>
      <w:r>
        <w:rPr>
          <w:rFonts w:hint="cs"/>
          <w:sz w:val="20"/>
          <w:rtl/>
        </w:rPr>
        <w:t xml:space="preserve">ווים כאלה פורסמו ע"ר תוס' 2 </w:t>
      </w:r>
      <w:r>
        <w:rPr>
          <w:sz w:val="20"/>
          <w:rtl/>
        </w:rPr>
        <w:t>—</w:t>
      </w:r>
    </w:p>
    <w:p w14:paraId="62CA8510" w14:textId="77777777" w:rsidR="00B56A59" w:rsidRDefault="00B56A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 xml:space="preserve">1943, </w:t>
      </w:r>
      <w:r>
        <w:rPr>
          <w:rFonts w:hint="cs"/>
          <w:sz w:val="20"/>
          <w:rtl/>
        </w:rPr>
        <w:t>מס' 1252, עמ' (ע) 151, (א) 184; מס' 1254, עמ' (ע) 168, (א) 205; מס' 1261, עמ' (ע) 293, (א) 360; מס' 1291, עמ' (ע) 698</w:t>
      </w:r>
      <w:r>
        <w:rPr>
          <w:sz w:val="20"/>
          <w:rtl/>
        </w:rPr>
        <w:t>, (</w:t>
      </w:r>
      <w:r>
        <w:rPr>
          <w:rFonts w:hint="cs"/>
          <w:sz w:val="20"/>
          <w:rtl/>
        </w:rPr>
        <w:t>א) 884; מס' 1304, עמ' (ע) 873, (א) 1105;</w:t>
      </w:r>
    </w:p>
    <w:p w14:paraId="0E5FAE1A" w14:textId="77777777" w:rsidR="00B56A59" w:rsidRDefault="00B56A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 xml:space="preserve">1946, </w:t>
      </w:r>
      <w:r>
        <w:rPr>
          <w:rFonts w:hint="cs"/>
          <w:sz w:val="20"/>
          <w:rtl/>
        </w:rPr>
        <w:t>מס' 1500, עמ' (ע) 724, (א) 805;</w:t>
      </w:r>
    </w:p>
    <w:p w14:paraId="07A6D585" w14:textId="77777777" w:rsidR="00B56A59" w:rsidRDefault="00B56A5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2835"/>
        <w:rPr>
          <w:sz w:val="20"/>
          <w:rtl/>
        </w:rPr>
      </w:pPr>
      <w:r>
        <w:rPr>
          <w:sz w:val="20"/>
          <w:rtl/>
        </w:rPr>
        <w:t xml:space="preserve">1947, </w:t>
      </w:r>
      <w:r>
        <w:rPr>
          <w:rFonts w:hint="cs"/>
          <w:sz w:val="20"/>
          <w:rtl/>
        </w:rPr>
        <w:t>מס' 1554, עמ' (ע) 145, (א) 172; מס' 1575, עמ' (ע) 521, (א) 640; מס' 1578, עמ' (ע) 563, (א) 691; מס' 1579, עמ' (ע) 585, (א) 718.</w:t>
      </w:r>
    </w:p>
    <w:p w14:paraId="2659FA07" w14:textId="77777777" w:rsidR="00B56A59" w:rsidRDefault="00B56A59"/>
    <w:sectPr w:rsidR="00B56A5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B0AE2" w14:textId="77777777" w:rsidR="00B56A59" w:rsidRDefault="00B56A59">
      <w:r>
        <w:separator/>
      </w:r>
    </w:p>
  </w:endnote>
  <w:endnote w:type="continuationSeparator" w:id="0">
    <w:p w14:paraId="6085050E" w14:textId="77777777" w:rsidR="00B56A59" w:rsidRDefault="00B5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62" w14:textId="77777777" w:rsidR="00B56A59" w:rsidRDefault="00B56A59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2A63DF2C" w14:textId="77777777" w:rsidR="00B56A59" w:rsidRDefault="00B56A5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4755F18" w14:textId="77777777" w:rsidR="00B56A59" w:rsidRDefault="00B56A59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G:\Nevo\Laws\Laws\309_006.doc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61940" w14:textId="77777777" w:rsidR="00B56A59" w:rsidRDefault="00B56A59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A76546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14:paraId="313380EC" w14:textId="77777777" w:rsidR="00B56A59" w:rsidRDefault="00B56A5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FE59AF4" w14:textId="77777777" w:rsidR="00B56A59" w:rsidRDefault="00B56A59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G:\Nevo\Laws\Laws\309_006.doc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A68C" w14:textId="77777777" w:rsidR="00B56A59" w:rsidRDefault="00B56A59">
      <w:r>
        <w:separator/>
      </w:r>
    </w:p>
  </w:footnote>
  <w:footnote w:type="continuationSeparator" w:id="0">
    <w:p w14:paraId="378E39D8" w14:textId="77777777" w:rsidR="00B56A59" w:rsidRDefault="00B56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EC62C" w14:textId="77777777" w:rsidR="00B56A59" w:rsidRDefault="00B56A59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צווי ניקוז</w:t>
    </w:r>
  </w:p>
  <w:p w14:paraId="63457361" w14:textId="77777777" w:rsidR="00B56A59" w:rsidRDefault="00B56A59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683191" w14:textId="77777777" w:rsidR="00B56A59" w:rsidRDefault="00B56A59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B7CB" w14:textId="77777777" w:rsidR="00B56A59" w:rsidRDefault="00B56A59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צווי ניקוז</w:t>
    </w:r>
  </w:p>
  <w:p w14:paraId="0366C203" w14:textId="77777777" w:rsidR="00B56A59" w:rsidRDefault="00B56A59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2DA9B6" w14:textId="77777777" w:rsidR="00B56A59" w:rsidRDefault="00B56A59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6546"/>
    <w:rsid w:val="00A76546"/>
    <w:rsid w:val="00B56A59"/>
    <w:rsid w:val="00F5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799F3C1"/>
  <w15:chartTrackingRefBased/>
  <w15:docId w15:val="{7AC7C068-7D55-4CC8-8FE8-18379FD8A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rFonts w:cs="FrankRuehl"/>
      <w:noProof/>
      <w:sz w:val="20"/>
      <w:szCs w:val="32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rFonts w:cs="FrankRuehl"/>
      <w:noProof/>
      <w:sz w:val="20"/>
      <w:szCs w:val="26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rFonts w:cs="FrankRuehl"/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309</vt:lpstr>
    </vt:vector>
  </TitlesOfParts>
  <Company> </Company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309</dc:title>
  <dc:subject/>
  <dc:creator> 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0309</vt:lpwstr>
  </property>
  <property fmtid="{D5CDD505-2E9C-101B-9397-08002B2CF9AE}" pid="3" name="CHNAME">
    <vt:lpwstr>ניקוז והגנה מפני שטפונות</vt:lpwstr>
  </property>
  <property fmtid="{D5CDD505-2E9C-101B-9397-08002B2CF9AE}" pid="4" name="LAWNAME">
    <vt:lpwstr>צווי ניקוז</vt:lpwstr>
  </property>
  <property fmtid="{D5CDD505-2E9C-101B-9397-08002B2CF9AE}" pid="5" name="LAWNUMBER">
    <vt:lpwstr>0006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רשויות מקומיות</vt:lpwstr>
  </property>
  <property fmtid="{D5CDD505-2E9C-101B-9397-08002B2CF9AE}" pid="9" name="NOSE31">
    <vt:lpwstr>ניקוז והגנה מפני שיטפונות</vt:lpwstr>
  </property>
  <property fmtid="{D5CDD505-2E9C-101B-9397-08002B2CF9AE}" pid="10" name="NOSE41">
    <vt:lpwstr>הכרזה על אזור ניקוז</vt:lpwstr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