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F00B" w14:textId="77777777" w:rsidR="002A24E2" w:rsidRDefault="00033558" w:rsidP="00E167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קווים מנחים לרואה חשבון (מימון הבחירות ברשויות המקומיות</w:t>
      </w:r>
      <w:r w:rsidR="007646A6">
        <w:rPr>
          <w:rFonts w:cs="FrankRuehl" w:hint="cs"/>
          <w:sz w:val="32"/>
          <w:rtl/>
        </w:rPr>
        <w:t>)</w:t>
      </w:r>
      <w:r w:rsidR="00290BE9">
        <w:rPr>
          <w:rFonts w:cs="FrankRuehl" w:hint="cs"/>
          <w:sz w:val="32"/>
          <w:rtl/>
        </w:rPr>
        <w:t xml:space="preserve">, </w:t>
      </w:r>
      <w:r>
        <w:rPr>
          <w:rFonts w:cs="FrankRuehl"/>
          <w:sz w:val="32"/>
          <w:rtl/>
        </w:rPr>
        <w:br/>
      </w:r>
      <w:r w:rsidR="00E167C4">
        <w:rPr>
          <w:rFonts w:cs="FrankRuehl" w:hint="cs"/>
          <w:sz w:val="32"/>
          <w:rtl/>
        </w:rPr>
        <w:t>תשע"ג-2013</w:t>
      </w:r>
    </w:p>
    <w:p w14:paraId="3BDEB408" w14:textId="77777777" w:rsidR="001B628F" w:rsidRPr="001B628F" w:rsidRDefault="001B628F" w:rsidP="001B628F">
      <w:pPr>
        <w:spacing w:line="320" w:lineRule="auto"/>
        <w:rPr>
          <w:rFonts w:cs="FrankRuehl"/>
          <w:szCs w:val="26"/>
          <w:rtl/>
        </w:rPr>
      </w:pPr>
    </w:p>
    <w:p w14:paraId="69AD6F2B" w14:textId="77777777" w:rsidR="001B628F" w:rsidRDefault="001B628F" w:rsidP="001B628F">
      <w:pPr>
        <w:spacing w:line="320" w:lineRule="auto"/>
        <w:rPr>
          <w:rtl/>
        </w:rPr>
      </w:pPr>
    </w:p>
    <w:p w14:paraId="3D8EC3C6" w14:textId="77777777" w:rsidR="001B628F" w:rsidRDefault="001B628F" w:rsidP="001B628F">
      <w:pPr>
        <w:spacing w:line="320" w:lineRule="auto"/>
        <w:rPr>
          <w:rFonts w:cs="FrankRuehl"/>
          <w:szCs w:val="26"/>
          <w:rtl/>
        </w:rPr>
      </w:pPr>
      <w:r w:rsidRPr="001B628F">
        <w:rPr>
          <w:rFonts w:cs="Miriam"/>
          <w:szCs w:val="22"/>
          <w:rtl/>
        </w:rPr>
        <w:t xml:space="preserve">דיני חוקה </w:t>
      </w:r>
      <w:r w:rsidRPr="001B628F">
        <w:rPr>
          <w:rFonts w:cs="FrankRuehl"/>
          <w:szCs w:val="26"/>
          <w:rtl/>
        </w:rPr>
        <w:t xml:space="preserve"> – בחירות – בחירות ברשויות – מימון</w:t>
      </w:r>
    </w:p>
    <w:p w14:paraId="28F96623" w14:textId="77777777" w:rsidR="001B628F" w:rsidRDefault="001B628F" w:rsidP="001B628F">
      <w:pPr>
        <w:spacing w:line="320" w:lineRule="auto"/>
        <w:rPr>
          <w:rFonts w:cs="FrankRuehl"/>
          <w:szCs w:val="26"/>
          <w:rtl/>
        </w:rPr>
      </w:pPr>
      <w:r w:rsidRPr="001B628F">
        <w:rPr>
          <w:rFonts w:cs="Miriam"/>
          <w:szCs w:val="22"/>
          <w:rtl/>
        </w:rPr>
        <w:t>רשויות ומשפט מנהלי</w:t>
      </w:r>
      <w:r w:rsidRPr="001B628F">
        <w:rPr>
          <w:rFonts w:cs="FrankRuehl"/>
          <w:szCs w:val="26"/>
          <w:rtl/>
        </w:rPr>
        <w:t xml:space="preserve"> – רשויות מקומיות – בחירות – מימון</w:t>
      </w:r>
    </w:p>
    <w:p w14:paraId="02D01314" w14:textId="77777777" w:rsidR="001B628F" w:rsidRDefault="001B628F" w:rsidP="001B628F">
      <w:pPr>
        <w:spacing w:line="320" w:lineRule="auto"/>
        <w:rPr>
          <w:rFonts w:cs="FrankRuehl"/>
          <w:szCs w:val="26"/>
          <w:rtl/>
        </w:rPr>
      </w:pPr>
      <w:r w:rsidRPr="001B628F">
        <w:rPr>
          <w:rFonts w:cs="Miriam"/>
          <w:szCs w:val="22"/>
          <w:rtl/>
        </w:rPr>
        <w:t>משפט פרטי וכלכלה</w:t>
      </w:r>
      <w:r w:rsidRPr="001B628F">
        <w:rPr>
          <w:rFonts w:cs="FrankRuehl"/>
          <w:szCs w:val="26"/>
          <w:rtl/>
        </w:rPr>
        <w:t xml:space="preserve"> – הסדרת עיסוק – רואי חשבון</w:t>
      </w:r>
    </w:p>
    <w:p w14:paraId="037888E3" w14:textId="77777777" w:rsidR="00E60004" w:rsidRPr="001B628F" w:rsidRDefault="001B628F" w:rsidP="001B628F">
      <w:pPr>
        <w:spacing w:line="320" w:lineRule="auto"/>
        <w:rPr>
          <w:rFonts w:cs="Miriam"/>
          <w:szCs w:val="22"/>
          <w:rtl/>
        </w:rPr>
      </w:pPr>
      <w:r w:rsidRPr="001B628F">
        <w:rPr>
          <w:rFonts w:cs="Miriam"/>
          <w:szCs w:val="22"/>
          <w:rtl/>
        </w:rPr>
        <w:t>רשויות ומשפט מנהלי</w:t>
      </w:r>
      <w:r w:rsidRPr="001B628F">
        <w:rPr>
          <w:rFonts w:cs="FrankRuehl"/>
          <w:szCs w:val="26"/>
          <w:rtl/>
        </w:rPr>
        <w:t xml:space="preserve"> – הסדרת עיסוק – רואי חשבון</w:t>
      </w:r>
    </w:p>
    <w:p w14:paraId="42281CCC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064EE" w:rsidRPr="003064EE" w14:paraId="3ACF165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E58EA7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9E4AF9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FAF1609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ED4078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080D73A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989372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5D4AB7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פעולות רואה חשבון</w:t>
            </w:r>
          </w:p>
        </w:tc>
        <w:tc>
          <w:tcPr>
            <w:tcW w:w="567" w:type="dxa"/>
          </w:tcPr>
          <w:p w14:paraId="4B082133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2" w:tooltip="פעולות רואה חשבון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EE8FC0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763B9E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1A51F1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7C64B97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מסירת מידע למבקר המדינה</w:t>
            </w:r>
          </w:p>
        </w:tc>
        <w:tc>
          <w:tcPr>
            <w:tcW w:w="567" w:type="dxa"/>
          </w:tcPr>
          <w:p w14:paraId="2D4EACCF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3" w:tooltip="מסירת מידע למבקר המדינה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484995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492B28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3A0933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57FD38E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בדיקות</w:t>
            </w:r>
          </w:p>
        </w:tc>
        <w:tc>
          <w:tcPr>
            <w:tcW w:w="567" w:type="dxa"/>
          </w:tcPr>
          <w:p w14:paraId="63E3A2E2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4" w:tooltip="ביצוע בדיקות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ECB010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1C4BD6E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B35825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6494ED1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 יכולת להשלים בדיקות</w:t>
            </w:r>
          </w:p>
        </w:tc>
        <w:tc>
          <w:tcPr>
            <w:tcW w:w="567" w:type="dxa"/>
          </w:tcPr>
          <w:p w14:paraId="55619DC9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5" w:tooltip="אי יכולת להשלים בדיקות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EF1D82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60E1EF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7F1044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99FBFB8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חוות דעת של רואה חשבון</w:t>
            </w:r>
          </w:p>
        </w:tc>
        <w:tc>
          <w:tcPr>
            <w:tcW w:w="567" w:type="dxa"/>
          </w:tcPr>
          <w:p w14:paraId="408AC678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6" w:tooltip="חוות דעת של רואה חשבון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ECAE28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064EE" w:rsidRPr="003064EE" w14:paraId="496222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B67914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14FCB2F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5D329886" w14:textId="77777777" w:rsidR="003064EE" w:rsidRPr="003064EE" w:rsidRDefault="003064EE" w:rsidP="003064EE">
            <w:pPr>
              <w:rPr>
                <w:rStyle w:val="Hyperlink"/>
                <w:rFonts w:hint="cs"/>
                <w:rtl/>
              </w:rPr>
            </w:pPr>
            <w:hyperlink w:anchor="Seif7" w:tooltip="ביטול" w:history="1">
              <w:r w:rsidRPr="003064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122D56" w14:textId="77777777" w:rsidR="003064EE" w:rsidRPr="003064EE" w:rsidRDefault="003064EE" w:rsidP="003064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4C7A06D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9624686" w14:textId="77777777" w:rsidR="002A24E2" w:rsidRPr="00E60004" w:rsidRDefault="002A24E2" w:rsidP="00E167C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E167C4">
        <w:rPr>
          <w:rFonts w:cs="FrankRuehl" w:hint="cs"/>
          <w:sz w:val="32"/>
          <w:rtl/>
        </w:rPr>
        <w:lastRenderedPageBreak/>
        <w:t xml:space="preserve">קווים מנחים לרואה חשבון (מימון הבחירות ברשויות המקומיות), </w:t>
      </w:r>
      <w:r w:rsidR="00E167C4">
        <w:rPr>
          <w:rFonts w:cs="FrankRuehl"/>
          <w:sz w:val="32"/>
          <w:rtl/>
        </w:rPr>
        <w:br/>
      </w:r>
      <w:r w:rsidR="00E167C4">
        <w:rPr>
          <w:rFonts w:cs="FrankRuehl" w:hint="cs"/>
          <w:sz w:val="32"/>
          <w:rtl/>
        </w:rPr>
        <w:t>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A383CC0" w14:textId="77777777" w:rsidR="0071493B" w:rsidRDefault="002F6F4A" w:rsidP="00E167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82360D">
        <w:rPr>
          <w:rStyle w:val="default"/>
          <w:rFonts w:cs="FrankRuehl" w:hint="cs"/>
          <w:rtl/>
        </w:rPr>
        <w:t>סעיף 30(</w:t>
      </w:r>
      <w:r w:rsidR="00033558">
        <w:rPr>
          <w:rStyle w:val="default"/>
          <w:rFonts w:cs="FrankRuehl" w:hint="cs"/>
          <w:rtl/>
        </w:rPr>
        <w:t>ב</w:t>
      </w:r>
      <w:r w:rsidR="0082360D">
        <w:rPr>
          <w:rStyle w:val="default"/>
          <w:rFonts w:cs="FrankRuehl" w:hint="cs"/>
          <w:rtl/>
        </w:rPr>
        <w:t xml:space="preserve">) לחוק הרשויות המקומיות (מימון בחירות), התשנ"ג-1993 (להלן </w:t>
      </w:r>
      <w:r w:rsidR="0082360D">
        <w:rPr>
          <w:rStyle w:val="default"/>
          <w:rFonts w:cs="FrankRuehl"/>
          <w:rtl/>
        </w:rPr>
        <w:t>–</w:t>
      </w:r>
      <w:r w:rsidR="0082360D">
        <w:rPr>
          <w:rStyle w:val="default"/>
          <w:rFonts w:cs="FrankRuehl" w:hint="cs"/>
          <w:rtl/>
        </w:rPr>
        <w:t xml:space="preserve"> חוק</w:t>
      </w:r>
      <w:r w:rsidR="00E167C4">
        <w:rPr>
          <w:rStyle w:val="default"/>
          <w:rFonts w:cs="FrankRuehl" w:hint="cs"/>
          <w:rtl/>
        </w:rPr>
        <w:t xml:space="preserve"> מימון בחירות</w:t>
      </w:r>
      <w:r w:rsidR="0082360D">
        <w:rPr>
          <w:rStyle w:val="default"/>
          <w:rFonts w:cs="FrankRuehl" w:hint="cs"/>
          <w:rtl/>
        </w:rPr>
        <w:t xml:space="preserve">), אני קובע </w:t>
      </w:r>
      <w:r w:rsidR="00033558">
        <w:rPr>
          <w:rStyle w:val="default"/>
          <w:rFonts w:cs="FrankRuehl" w:hint="cs"/>
          <w:rtl/>
        </w:rPr>
        <w:t>קווים מנחים</w:t>
      </w:r>
      <w:r w:rsidR="0082360D">
        <w:rPr>
          <w:rStyle w:val="default"/>
          <w:rFonts w:cs="FrankRuehl" w:hint="cs"/>
          <w:rtl/>
        </w:rPr>
        <w:t xml:space="preserve"> אלה</w:t>
      </w:r>
      <w:r>
        <w:rPr>
          <w:rStyle w:val="default"/>
          <w:rFonts w:cs="FrankRuehl" w:hint="cs"/>
          <w:rtl/>
        </w:rPr>
        <w:t>:</w:t>
      </w:r>
    </w:p>
    <w:p w14:paraId="7A7F62D2" w14:textId="77777777" w:rsidR="002F6F4A" w:rsidRDefault="002A24E2" w:rsidP="000335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8B8A47E">
          <v:rect id="_x0000_s1026" style="position:absolute;left:0;text-align:left;margin-left:464.35pt;margin-top:7.1pt;width:75.05pt;height:16.95pt;z-index:251654656" o:allowincell="f" filled="f" stroked="f" strokecolor="lime" strokeweight=".25pt">
            <v:textbox style="mso-next-textbox:#_x0000_s1026" inset="0,0,0,0">
              <w:txbxContent>
                <w:p w14:paraId="0AC7FB61" w14:textId="77777777" w:rsidR="006A0838" w:rsidRDefault="006A0838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33558">
        <w:rPr>
          <w:rStyle w:val="default"/>
          <w:rFonts w:cs="FrankRuehl" w:hint="cs"/>
          <w:rtl/>
        </w:rPr>
        <w:t>בקווים מנחים</w:t>
      </w:r>
      <w:r w:rsidR="0082360D">
        <w:rPr>
          <w:rStyle w:val="default"/>
          <w:rFonts w:cs="FrankRuehl" w:hint="cs"/>
          <w:rtl/>
        </w:rPr>
        <w:t xml:space="preserve"> אלה </w:t>
      </w:r>
      <w:r w:rsidR="0082360D">
        <w:rPr>
          <w:rStyle w:val="default"/>
          <w:rFonts w:cs="FrankRuehl"/>
          <w:rtl/>
        </w:rPr>
        <w:t>–</w:t>
      </w:r>
    </w:p>
    <w:p w14:paraId="03FF00AA" w14:textId="77777777" w:rsidR="0082360D" w:rsidRDefault="0082360D" w:rsidP="00E167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"דין וחשבון כספי"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דין וחשבון </w:t>
      </w:r>
      <w:r w:rsidR="00033558">
        <w:rPr>
          <w:rStyle w:val="default"/>
          <w:rFonts w:cs="FrankRuehl" w:hint="cs"/>
          <w:rtl/>
        </w:rPr>
        <w:t xml:space="preserve">כספי המוגש על פי סעיף 22(א) לחוק ועל פי הנחיות </w:t>
      </w:r>
      <w:r w:rsidR="00E167C4">
        <w:rPr>
          <w:rStyle w:val="default"/>
          <w:rFonts w:cs="FrankRuehl" w:hint="cs"/>
          <w:rtl/>
        </w:rPr>
        <w:t>הרשויות המקומיות (</w:t>
      </w:r>
      <w:r w:rsidR="00033558">
        <w:rPr>
          <w:rStyle w:val="default"/>
          <w:rFonts w:cs="FrankRuehl" w:hint="cs"/>
          <w:rtl/>
        </w:rPr>
        <w:t>מימון בחירות</w:t>
      </w:r>
      <w:r w:rsidR="00E167C4">
        <w:rPr>
          <w:rStyle w:val="default"/>
          <w:rFonts w:cs="FrankRuehl" w:hint="cs"/>
          <w:rtl/>
        </w:rPr>
        <w:t>)</w:t>
      </w:r>
      <w:r w:rsidR="00033558">
        <w:rPr>
          <w:rStyle w:val="default"/>
          <w:rFonts w:cs="FrankRuehl" w:hint="cs"/>
          <w:rtl/>
        </w:rPr>
        <w:t xml:space="preserve"> (ניהול חשבונות), </w:t>
      </w:r>
      <w:r w:rsidR="00E167C4">
        <w:rPr>
          <w:rStyle w:val="default"/>
          <w:rFonts w:cs="FrankRuehl" w:hint="cs"/>
          <w:rtl/>
        </w:rPr>
        <w:t xml:space="preserve">התשע"ג-2013 (להלן </w:t>
      </w:r>
      <w:r w:rsidR="00E167C4">
        <w:rPr>
          <w:rStyle w:val="default"/>
          <w:rFonts w:cs="FrankRuehl"/>
          <w:rtl/>
        </w:rPr>
        <w:t>–</w:t>
      </w:r>
      <w:r w:rsidR="00E167C4">
        <w:rPr>
          <w:rStyle w:val="default"/>
          <w:rFonts w:cs="FrankRuehl" w:hint="cs"/>
          <w:rtl/>
        </w:rPr>
        <w:t xml:space="preserve"> ההנחיות)</w:t>
      </w:r>
      <w:r>
        <w:rPr>
          <w:rStyle w:val="default"/>
          <w:rFonts w:cs="FrankRuehl" w:hint="cs"/>
          <w:rtl/>
        </w:rPr>
        <w:t>;</w:t>
      </w:r>
    </w:p>
    <w:p w14:paraId="68C91C4C" w14:textId="77777777" w:rsidR="00033558" w:rsidRDefault="00033558" w:rsidP="00E167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"רואה חשבון"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שנתמנה לפי סעי</w:t>
      </w:r>
      <w:r w:rsidR="00E167C4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17 או 18 לחוק</w:t>
      </w:r>
      <w:r w:rsidR="00E167C4">
        <w:rPr>
          <w:rStyle w:val="default"/>
          <w:rFonts w:cs="FrankRuehl" w:hint="cs"/>
          <w:rtl/>
        </w:rPr>
        <w:t xml:space="preserve"> מימון בחירות</w:t>
      </w:r>
      <w:r>
        <w:rPr>
          <w:rStyle w:val="default"/>
          <w:rFonts w:cs="FrankRuehl" w:hint="cs"/>
          <w:rtl/>
        </w:rPr>
        <w:t>;</w:t>
      </w:r>
    </w:p>
    <w:p w14:paraId="064F85B3" w14:textId="77777777" w:rsidR="0082360D" w:rsidRDefault="0082360D" w:rsidP="00E167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"סיעה"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E167C4">
        <w:rPr>
          <w:rStyle w:val="default"/>
          <w:rFonts w:cs="FrankRuehl" w:hint="cs"/>
          <w:rtl/>
        </w:rPr>
        <w:t>לרבות</w:t>
      </w:r>
      <w:r>
        <w:rPr>
          <w:rStyle w:val="default"/>
          <w:rFonts w:cs="FrankRuehl" w:hint="cs"/>
          <w:rtl/>
        </w:rPr>
        <w:t xml:space="preserve"> רשימה, סיעת אם, סיעת בת, רשימת בת, מועמד לראש מועצה אזורית ומועמד בבחירות מ</w:t>
      </w:r>
      <w:r w:rsidR="0087457C">
        <w:rPr>
          <w:rStyle w:val="default"/>
          <w:rFonts w:cs="FrankRuehl" w:hint="cs"/>
          <w:rtl/>
        </w:rPr>
        <w:t>יוחדות לראש רשות, כמשמעותם בחוק</w:t>
      </w:r>
      <w:r w:rsidR="00E167C4">
        <w:rPr>
          <w:rStyle w:val="default"/>
          <w:rFonts w:cs="FrankRuehl" w:hint="cs"/>
          <w:rtl/>
        </w:rPr>
        <w:t>, וסיעה משתתפת בהכגדרתה בהנחיות</w:t>
      </w:r>
      <w:r w:rsidR="0087457C">
        <w:rPr>
          <w:rStyle w:val="default"/>
          <w:rFonts w:cs="FrankRuehl" w:hint="cs"/>
          <w:rtl/>
        </w:rPr>
        <w:t>.</w:t>
      </w:r>
    </w:p>
    <w:p w14:paraId="33C8E1B2" w14:textId="77777777" w:rsidR="008D2E61" w:rsidRDefault="00E21924" w:rsidP="008032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E8B4E90">
          <v:rect id="_x0000_s1388" style="position:absolute;left:0;text-align:left;margin-left:464.35pt;margin-top:7.1pt;width:75.05pt;height:20.05pt;z-index:251655680" o:allowincell="f" filled="f" stroked="f" strokecolor="lime" strokeweight=".25pt">
            <v:textbox style="mso-next-textbox:#_x0000_s1388" inset="0,0,0,0">
              <w:txbxContent>
                <w:p w14:paraId="2E25156D" w14:textId="77777777" w:rsidR="006A0838" w:rsidRDefault="0087457C" w:rsidP="008032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פעולות רואה חשבון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7457C">
        <w:rPr>
          <w:rStyle w:val="default"/>
          <w:rFonts w:cs="FrankRuehl" w:hint="cs"/>
          <w:rtl/>
        </w:rPr>
        <w:t xml:space="preserve">על פעולת רואה חשבון בביקורת חשבונות סיעה, </w:t>
      </w:r>
      <w:r w:rsidR="00803226">
        <w:rPr>
          <w:rStyle w:val="default"/>
          <w:rFonts w:cs="FrankRuehl" w:hint="cs"/>
          <w:rtl/>
        </w:rPr>
        <w:t>ב</w:t>
      </w:r>
      <w:r w:rsidR="0087457C">
        <w:rPr>
          <w:rStyle w:val="default"/>
          <w:rFonts w:cs="FrankRuehl" w:hint="cs"/>
          <w:rtl/>
        </w:rPr>
        <w:t xml:space="preserve">דין וחשבון הכספי שלה ובמתן חוות דעתו לפי סעיף 22(ב) לחוק </w:t>
      </w:r>
      <w:r w:rsidR="00803226">
        <w:rPr>
          <w:rStyle w:val="default"/>
          <w:rFonts w:cs="FrankRuehl" w:hint="cs"/>
          <w:rtl/>
        </w:rPr>
        <w:t xml:space="preserve">מימון בחירות </w:t>
      </w:r>
      <w:r w:rsidR="0087457C">
        <w:rPr>
          <w:rStyle w:val="default"/>
          <w:rFonts w:cs="FrankRuehl" w:hint="cs"/>
          <w:rtl/>
        </w:rPr>
        <w:t>יחולו תקנות רואי החשבון (דרך פעולתו של רואה חשבון), התשל"ג-1973, והוא יודרך בעבודתו על ידי הכללים, התקנים והנהלים המקובלים במקצוע.</w:t>
      </w:r>
    </w:p>
    <w:p w14:paraId="3C872FF3" w14:textId="77777777" w:rsidR="00987356" w:rsidRDefault="00987356" w:rsidP="00967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0151CD86">
          <v:rect id="_x0000_s1602" style="position:absolute;left:0;text-align:left;margin-left:464.35pt;margin-top:7.1pt;width:75.05pt;height:16.45pt;z-index:251656704" o:allowincell="f" filled="f" stroked="f" strokecolor="lime" strokeweight=".25pt">
            <v:textbox style="mso-next-textbox:#_x0000_s1602" inset="0,0,0,0">
              <w:txbxContent>
                <w:p w14:paraId="35C1B62C" w14:textId="77777777" w:rsidR="006A0838" w:rsidRDefault="00A5084F" w:rsidP="0098735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מידע למבקר המדינה</w:t>
                  </w:r>
                </w:p>
              </w:txbxContent>
            </v:textbox>
            <w10:anchorlock/>
          </v:rect>
        </w:pict>
      </w:r>
      <w:r w:rsidR="000820F0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5084F">
        <w:rPr>
          <w:rStyle w:val="default"/>
          <w:rFonts w:cs="FrankRuehl" w:hint="cs"/>
          <w:rtl/>
        </w:rPr>
        <w:t>רואה חשבון ימציא למבקר המדינה, ב</w:t>
      </w:r>
      <w:r w:rsidR="00967D75">
        <w:rPr>
          <w:rStyle w:val="default"/>
          <w:rFonts w:cs="FrankRuehl" w:hint="cs"/>
          <w:rtl/>
        </w:rPr>
        <w:t>כ</w:t>
      </w:r>
      <w:r w:rsidR="00A5084F">
        <w:rPr>
          <w:rStyle w:val="default"/>
          <w:rFonts w:cs="FrankRuehl" w:hint="cs"/>
          <w:rtl/>
        </w:rPr>
        <w:t>ל עת שיידרש לכך, פרטים על היקף הבדיקות שעשה.</w:t>
      </w:r>
    </w:p>
    <w:p w14:paraId="29473F4A" w14:textId="77777777" w:rsidR="00E154A9" w:rsidRDefault="00987356" w:rsidP="00A508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3A462DAD">
          <v:rect id="_x0000_s1603" style="position:absolute;left:0;text-align:left;margin-left:464.35pt;margin-top:7.1pt;width:75.05pt;height:16.45pt;z-index:251657728" o:allowincell="f" filled="f" stroked="f" strokecolor="lime" strokeweight=".25pt">
            <v:textbox style="mso-next-textbox:#_x0000_s1603" inset="0,0,0,0">
              <w:txbxContent>
                <w:p w14:paraId="002554FB" w14:textId="77777777" w:rsidR="006A0838" w:rsidRDefault="00A5084F" w:rsidP="0098735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בדיקות</w:t>
                  </w:r>
                </w:p>
              </w:txbxContent>
            </v:textbox>
            <w10:anchorlock/>
          </v:rect>
        </w:pict>
      </w:r>
      <w:r w:rsidR="000820F0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5084F">
        <w:rPr>
          <w:rStyle w:val="default"/>
          <w:rFonts w:cs="FrankRuehl" w:hint="cs"/>
          <w:rtl/>
        </w:rPr>
        <w:t>(א)</w:t>
      </w:r>
      <w:r w:rsidR="00A5084F">
        <w:rPr>
          <w:rStyle w:val="default"/>
          <w:rFonts w:cs="FrankRuehl" w:hint="cs"/>
          <w:rtl/>
        </w:rPr>
        <w:tab/>
        <w:t xml:space="preserve">רואה חשבון ינקוט את כל האמצעים הסבירים כדי להבטיח </w:t>
      </w:r>
      <w:r w:rsidR="00967D75">
        <w:rPr>
          <w:rStyle w:val="default"/>
          <w:rFonts w:cs="FrankRuehl" w:hint="cs"/>
          <w:rtl/>
        </w:rPr>
        <w:t xml:space="preserve">את </w:t>
      </w:r>
      <w:r w:rsidR="00A5084F">
        <w:rPr>
          <w:rStyle w:val="default"/>
          <w:rFonts w:cs="FrankRuehl" w:hint="cs"/>
          <w:rtl/>
        </w:rPr>
        <w:t>ביצוע בדיקותיו בזמן הקבוע ובהיקף הנראה לו דרוש.</w:t>
      </w:r>
    </w:p>
    <w:p w14:paraId="2D53D4B3" w14:textId="77777777" w:rsidR="00A5084F" w:rsidRDefault="00A5084F" w:rsidP="00967D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רואה החשבון יבדוק את שלמות הרישום של התקבולים ושל הוצאות הבחירות והתאמתם לתיעוד המשמש אסמכתה לרישום.</w:t>
      </w:r>
    </w:p>
    <w:p w14:paraId="04139034" w14:textId="77777777" w:rsidR="00A5084F" w:rsidRDefault="00A5084F" w:rsidP="00A508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רואה חשבון ירחיב את היקף בדיקותיו או יערוך בדיקות בנושאים נוספים, אם מבקר המדינה דרש זאת ממנו בכתב.</w:t>
      </w:r>
    </w:p>
    <w:p w14:paraId="7D8FBEB4" w14:textId="77777777" w:rsidR="00236C63" w:rsidRDefault="00236C63" w:rsidP="00680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31530ED5">
          <v:rect id="_x0000_s1604" style="position:absolute;left:0;text-align:left;margin-left:464.35pt;margin-top:7.1pt;width:75.05pt;height:16.45pt;z-index:251658752" o:allowincell="f" filled="f" stroked="f" strokecolor="lime" strokeweight=".25pt">
            <v:textbox style="mso-next-textbox:#_x0000_s1604" inset="0,0,0,0">
              <w:txbxContent>
                <w:p w14:paraId="18BA26C7" w14:textId="77777777" w:rsidR="006A0838" w:rsidRDefault="00A5084F" w:rsidP="00236C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אי-יכולת להשלים בדיקות</w:t>
                  </w:r>
                </w:p>
              </w:txbxContent>
            </v:textbox>
            <w10:anchorlock/>
          </v:rect>
        </w:pict>
      </w:r>
      <w:r w:rsidR="00A62D61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5084F">
        <w:rPr>
          <w:rStyle w:val="default"/>
          <w:rFonts w:cs="FrankRuehl" w:hint="cs"/>
          <w:rtl/>
        </w:rPr>
        <w:t xml:space="preserve">נמנע מרואה חשבון, אם בשל ליקויים בניהול מערכת החשבונות של סיעה </w:t>
      </w:r>
      <w:r w:rsidR="00680379">
        <w:rPr>
          <w:rStyle w:val="default"/>
          <w:rFonts w:cs="FrankRuehl" w:hint="cs"/>
          <w:rtl/>
        </w:rPr>
        <w:t>ובין</w:t>
      </w:r>
      <w:r w:rsidR="00A5084F">
        <w:rPr>
          <w:rStyle w:val="default"/>
          <w:rFonts w:cs="FrankRuehl" w:hint="cs"/>
          <w:rtl/>
        </w:rPr>
        <w:t xml:space="preserve"> משום שלא נמסרו לו ידיעות שביקש ממנה, להשלים את בדיקותיו או לתת את חוות דעתו על חשבונות הסיעה ועל הדין וחשבון הכספי שלה כאמור בסעיף 22(ב) לחוק</w:t>
      </w:r>
      <w:r w:rsidR="00680379">
        <w:rPr>
          <w:rStyle w:val="default"/>
          <w:rFonts w:cs="FrankRuehl" w:hint="cs"/>
          <w:rtl/>
        </w:rPr>
        <w:t xml:space="preserve"> מימון בחירות</w:t>
      </w:r>
      <w:r w:rsidR="00A5084F">
        <w:rPr>
          <w:rStyle w:val="default"/>
          <w:rFonts w:cs="FrankRuehl" w:hint="cs"/>
          <w:rtl/>
        </w:rPr>
        <w:t>, יודיע על כך בכתב לסיעה וישלח העתק</w:t>
      </w:r>
      <w:r w:rsidR="00680379">
        <w:rPr>
          <w:rStyle w:val="default"/>
          <w:rFonts w:cs="FrankRuehl" w:hint="cs"/>
          <w:rtl/>
        </w:rPr>
        <w:t>ים</w:t>
      </w:r>
      <w:r w:rsidR="00A5084F">
        <w:rPr>
          <w:rStyle w:val="default"/>
          <w:rFonts w:cs="FrankRuehl" w:hint="cs"/>
          <w:rtl/>
        </w:rPr>
        <w:t xml:space="preserve"> מ</w:t>
      </w:r>
      <w:r w:rsidR="00680379">
        <w:rPr>
          <w:rStyle w:val="default"/>
          <w:rFonts w:cs="FrankRuehl" w:hint="cs"/>
          <w:rtl/>
        </w:rPr>
        <w:t xml:space="preserve">ן </w:t>
      </w:r>
      <w:r w:rsidR="00A5084F">
        <w:rPr>
          <w:rStyle w:val="default"/>
          <w:rFonts w:cs="FrankRuehl" w:hint="cs"/>
          <w:rtl/>
        </w:rPr>
        <w:t>ההודעה לשר הפנים ולמבקר המדינה.</w:t>
      </w:r>
    </w:p>
    <w:p w14:paraId="0E93F8DA" w14:textId="77777777" w:rsidR="00236C63" w:rsidRDefault="00236C63" w:rsidP="00A508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5A6CBD2C">
          <v:rect id="_x0000_s1605" style="position:absolute;left:0;text-align:left;margin-left:464.35pt;margin-top:7.1pt;width:75.05pt;height:26.35pt;z-index:251659776" o:allowincell="f" filled="f" stroked="f" strokecolor="lime" strokeweight=".25pt">
            <v:textbox style="mso-next-textbox:#_x0000_s1605" inset="0,0,0,0">
              <w:txbxContent>
                <w:p w14:paraId="56B1E0BD" w14:textId="77777777" w:rsidR="006A0838" w:rsidRDefault="00A5084F" w:rsidP="00236C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חוות דעת של רואה חשבון</w:t>
                  </w:r>
                </w:p>
              </w:txbxContent>
            </v:textbox>
            <w10:anchorlock/>
          </v:rect>
        </w:pict>
      </w:r>
      <w:r w:rsidR="00A62D61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200DB">
        <w:rPr>
          <w:rStyle w:val="default"/>
          <w:rFonts w:cs="FrankRuehl" w:hint="cs"/>
          <w:rtl/>
        </w:rPr>
        <w:t>(א)</w:t>
      </w:r>
      <w:r w:rsidR="00B200DB">
        <w:rPr>
          <w:rStyle w:val="default"/>
          <w:rFonts w:cs="FrankRuehl" w:hint="cs"/>
          <w:rtl/>
        </w:rPr>
        <w:tab/>
      </w:r>
      <w:r w:rsidR="00A5084F">
        <w:rPr>
          <w:rStyle w:val="default"/>
          <w:rFonts w:cs="FrankRuehl" w:hint="cs"/>
          <w:rtl/>
        </w:rPr>
        <w:t>בחוות הדעת שיגיש רואה חשבון לפי סעיף 22(ב) לחוק</w:t>
      </w:r>
      <w:r w:rsidR="00E45951">
        <w:rPr>
          <w:rStyle w:val="default"/>
          <w:rFonts w:cs="FrankRuehl" w:hint="cs"/>
          <w:rtl/>
        </w:rPr>
        <w:t xml:space="preserve"> מימון בחירות</w:t>
      </w:r>
      <w:r w:rsidR="00A5084F">
        <w:rPr>
          <w:rStyle w:val="default"/>
          <w:rFonts w:cs="FrankRuehl" w:hint="cs"/>
          <w:rtl/>
        </w:rPr>
        <w:t xml:space="preserve"> יפרט</w:t>
      </w:r>
      <w:r w:rsidR="00E45951">
        <w:rPr>
          <w:rStyle w:val="default"/>
          <w:rFonts w:cs="FrankRuehl" w:hint="cs"/>
          <w:rtl/>
        </w:rPr>
        <w:t xml:space="preserve"> את</w:t>
      </w:r>
      <w:r w:rsidR="00A5084F">
        <w:rPr>
          <w:rStyle w:val="default"/>
          <w:rFonts w:cs="FrankRuehl" w:hint="cs"/>
          <w:rtl/>
        </w:rPr>
        <w:t xml:space="preserve"> </w:t>
      </w:r>
      <w:r w:rsidR="00A5084F">
        <w:rPr>
          <w:rStyle w:val="default"/>
          <w:rFonts w:cs="FrankRuehl"/>
          <w:rtl/>
        </w:rPr>
        <w:t>–</w:t>
      </w:r>
    </w:p>
    <w:p w14:paraId="5DBE879A" w14:textId="77777777" w:rsidR="00A5084F" w:rsidRDefault="00A5084F" w:rsidP="00E459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הביקורת שערך לגבי כל אחד מסעיפי הדין וחשבון הכספי של הסיעה;</w:t>
      </w:r>
    </w:p>
    <w:p w14:paraId="716518ED" w14:textId="77777777" w:rsidR="00A5084F" w:rsidRDefault="00A5084F" w:rsidP="00E459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הסטיות המהותיות מהוראות חוק </w:t>
      </w:r>
      <w:r w:rsidR="00E45951">
        <w:rPr>
          <w:rStyle w:val="default"/>
          <w:rFonts w:cs="FrankRuehl" w:hint="cs"/>
          <w:rtl/>
        </w:rPr>
        <w:t xml:space="preserve">מימון בחירות </w:t>
      </w:r>
      <w:r>
        <w:rPr>
          <w:rStyle w:val="default"/>
          <w:rFonts w:cs="FrankRuehl" w:hint="cs"/>
          <w:rtl/>
        </w:rPr>
        <w:t>הנוגעות לניהול חשבונות או מ</w:t>
      </w:r>
      <w:r w:rsidR="00E45951">
        <w:rPr>
          <w:rStyle w:val="default"/>
          <w:rFonts w:cs="FrankRuehl" w:hint="cs"/>
          <w:rtl/>
        </w:rPr>
        <w:t>ן ה</w:t>
      </w:r>
      <w:r>
        <w:rPr>
          <w:rStyle w:val="default"/>
          <w:rFonts w:cs="FrankRuehl" w:hint="cs"/>
          <w:rtl/>
        </w:rPr>
        <w:t>הנחיות שמצא;</w:t>
      </w:r>
    </w:p>
    <w:p w14:paraId="4E7A3136" w14:textId="77777777" w:rsidR="00A5084F" w:rsidRDefault="00A5084F" w:rsidP="00E45951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הערותיו בדבר תקינותם ושלמותם של החשבונות והדין וחשבון הכספי של הסיעה ובדבר ניהול מערכת החשבונות ל</w:t>
      </w:r>
      <w:r w:rsidR="00E45951">
        <w:rPr>
          <w:rStyle w:val="default"/>
          <w:rFonts w:cs="FrankRuehl" w:hint="cs"/>
          <w:rtl/>
        </w:rPr>
        <w:t xml:space="preserve">פי </w:t>
      </w:r>
      <w:r>
        <w:rPr>
          <w:rStyle w:val="default"/>
          <w:rFonts w:cs="FrankRuehl" w:hint="cs"/>
          <w:rtl/>
        </w:rPr>
        <w:t>הנחיות מבקר המדינה.</w:t>
      </w:r>
    </w:p>
    <w:p w14:paraId="40BEBADC" w14:textId="77777777" w:rsidR="00A5084F" w:rsidRDefault="00A5084F" w:rsidP="00E45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חוות הדעת תכלול הודעה של רואה החשבון שתיערך ל</w:t>
      </w:r>
      <w:r w:rsidR="00E45951">
        <w:rPr>
          <w:rStyle w:val="default"/>
          <w:rFonts w:cs="FrankRuehl" w:hint="cs"/>
          <w:rtl/>
        </w:rPr>
        <w:t>פי ה</w:t>
      </w:r>
      <w:r>
        <w:rPr>
          <w:rStyle w:val="default"/>
          <w:rFonts w:cs="FrankRuehl" w:hint="cs"/>
          <w:rtl/>
        </w:rPr>
        <w:t>תוספת.</w:t>
      </w:r>
    </w:p>
    <w:p w14:paraId="70136661" w14:textId="77777777" w:rsidR="00236C63" w:rsidRDefault="00236C63" w:rsidP="00E459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 w14:anchorId="18A218E1">
          <v:rect id="_x0000_s1606" style="position:absolute;left:0;text-align:left;margin-left:464.35pt;margin-top:7.1pt;width:75.05pt;height:16.45pt;z-index:251660800" o:allowincell="f" filled="f" stroked="f" strokecolor="lime" strokeweight=".25pt">
            <v:textbox style="mso-next-textbox:#_x0000_s1606" inset="0,0,0,0">
              <w:txbxContent>
                <w:p w14:paraId="528CBB49" w14:textId="77777777" w:rsidR="006A0838" w:rsidRDefault="00A5084F" w:rsidP="00236C6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A62D61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5084F">
        <w:rPr>
          <w:rStyle w:val="default"/>
          <w:rFonts w:cs="FrankRuehl" w:hint="cs"/>
          <w:rtl/>
        </w:rPr>
        <w:t xml:space="preserve">קווים מנחים לרואה חשבון (מימון הבחירות ברשויות המקומיות), </w:t>
      </w:r>
      <w:r w:rsidR="00E45951">
        <w:rPr>
          <w:rStyle w:val="default"/>
          <w:rFonts w:cs="FrankRuehl" w:hint="cs"/>
          <w:rtl/>
        </w:rPr>
        <w:t>התשס"ח-2008</w:t>
      </w:r>
      <w:r w:rsidR="00A5084F">
        <w:rPr>
          <w:rStyle w:val="default"/>
          <w:rFonts w:cs="FrankRuehl" w:hint="cs"/>
          <w:rtl/>
        </w:rPr>
        <w:t xml:space="preserve"> </w:t>
      </w:r>
      <w:r w:rsidR="00A5084F">
        <w:rPr>
          <w:rStyle w:val="default"/>
          <w:rFonts w:cs="FrankRuehl"/>
          <w:rtl/>
        </w:rPr>
        <w:t>–</w:t>
      </w:r>
      <w:r w:rsidR="00A5084F">
        <w:rPr>
          <w:rStyle w:val="default"/>
          <w:rFonts w:cs="FrankRuehl" w:hint="cs"/>
          <w:rtl/>
        </w:rPr>
        <w:t xml:space="preserve"> בטלים.</w:t>
      </w:r>
    </w:p>
    <w:p w14:paraId="334B9CFD" w14:textId="77777777" w:rsidR="0030154B" w:rsidRDefault="0030154B" w:rsidP="003015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D25239" w14:textId="77777777" w:rsidR="0030154B" w:rsidRPr="0055359D" w:rsidRDefault="00A5084F" w:rsidP="00A5084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</w:t>
      </w:r>
    </w:p>
    <w:p w14:paraId="7DA95D5F" w14:textId="77777777" w:rsidR="0030154B" w:rsidRDefault="0030154B" w:rsidP="00A5084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5359D">
        <w:rPr>
          <w:rStyle w:val="default"/>
          <w:rFonts w:cs="FrankRuehl" w:hint="cs"/>
          <w:sz w:val="24"/>
          <w:szCs w:val="24"/>
          <w:rtl/>
        </w:rPr>
        <w:t xml:space="preserve">(סעיף </w:t>
      </w:r>
      <w:r w:rsidR="00A5084F">
        <w:rPr>
          <w:rStyle w:val="default"/>
          <w:rFonts w:cs="FrankRuehl" w:hint="cs"/>
          <w:sz w:val="24"/>
          <w:szCs w:val="24"/>
          <w:rtl/>
        </w:rPr>
        <w:t>6(ב)</w:t>
      </w:r>
      <w:r w:rsidRPr="0055359D">
        <w:rPr>
          <w:rStyle w:val="default"/>
          <w:rFonts w:cs="FrankRuehl" w:hint="cs"/>
          <w:sz w:val="24"/>
          <w:szCs w:val="24"/>
          <w:rtl/>
        </w:rPr>
        <w:t>)</w:t>
      </w:r>
    </w:p>
    <w:p w14:paraId="657011B3" w14:textId="77777777" w:rsidR="00CE1140" w:rsidRDefault="00CE1140" w:rsidP="002E5699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7" w:history="1">
        <w:r w:rsidRPr="0099377E">
          <w:rPr>
            <w:rStyle w:val="Hyperlink"/>
            <w:rFonts w:cs="FrankRuehl" w:hint="cs"/>
            <w:sz w:val="24"/>
            <w:szCs w:val="24"/>
            <w:rtl/>
          </w:rPr>
          <w:t>הודעת רואה חשבו</w:t>
        </w:r>
        <w:r w:rsidR="002E5699">
          <w:rPr>
            <w:rStyle w:val="Hyperlink"/>
            <w:rFonts w:cs="FrankRuehl" w:hint="cs"/>
            <w:sz w:val="24"/>
            <w:szCs w:val="24"/>
            <w:rtl/>
          </w:rPr>
          <w:t>ן לפי קווים מנחים לרואה חשבון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14:paraId="1763FA8A" w14:textId="77777777" w:rsidR="00E167C4" w:rsidRPr="00AB4D2B" w:rsidRDefault="00E167C4" w:rsidP="00511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8F32EE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A1DA83" w14:textId="77777777" w:rsidR="00577A69" w:rsidRPr="006B0AA9" w:rsidRDefault="006B0AA9" w:rsidP="006B0AA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6"/>
          <w:rtl/>
        </w:rPr>
        <w:t>ט"ו בתמוז התשע"ג (23 ביוני 2013</w:t>
      </w:r>
      <w:r w:rsidR="009A644F">
        <w:rPr>
          <w:rFonts w:cs="FrankRuehl" w:hint="cs"/>
          <w:sz w:val="26"/>
          <w:rtl/>
        </w:rPr>
        <w:t>)</w:t>
      </w:r>
      <w:r w:rsidR="0097750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 xml:space="preserve">יוסף חיים שפירא, </w:t>
      </w:r>
      <w:r>
        <w:rPr>
          <w:rFonts w:cs="FrankRuehl" w:hint="cs"/>
          <w:sz w:val="24"/>
          <w:szCs w:val="24"/>
          <w:rtl/>
        </w:rPr>
        <w:t>(שופט בדימ')</w:t>
      </w:r>
    </w:p>
    <w:p w14:paraId="6548856A" w14:textId="77777777" w:rsidR="00577A69" w:rsidRDefault="00977509" w:rsidP="00E167C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5112DE">
        <w:rPr>
          <w:rFonts w:cs="FrankRuehl" w:hint="cs"/>
          <w:sz w:val="22"/>
          <w:szCs w:val="22"/>
          <w:rtl/>
        </w:rPr>
        <w:t>מבקר המדינה</w:t>
      </w:r>
    </w:p>
    <w:p w14:paraId="2A332BB2" w14:textId="77777777" w:rsidR="00E167C4" w:rsidRDefault="00E167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200CA1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914278" w14:textId="77777777" w:rsidR="003064EE" w:rsidRDefault="003064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AFE875" w14:textId="77777777" w:rsidR="003064EE" w:rsidRDefault="003064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75BBCD" w14:textId="77777777" w:rsidR="003064EE" w:rsidRDefault="003064EE" w:rsidP="003064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1B28583" w14:textId="77777777" w:rsidR="005112DE" w:rsidRPr="003064EE" w:rsidRDefault="005112DE" w:rsidP="003064E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5112DE" w:rsidRPr="003064E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F2C7" w14:textId="77777777" w:rsidR="00FD1A9F" w:rsidRDefault="00FD1A9F">
      <w:r>
        <w:separator/>
      </w:r>
    </w:p>
  </w:endnote>
  <w:endnote w:type="continuationSeparator" w:id="0">
    <w:p w14:paraId="7A6BEDB6" w14:textId="77777777" w:rsidR="00FD1A9F" w:rsidRDefault="00FD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D840" w14:textId="77777777" w:rsidR="006A0838" w:rsidRDefault="006A083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9102CB" w14:textId="77777777" w:rsidR="006A0838" w:rsidRDefault="006A083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324DCAB" w14:textId="77777777" w:rsidR="006A0838" w:rsidRDefault="006A083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64EE">
      <w:rPr>
        <w:rFonts w:cs="TopType Jerushalmi"/>
        <w:noProof/>
        <w:color w:val="000000"/>
        <w:sz w:val="14"/>
        <w:szCs w:val="14"/>
      </w:rPr>
      <w:t>Z:\000-law\yael\2013\2013-07-15\tav\500_889.doc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3699" w14:textId="77777777" w:rsidR="006A0838" w:rsidRDefault="006A083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64E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D4B6B0B" w14:textId="77777777" w:rsidR="006A0838" w:rsidRDefault="006A083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564835" w14:textId="77777777" w:rsidR="006A0838" w:rsidRDefault="006A083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064EE">
      <w:rPr>
        <w:rFonts w:cs="TopType Jerushalmi"/>
        <w:noProof/>
        <w:color w:val="000000"/>
        <w:sz w:val="14"/>
        <w:szCs w:val="14"/>
      </w:rPr>
      <w:t>Z:\000-law\yael\2013\2013-07-15\tav\500_889.doc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25B0" w14:textId="77777777" w:rsidR="00FD1A9F" w:rsidRDefault="00FD1A9F">
      <w:pPr>
        <w:spacing w:before="60"/>
        <w:ind w:right="1134"/>
      </w:pPr>
      <w:r>
        <w:separator/>
      </w:r>
    </w:p>
  </w:footnote>
  <w:footnote w:type="continuationSeparator" w:id="0">
    <w:p w14:paraId="20757474" w14:textId="77777777" w:rsidR="00FD1A9F" w:rsidRDefault="00FD1A9F">
      <w:r>
        <w:continuationSeparator/>
      </w:r>
    </w:p>
  </w:footnote>
  <w:footnote w:id="1">
    <w:p w14:paraId="454FA88B" w14:textId="77777777" w:rsidR="00B55449" w:rsidRDefault="006A0838" w:rsidP="00B554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B55449">
          <w:rPr>
            <w:rStyle w:val="Hyperlink"/>
            <w:rFonts w:cs="FrankRuehl" w:hint="cs"/>
            <w:rtl/>
          </w:rPr>
          <w:t xml:space="preserve">ק"ת </w:t>
        </w:r>
        <w:r w:rsidR="00E167C4" w:rsidRPr="00B55449">
          <w:rPr>
            <w:rStyle w:val="Hyperlink"/>
            <w:rFonts w:cs="FrankRuehl" w:hint="cs"/>
            <w:rtl/>
          </w:rPr>
          <w:t>תשע"ג</w:t>
        </w:r>
        <w:r w:rsidR="00033558" w:rsidRPr="00B55449">
          <w:rPr>
            <w:rStyle w:val="Hyperlink"/>
            <w:rFonts w:cs="FrankRuehl" w:hint="cs"/>
            <w:rtl/>
          </w:rPr>
          <w:t xml:space="preserve"> מס' </w:t>
        </w:r>
        <w:r w:rsidR="00E167C4" w:rsidRPr="00B55449">
          <w:rPr>
            <w:rStyle w:val="Hyperlink"/>
            <w:rFonts w:cs="FrankRuehl" w:hint="cs"/>
            <w:rtl/>
          </w:rPr>
          <w:t>7269</w:t>
        </w:r>
      </w:hyperlink>
      <w:r w:rsidR="00033558">
        <w:rPr>
          <w:rFonts w:cs="FrankRuehl" w:hint="cs"/>
          <w:rtl/>
        </w:rPr>
        <w:t xml:space="preserve"> מיום </w:t>
      </w:r>
      <w:r w:rsidR="00E167C4">
        <w:rPr>
          <w:rFonts w:cs="FrankRuehl" w:hint="cs"/>
          <w:rtl/>
        </w:rPr>
        <w:t>11.7.2013</w:t>
      </w:r>
      <w:r w:rsidR="00033558">
        <w:rPr>
          <w:rFonts w:cs="FrankRuehl" w:hint="cs"/>
          <w:rtl/>
        </w:rPr>
        <w:t xml:space="preserve"> עמ' </w:t>
      </w:r>
      <w:r w:rsidR="00E167C4">
        <w:rPr>
          <w:rFonts w:cs="FrankRuehl" w:hint="cs"/>
          <w:rtl/>
        </w:rPr>
        <w:t>1514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F16C" w14:textId="77777777" w:rsidR="006A0838" w:rsidRDefault="006A083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DAA6A18" w14:textId="77777777" w:rsidR="006A0838" w:rsidRDefault="006A083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B4D47D" w14:textId="77777777" w:rsidR="006A0838" w:rsidRDefault="006A083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1AF3" w14:textId="77777777" w:rsidR="006A0838" w:rsidRDefault="00033558" w:rsidP="00E167C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קווים מנחים לרואה חשבון (מימון הבחירות ברשויות המקומיות</w:t>
    </w:r>
    <w:r w:rsidR="006A0838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E167C4">
      <w:rPr>
        <w:rFonts w:hAnsi="FrankRuehl" w:cs="FrankRuehl" w:hint="cs"/>
        <w:color w:val="000000"/>
        <w:sz w:val="28"/>
        <w:szCs w:val="28"/>
        <w:rtl/>
      </w:rPr>
      <w:t>תשע"ג-2013</w:t>
    </w:r>
  </w:p>
  <w:p w14:paraId="5C0CA39C" w14:textId="77777777" w:rsidR="006A0838" w:rsidRDefault="006A083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ED6E83" w14:textId="77777777" w:rsidR="006A0838" w:rsidRDefault="006A083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829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24239"/>
    <w:rsid w:val="00024FDC"/>
    <w:rsid w:val="00031B81"/>
    <w:rsid w:val="00032136"/>
    <w:rsid w:val="00033558"/>
    <w:rsid w:val="0003781E"/>
    <w:rsid w:val="000536FC"/>
    <w:rsid w:val="00054D32"/>
    <w:rsid w:val="00057985"/>
    <w:rsid w:val="00057ED8"/>
    <w:rsid w:val="00063E7C"/>
    <w:rsid w:val="00065DCA"/>
    <w:rsid w:val="00066EA6"/>
    <w:rsid w:val="00071A24"/>
    <w:rsid w:val="00071FF5"/>
    <w:rsid w:val="00073902"/>
    <w:rsid w:val="000820F0"/>
    <w:rsid w:val="00082632"/>
    <w:rsid w:val="00092533"/>
    <w:rsid w:val="0009382D"/>
    <w:rsid w:val="00097C86"/>
    <w:rsid w:val="000A2DD5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E0701"/>
    <w:rsid w:val="000E32ED"/>
    <w:rsid w:val="000E6BA5"/>
    <w:rsid w:val="000F1375"/>
    <w:rsid w:val="000F2128"/>
    <w:rsid w:val="000F6789"/>
    <w:rsid w:val="000F6917"/>
    <w:rsid w:val="00102D7B"/>
    <w:rsid w:val="00107E62"/>
    <w:rsid w:val="00117775"/>
    <w:rsid w:val="00124B0E"/>
    <w:rsid w:val="00125926"/>
    <w:rsid w:val="00127328"/>
    <w:rsid w:val="0014552A"/>
    <w:rsid w:val="00163D97"/>
    <w:rsid w:val="00167D7D"/>
    <w:rsid w:val="00171228"/>
    <w:rsid w:val="00175BD4"/>
    <w:rsid w:val="00175E8A"/>
    <w:rsid w:val="00181E88"/>
    <w:rsid w:val="001832FD"/>
    <w:rsid w:val="00194CB6"/>
    <w:rsid w:val="00196FB5"/>
    <w:rsid w:val="001A4822"/>
    <w:rsid w:val="001A4BA5"/>
    <w:rsid w:val="001B1125"/>
    <w:rsid w:val="001B13ED"/>
    <w:rsid w:val="001B3E15"/>
    <w:rsid w:val="001B628F"/>
    <w:rsid w:val="001B6F56"/>
    <w:rsid w:val="001C04E7"/>
    <w:rsid w:val="001C0AA3"/>
    <w:rsid w:val="001C1203"/>
    <w:rsid w:val="001C1DC4"/>
    <w:rsid w:val="001C7288"/>
    <w:rsid w:val="001D083B"/>
    <w:rsid w:val="001D0C46"/>
    <w:rsid w:val="001D49FF"/>
    <w:rsid w:val="001E12AA"/>
    <w:rsid w:val="001E3C39"/>
    <w:rsid w:val="001F68E1"/>
    <w:rsid w:val="001F72CA"/>
    <w:rsid w:val="00203E73"/>
    <w:rsid w:val="00216CF2"/>
    <w:rsid w:val="00226B1D"/>
    <w:rsid w:val="00231BC3"/>
    <w:rsid w:val="00235E77"/>
    <w:rsid w:val="002364BF"/>
    <w:rsid w:val="00236C63"/>
    <w:rsid w:val="00246BF2"/>
    <w:rsid w:val="002473B3"/>
    <w:rsid w:val="00247417"/>
    <w:rsid w:val="002527B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679E"/>
    <w:rsid w:val="00296A59"/>
    <w:rsid w:val="002A24E2"/>
    <w:rsid w:val="002A324E"/>
    <w:rsid w:val="002A4351"/>
    <w:rsid w:val="002A4ECE"/>
    <w:rsid w:val="002A660A"/>
    <w:rsid w:val="002C6AA5"/>
    <w:rsid w:val="002C7D10"/>
    <w:rsid w:val="002D35D3"/>
    <w:rsid w:val="002E024B"/>
    <w:rsid w:val="002E1294"/>
    <w:rsid w:val="002E1AA2"/>
    <w:rsid w:val="002E5699"/>
    <w:rsid w:val="002E5A89"/>
    <w:rsid w:val="002F2014"/>
    <w:rsid w:val="002F3E3B"/>
    <w:rsid w:val="002F6F4A"/>
    <w:rsid w:val="0030096B"/>
    <w:rsid w:val="00301441"/>
    <w:rsid w:val="0030154B"/>
    <w:rsid w:val="00301E9A"/>
    <w:rsid w:val="003041B8"/>
    <w:rsid w:val="003064EE"/>
    <w:rsid w:val="00306813"/>
    <w:rsid w:val="00311C2C"/>
    <w:rsid w:val="00313F87"/>
    <w:rsid w:val="0031551C"/>
    <w:rsid w:val="0031570F"/>
    <w:rsid w:val="00326208"/>
    <w:rsid w:val="00326C6D"/>
    <w:rsid w:val="0033083B"/>
    <w:rsid w:val="00330CDD"/>
    <w:rsid w:val="003349C1"/>
    <w:rsid w:val="00337F23"/>
    <w:rsid w:val="003418C6"/>
    <w:rsid w:val="00343217"/>
    <w:rsid w:val="00347E25"/>
    <w:rsid w:val="0035395F"/>
    <w:rsid w:val="0035408C"/>
    <w:rsid w:val="00355ED0"/>
    <w:rsid w:val="00360E68"/>
    <w:rsid w:val="003655E4"/>
    <w:rsid w:val="003700C1"/>
    <w:rsid w:val="00372EA7"/>
    <w:rsid w:val="00375A9C"/>
    <w:rsid w:val="0037728C"/>
    <w:rsid w:val="003831FA"/>
    <w:rsid w:val="00385BFA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6ED9"/>
    <w:rsid w:val="003E4165"/>
    <w:rsid w:val="003E6F5E"/>
    <w:rsid w:val="003F05BB"/>
    <w:rsid w:val="003F5BF4"/>
    <w:rsid w:val="003F7DF2"/>
    <w:rsid w:val="00430CE3"/>
    <w:rsid w:val="00431295"/>
    <w:rsid w:val="004363C6"/>
    <w:rsid w:val="00445177"/>
    <w:rsid w:val="00462F24"/>
    <w:rsid w:val="004672EC"/>
    <w:rsid w:val="0047257D"/>
    <w:rsid w:val="004728C6"/>
    <w:rsid w:val="00473500"/>
    <w:rsid w:val="00475AAF"/>
    <w:rsid w:val="004803D1"/>
    <w:rsid w:val="00480EEF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C1425"/>
    <w:rsid w:val="004C2B6D"/>
    <w:rsid w:val="004D30EF"/>
    <w:rsid w:val="004D57F2"/>
    <w:rsid w:val="004D679A"/>
    <w:rsid w:val="004E25D7"/>
    <w:rsid w:val="004E4A6E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6BC8"/>
    <w:rsid w:val="00517332"/>
    <w:rsid w:val="005204AE"/>
    <w:rsid w:val="0052105C"/>
    <w:rsid w:val="005216D3"/>
    <w:rsid w:val="00521F54"/>
    <w:rsid w:val="00532A34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5F22"/>
    <w:rsid w:val="005D757E"/>
    <w:rsid w:val="005E2F9E"/>
    <w:rsid w:val="005F5D28"/>
    <w:rsid w:val="0060416C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5D6C"/>
    <w:rsid w:val="00631C45"/>
    <w:rsid w:val="00635F52"/>
    <w:rsid w:val="00644CC7"/>
    <w:rsid w:val="00646D87"/>
    <w:rsid w:val="0064715C"/>
    <w:rsid w:val="00654783"/>
    <w:rsid w:val="00660E2F"/>
    <w:rsid w:val="00666250"/>
    <w:rsid w:val="006711F2"/>
    <w:rsid w:val="006727FD"/>
    <w:rsid w:val="006755DE"/>
    <w:rsid w:val="00680379"/>
    <w:rsid w:val="00683744"/>
    <w:rsid w:val="00686267"/>
    <w:rsid w:val="0069018C"/>
    <w:rsid w:val="00690AD3"/>
    <w:rsid w:val="00696014"/>
    <w:rsid w:val="006A0838"/>
    <w:rsid w:val="006A0B7F"/>
    <w:rsid w:val="006B0AA9"/>
    <w:rsid w:val="006B63AC"/>
    <w:rsid w:val="006C1008"/>
    <w:rsid w:val="006C23ED"/>
    <w:rsid w:val="006D71A5"/>
    <w:rsid w:val="006F3807"/>
    <w:rsid w:val="006F6E73"/>
    <w:rsid w:val="0070464D"/>
    <w:rsid w:val="00704C70"/>
    <w:rsid w:val="0071430C"/>
    <w:rsid w:val="0071493B"/>
    <w:rsid w:val="00722F3C"/>
    <w:rsid w:val="00723439"/>
    <w:rsid w:val="00723F96"/>
    <w:rsid w:val="00724A7D"/>
    <w:rsid w:val="007277E5"/>
    <w:rsid w:val="00731D27"/>
    <w:rsid w:val="007323DD"/>
    <w:rsid w:val="00732D64"/>
    <w:rsid w:val="0073388B"/>
    <w:rsid w:val="00745882"/>
    <w:rsid w:val="00754935"/>
    <w:rsid w:val="00755A87"/>
    <w:rsid w:val="007607F7"/>
    <w:rsid w:val="0076285C"/>
    <w:rsid w:val="007636B5"/>
    <w:rsid w:val="00763C55"/>
    <w:rsid w:val="00763C9A"/>
    <w:rsid w:val="00764085"/>
    <w:rsid w:val="007646A6"/>
    <w:rsid w:val="00765FEE"/>
    <w:rsid w:val="007741C4"/>
    <w:rsid w:val="00781DA6"/>
    <w:rsid w:val="007828A6"/>
    <w:rsid w:val="007864CE"/>
    <w:rsid w:val="00787C76"/>
    <w:rsid w:val="007923DD"/>
    <w:rsid w:val="00796D78"/>
    <w:rsid w:val="00797944"/>
    <w:rsid w:val="007A46E3"/>
    <w:rsid w:val="007A74AC"/>
    <w:rsid w:val="007A779A"/>
    <w:rsid w:val="007B56E6"/>
    <w:rsid w:val="007C38A0"/>
    <w:rsid w:val="007C4A42"/>
    <w:rsid w:val="007C706E"/>
    <w:rsid w:val="007E10B4"/>
    <w:rsid w:val="007E3338"/>
    <w:rsid w:val="007E3A78"/>
    <w:rsid w:val="007E481C"/>
    <w:rsid w:val="007E54DD"/>
    <w:rsid w:val="007E7409"/>
    <w:rsid w:val="007F0547"/>
    <w:rsid w:val="007F05EF"/>
    <w:rsid w:val="00803226"/>
    <w:rsid w:val="008056E8"/>
    <w:rsid w:val="00807E3F"/>
    <w:rsid w:val="008108B9"/>
    <w:rsid w:val="00812460"/>
    <w:rsid w:val="00812E01"/>
    <w:rsid w:val="00817139"/>
    <w:rsid w:val="0082360D"/>
    <w:rsid w:val="00824074"/>
    <w:rsid w:val="00827D0D"/>
    <w:rsid w:val="0083137E"/>
    <w:rsid w:val="00836B35"/>
    <w:rsid w:val="00842F85"/>
    <w:rsid w:val="00846224"/>
    <w:rsid w:val="00846430"/>
    <w:rsid w:val="00847E6F"/>
    <w:rsid w:val="00852A6A"/>
    <w:rsid w:val="00853B6E"/>
    <w:rsid w:val="008562EC"/>
    <w:rsid w:val="00861960"/>
    <w:rsid w:val="00865054"/>
    <w:rsid w:val="00866DE6"/>
    <w:rsid w:val="0087434F"/>
    <w:rsid w:val="0087457C"/>
    <w:rsid w:val="0088411C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4835"/>
    <w:rsid w:val="008E06F2"/>
    <w:rsid w:val="008E08CC"/>
    <w:rsid w:val="008E2421"/>
    <w:rsid w:val="008E2528"/>
    <w:rsid w:val="008E29E3"/>
    <w:rsid w:val="008E6F64"/>
    <w:rsid w:val="008E7BC6"/>
    <w:rsid w:val="008F235D"/>
    <w:rsid w:val="008F2E1F"/>
    <w:rsid w:val="008F507D"/>
    <w:rsid w:val="008F6265"/>
    <w:rsid w:val="00901415"/>
    <w:rsid w:val="00902348"/>
    <w:rsid w:val="00905DD6"/>
    <w:rsid w:val="009101B9"/>
    <w:rsid w:val="00913D60"/>
    <w:rsid w:val="0091680D"/>
    <w:rsid w:val="009176DD"/>
    <w:rsid w:val="00917F92"/>
    <w:rsid w:val="00931EBF"/>
    <w:rsid w:val="0093303D"/>
    <w:rsid w:val="00933308"/>
    <w:rsid w:val="0093515A"/>
    <w:rsid w:val="009370B0"/>
    <w:rsid w:val="00950144"/>
    <w:rsid w:val="009506BC"/>
    <w:rsid w:val="00955714"/>
    <w:rsid w:val="00965B15"/>
    <w:rsid w:val="00966902"/>
    <w:rsid w:val="00966D10"/>
    <w:rsid w:val="00967D75"/>
    <w:rsid w:val="00971D6A"/>
    <w:rsid w:val="00974CD5"/>
    <w:rsid w:val="00977509"/>
    <w:rsid w:val="00977F9D"/>
    <w:rsid w:val="009838AD"/>
    <w:rsid w:val="00987356"/>
    <w:rsid w:val="00991882"/>
    <w:rsid w:val="009925CC"/>
    <w:rsid w:val="0099377E"/>
    <w:rsid w:val="009939F8"/>
    <w:rsid w:val="00994D1E"/>
    <w:rsid w:val="00995144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62EB"/>
    <w:rsid w:val="009D0D20"/>
    <w:rsid w:val="009D4881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867"/>
    <w:rsid w:val="00A40CC8"/>
    <w:rsid w:val="00A421D0"/>
    <w:rsid w:val="00A44743"/>
    <w:rsid w:val="00A5084F"/>
    <w:rsid w:val="00A50EFF"/>
    <w:rsid w:val="00A539E2"/>
    <w:rsid w:val="00A54558"/>
    <w:rsid w:val="00A5463E"/>
    <w:rsid w:val="00A562FC"/>
    <w:rsid w:val="00A568B2"/>
    <w:rsid w:val="00A60C88"/>
    <w:rsid w:val="00A62D61"/>
    <w:rsid w:val="00A652F6"/>
    <w:rsid w:val="00A67279"/>
    <w:rsid w:val="00A678C8"/>
    <w:rsid w:val="00A732C4"/>
    <w:rsid w:val="00A741EC"/>
    <w:rsid w:val="00A77CD2"/>
    <w:rsid w:val="00A805B8"/>
    <w:rsid w:val="00A87B96"/>
    <w:rsid w:val="00A957C8"/>
    <w:rsid w:val="00A95E77"/>
    <w:rsid w:val="00A95E79"/>
    <w:rsid w:val="00AA1CFE"/>
    <w:rsid w:val="00AA3300"/>
    <w:rsid w:val="00AA6485"/>
    <w:rsid w:val="00AA6D70"/>
    <w:rsid w:val="00AB43F6"/>
    <w:rsid w:val="00AB4D2B"/>
    <w:rsid w:val="00AC1095"/>
    <w:rsid w:val="00AC4A2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EED"/>
    <w:rsid w:val="00AF4914"/>
    <w:rsid w:val="00AF575D"/>
    <w:rsid w:val="00AF5BAB"/>
    <w:rsid w:val="00AF6252"/>
    <w:rsid w:val="00AF7E3F"/>
    <w:rsid w:val="00B00193"/>
    <w:rsid w:val="00B02C11"/>
    <w:rsid w:val="00B067FF"/>
    <w:rsid w:val="00B120A0"/>
    <w:rsid w:val="00B12896"/>
    <w:rsid w:val="00B16AF4"/>
    <w:rsid w:val="00B200DB"/>
    <w:rsid w:val="00B232C0"/>
    <w:rsid w:val="00B232FE"/>
    <w:rsid w:val="00B254A8"/>
    <w:rsid w:val="00B26D22"/>
    <w:rsid w:val="00B3108D"/>
    <w:rsid w:val="00B32857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5449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2330"/>
    <w:rsid w:val="00B93850"/>
    <w:rsid w:val="00B93F71"/>
    <w:rsid w:val="00B96D4B"/>
    <w:rsid w:val="00BB15E1"/>
    <w:rsid w:val="00BB7F4F"/>
    <w:rsid w:val="00BC46B4"/>
    <w:rsid w:val="00BD0EFE"/>
    <w:rsid w:val="00BD4EC0"/>
    <w:rsid w:val="00BD6587"/>
    <w:rsid w:val="00BD79D6"/>
    <w:rsid w:val="00BE68B6"/>
    <w:rsid w:val="00BE6DA2"/>
    <w:rsid w:val="00BF6AEE"/>
    <w:rsid w:val="00C02396"/>
    <w:rsid w:val="00C057DB"/>
    <w:rsid w:val="00C13EAB"/>
    <w:rsid w:val="00C14019"/>
    <w:rsid w:val="00C148F8"/>
    <w:rsid w:val="00C17862"/>
    <w:rsid w:val="00C216F2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5026"/>
    <w:rsid w:val="00C67589"/>
    <w:rsid w:val="00C7177C"/>
    <w:rsid w:val="00C71924"/>
    <w:rsid w:val="00C71B71"/>
    <w:rsid w:val="00C74517"/>
    <w:rsid w:val="00C74905"/>
    <w:rsid w:val="00C81D3E"/>
    <w:rsid w:val="00C82990"/>
    <w:rsid w:val="00C84C41"/>
    <w:rsid w:val="00C86F61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B5DAE"/>
    <w:rsid w:val="00CC29E6"/>
    <w:rsid w:val="00CC403D"/>
    <w:rsid w:val="00CD157D"/>
    <w:rsid w:val="00CD41ED"/>
    <w:rsid w:val="00CD43D9"/>
    <w:rsid w:val="00CD55FE"/>
    <w:rsid w:val="00CE1140"/>
    <w:rsid w:val="00CE2E39"/>
    <w:rsid w:val="00CE4B6B"/>
    <w:rsid w:val="00D06804"/>
    <w:rsid w:val="00D10EA8"/>
    <w:rsid w:val="00D228E0"/>
    <w:rsid w:val="00D308E1"/>
    <w:rsid w:val="00D324E2"/>
    <w:rsid w:val="00D33934"/>
    <w:rsid w:val="00D52406"/>
    <w:rsid w:val="00D54186"/>
    <w:rsid w:val="00D5647F"/>
    <w:rsid w:val="00D6235D"/>
    <w:rsid w:val="00D62B42"/>
    <w:rsid w:val="00D643D6"/>
    <w:rsid w:val="00D729D1"/>
    <w:rsid w:val="00D74A0F"/>
    <w:rsid w:val="00D76C09"/>
    <w:rsid w:val="00D8237B"/>
    <w:rsid w:val="00D8315B"/>
    <w:rsid w:val="00D832E7"/>
    <w:rsid w:val="00D865BD"/>
    <w:rsid w:val="00D91C80"/>
    <w:rsid w:val="00D94065"/>
    <w:rsid w:val="00D96DD0"/>
    <w:rsid w:val="00DA0EBC"/>
    <w:rsid w:val="00DA50D6"/>
    <w:rsid w:val="00DA6586"/>
    <w:rsid w:val="00DB0EE1"/>
    <w:rsid w:val="00DB2AB2"/>
    <w:rsid w:val="00DB4E3C"/>
    <w:rsid w:val="00DD12C9"/>
    <w:rsid w:val="00DD4498"/>
    <w:rsid w:val="00DD6095"/>
    <w:rsid w:val="00DE3FB2"/>
    <w:rsid w:val="00DE5176"/>
    <w:rsid w:val="00DE6C13"/>
    <w:rsid w:val="00DF15D5"/>
    <w:rsid w:val="00DF43B8"/>
    <w:rsid w:val="00DF4C2E"/>
    <w:rsid w:val="00DF65ED"/>
    <w:rsid w:val="00DF72FC"/>
    <w:rsid w:val="00E03117"/>
    <w:rsid w:val="00E07279"/>
    <w:rsid w:val="00E1087A"/>
    <w:rsid w:val="00E14F51"/>
    <w:rsid w:val="00E154A9"/>
    <w:rsid w:val="00E167C4"/>
    <w:rsid w:val="00E21924"/>
    <w:rsid w:val="00E23886"/>
    <w:rsid w:val="00E25FF6"/>
    <w:rsid w:val="00E32569"/>
    <w:rsid w:val="00E335DA"/>
    <w:rsid w:val="00E37032"/>
    <w:rsid w:val="00E41C12"/>
    <w:rsid w:val="00E45951"/>
    <w:rsid w:val="00E45C6A"/>
    <w:rsid w:val="00E4674C"/>
    <w:rsid w:val="00E503F8"/>
    <w:rsid w:val="00E53205"/>
    <w:rsid w:val="00E53900"/>
    <w:rsid w:val="00E53D9F"/>
    <w:rsid w:val="00E60004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47D7"/>
    <w:rsid w:val="00E91F3F"/>
    <w:rsid w:val="00E93982"/>
    <w:rsid w:val="00E93DD9"/>
    <w:rsid w:val="00E96A6C"/>
    <w:rsid w:val="00EA19C1"/>
    <w:rsid w:val="00EA73BA"/>
    <w:rsid w:val="00EB5437"/>
    <w:rsid w:val="00EC1B5B"/>
    <w:rsid w:val="00EC357F"/>
    <w:rsid w:val="00ED5765"/>
    <w:rsid w:val="00ED5DFE"/>
    <w:rsid w:val="00ED7468"/>
    <w:rsid w:val="00EE011A"/>
    <w:rsid w:val="00EE2B63"/>
    <w:rsid w:val="00EE3A0C"/>
    <w:rsid w:val="00EF2A1B"/>
    <w:rsid w:val="00EF5AAC"/>
    <w:rsid w:val="00F01B28"/>
    <w:rsid w:val="00F030FA"/>
    <w:rsid w:val="00F03702"/>
    <w:rsid w:val="00F11BED"/>
    <w:rsid w:val="00F11E2A"/>
    <w:rsid w:val="00F13835"/>
    <w:rsid w:val="00F14272"/>
    <w:rsid w:val="00F23090"/>
    <w:rsid w:val="00F23B0A"/>
    <w:rsid w:val="00F305FF"/>
    <w:rsid w:val="00F354B1"/>
    <w:rsid w:val="00F3647C"/>
    <w:rsid w:val="00F46CC5"/>
    <w:rsid w:val="00F51DD8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1A9F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2D7B26C"/>
  <w15:chartTrackingRefBased/>
  <w15:docId w15:val="{265D7EF9-B2DE-4F06-83A8-3F2C310F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files/&#1496;&#1508;&#1505;&#1497;&#1501;/&#1496;&#1508;&#1505;&#1497;&#1501;%20&#1502;&#1513;&#1508;&#1496;&#1497;&#1497;&#1501;/&#1513;&#1493;&#1504;&#1493;&#1514;/&#1489;&#1495;&#1497;&#1512;&#1493;&#1514;/&#1512;&#1513;&#1493;&#1497;&#1493;&#1514;%20&#1502;&#1511;&#1493;&#1502;&#1497;&#1493;&#1514;/&#1492;&#1493;&#1491;&#1506;&#1514;%20&#1512;&#1493;&#1488;&#1492;%20&#1495;&#1513;&#1489;&#1493;&#1503;%20&#1500;&#1508;&#1497;%20&#1511;&#1493;&#1493;&#1497;&#1501;%20&#1502;&#1504;&#1495;&#1497;&#1501;%20&#1500;&#1512;&#1493;&#1488;&#1492;%20&#1495;&#1513;&#1489;&#1493;&#1503;%20(&#1502;&#1497;&#1502;&#1493;&#1503;%20&#1492;&#1489;&#1495;&#1497;&#1512;&#1493;&#1514;%20&#1489;&#1512;&#1513;&#1493;&#1497;&#1493;&#1514;%20&#1492;&#1502;&#1511;&#1493;&#1502;&#1497;&#1493;&#1514;)%20&#1492;&#1514;&#1513;&#1505;&#1495;-2008&#8207;%20-%20&#1500;&#1508;&#1497;%20&#1505;&#1506;&#1497;&#1507;%206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3521</CharactersWithSpaces>
  <SharedDoc>false</SharedDoc>
  <HLinks>
    <vt:vector size="60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2631041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http://www.nevo.co.il/files/טפסים/טפסים משפטיים/שונות/בחירות/רשויות מקומיות/הודעת רואה חשבון לפי קווים מנחים לרואה חשבון (מימון הבחירות ברשויות המקומיות) התשסח-2008‏ - לפי סעיף 6.doc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קווים מנחים לרואה חשבון (מימון הבחירות ברשויות המקומיות), תשע"ג-2013</vt:lpwstr>
  </property>
  <property fmtid="{D5CDD505-2E9C-101B-9397-08002B2CF9AE}" pid="4" name="LAWNUMBER">
    <vt:lpwstr>0889</vt:lpwstr>
  </property>
  <property fmtid="{D5CDD505-2E9C-101B-9397-08002B2CF9AE}" pid="5" name="TYPE">
    <vt:lpwstr>01</vt:lpwstr>
  </property>
  <property fmtid="{D5CDD505-2E9C-101B-9397-08002B2CF9AE}" pid="6" name="CHNAME">
    <vt:lpwstr>בחירות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דיני חוקה </vt:lpwstr>
  </property>
  <property fmtid="{D5CDD505-2E9C-101B-9397-08002B2CF9AE}" pid="23" name="NOSE21">
    <vt:lpwstr>בחירות</vt:lpwstr>
  </property>
  <property fmtid="{D5CDD505-2E9C-101B-9397-08002B2CF9AE}" pid="24" name="NOSE31">
    <vt:lpwstr>בחירות ברשויות</vt:lpwstr>
  </property>
  <property fmtid="{D5CDD505-2E9C-101B-9397-08002B2CF9AE}" pid="25" name="NOSE41">
    <vt:lpwstr>מימון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רשויות מקומיות</vt:lpwstr>
  </property>
  <property fmtid="{D5CDD505-2E9C-101B-9397-08002B2CF9AE}" pid="28" name="NOSE32">
    <vt:lpwstr>בחירות</vt:lpwstr>
  </property>
  <property fmtid="{D5CDD505-2E9C-101B-9397-08002B2CF9AE}" pid="29" name="NOSE42">
    <vt:lpwstr>מימון</vt:lpwstr>
  </property>
  <property fmtid="{D5CDD505-2E9C-101B-9397-08002B2CF9AE}" pid="30" name="NOSE13">
    <vt:lpwstr>משפט פרטי וכלכלה</vt:lpwstr>
  </property>
  <property fmtid="{D5CDD505-2E9C-101B-9397-08002B2CF9AE}" pid="31" name="NOSE23">
    <vt:lpwstr>הסדרת עיסוק</vt:lpwstr>
  </property>
  <property fmtid="{D5CDD505-2E9C-101B-9397-08002B2CF9AE}" pid="32" name="NOSE33">
    <vt:lpwstr>רואי חשבון</vt:lpwstr>
  </property>
  <property fmtid="{D5CDD505-2E9C-101B-9397-08002B2CF9AE}" pid="33" name="NOSE43">
    <vt:lpwstr/>
  </property>
  <property fmtid="{D5CDD505-2E9C-101B-9397-08002B2CF9AE}" pid="34" name="NOSE14">
    <vt:lpwstr>רשויות ומשפט מנהלי</vt:lpwstr>
  </property>
  <property fmtid="{D5CDD505-2E9C-101B-9397-08002B2CF9AE}" pid="35" name="NOSE24">
    <vt:lpwstr>הסדרת עיסוק</vt:lpwstr>
  </property>
  <property fmtid="{D5CDD505-2E9C-101B-9397-08002B2CF9AE}" pid="36" name="NOSE34">
    <vt:lpwstr>רואי חשבון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הרשויות המקומיות (מימון בחירות)</vt:lpwstr>
  </property>
  <property fmtid="{D5CDD505-2E9C-101B-9397-08002B2CF9AE}" pid="63" name="MEKOR_SAIF1">
    <vt:lpwstr>30XבX</vt:lpwstr>
  </property>
  <property fmtid="{D5CDD505-2E9C-101B-9397-08002B2CF9AE}" pid="64" name="LINKK1">
    <vt:lpwstr>http://www.nevo.co.il/Law_word/law06/TAK-7269.pdf;‎רשומות - תקנות כלליות#פורסמו ק"ת ‏תשע"ג מס' 7269 #מיום 11.7.2013 עמ' 1514‏</vt:lpwstr>
  </property>
</Properties>
</file>