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442F" w:rsidRDefault="003B442F" w:rsidP="00FF298A">
      <w:pPr>
        <w:pStyle w:val="big-header"/>
        <w:ind w:left="0" w:right="1134"/>
        <w:rPr>
          <w:rFonts w:cs="FrankRuehl" w:hint="cs"/>
          <w:sz w:val="32"/>
          <w:rtl/>
        </w:rPr>
      </w:pPr>
      <w:r>
        <w:rPr>
          <w:rFonts w:cs="FrankRuehl"/>
          <w:sz w:val="32"/>
          <w:rtl/>
        </w:rPr>
        <w:t>תקנות איגרות מדינת ישראל (הנפק שני להשקעת פיתוח), תשכ"ח</w:t>
      </w:r>
      <w:r w:rsidR="00FF298A">
        <w:rPr>
          <w:rFonts w:cs="FrankRuehl" w:hint="cs"/>
          <w:sz w:val="32"/>
          <w:rtl/>
        </w:rPr>
        <w:t>-</w:t>
      </w:r>
      <w:r>
        <w:rPr>
          <w:rFonts w:cs="FrankRuehl"/>
          <w:sz w:val="32"/>
          <w:rtl/>
        </w:rPr>
        <w:t>1968</w:t>
      </w:r>
    </w:p>
    <w:p w:rsidR="00C44148" w:rsidRDefault="00C44148" w:rsidP="00C44148">
      <w:pPr>
        <w:spacing w:line="320" w:lineRule="auto"/>
        <w:jc w:val="left"/>
        <w:rPr>
          <w:rFonts w:hint="cs"/>
          <w:rtl/>
        </w:rPr>
      </w:pPr>
    </w:p>
    <w:p w:rsidR="00EA20F2" w:rsidRDefault="00EA20F2" w:rsidP="00C44148">
      <w:pPr>
        <w:spacing w:line="320" w:lineRule="auto"/>
        <w:jc w:val="left"/>
        <w:rPr>
          <w:rFonts w:hint="cs"/>
          <w:rtl/>
        </w:rPr>
      </w:pPr>
    </w:p>
    <w:p w:rsidR="00C44148" w:rsidRDefault="00C44148" w:rsidP="00C44148">
      <w:pPr>
        <w:spacing w:line="320" w:lineRule="auto"/>
        <w:jc w:val="left"/>
        <w:rPr>
          <w:rFonts w:cs="FrankRuehl"/>
          <w:szCs w:val="26"/>
          <w:rtl/>
        </w:rPr>
      </w:pPr>
      <w:r w:rsidRPr="00C44148">
        <w:rPr>
          <w:rFonts w:cs="Miriam"/>
          <w:szCs w:val="22"/>
          <w:rtl/>
        </w:rPr>
        <w:t>משפט פרטי וכלכלה</w:t>
      </w:r>
      <w:r w:rsidRPr="00C44148">
        <w:rPr>
          <w:rFonts w:cs="FrankRuehl"/>
          <w:szCs w:val="26"/>
          <w:rtl/>
        </w:rPr>
        <w:t xml:space="preserve"> – כספים – מילווים</w:t>
      </w:r>
    </w:p>
    <w:p w:rsidR="00C44148" w:rsidRDefault="00C44148" w:rsidP="00C44148">
      <w:pPr>
        <w:spacing w:line="320" w:lineRule="auto"/>
        <w:jc w:val="left"/>
        <w:rPr>
          <w:rFonts w:cs="FrankRuehl"/>
          <w:szCs w:val="26"/>
          <w:rtl/>
        </w:rPr>
      </w:pPr>
      <w:r w:rsidRPr="00C44148">
        <w:rPr>
          <w:rFonts w:cs="Miriam"/>
          <w:szCs w:val="22"/>
          <w:rtl/>
        </w:rPr>
        <w:t>מסים</w:t>
      </w:r>
      <w:r w:rsidRPr="00C44148">
        <w:rPr>
          <w:rFonts w:cs="FrankRuehl"/>
          <w:szCs w:val="26"/>
          <w:rtl/>
        </w:rPr>
        <w:t xml:space="preserve"> – מילווים</w:t>
      </w:r>
    </w:p>
    <w:p w:rsidR="00D1772F" w:rsidRPr="00C44148" w:rsidRDefault="00C44148" w:rsidP="00C44148">
      <w:pPr>
        <w:spacing w:line="320" w:lineRule="auto"/>
        <w:jc w:val="left"/>
        <w:rPr>
          <w:rFonts w:cs="Miriam"/>
          <w:szCs w:val="22"/>
          <w:rtl/>
        </w:rPr>
      </w:pPr>
      <w:r w:rsidRPr="00C44148">
        <w:rPr>
          <w:rFonts w:cs="Miriam"/>
          <w:szCs w:val="22"/>
          <w:rtl/>
        </w:rPr>
        <w:t>משפט פרטי וכלכלה</w:t>
      </w:r>
      <w:r w:rsidRPr="00C44148">
        <w:rPr>
          <w:rFonts w:cs="FrankRuehl"/>
          <w:szCs w:val="26"/>
          <w:rtl/>
        </w:rPr>
        <w:t xml:space="preserve"> – כספים – אגרות חוב</w:t>
      </w:r>
    </w:p>
    <w:p w:rsidR="003B442F" w:rsidRDefault="003B442F">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3B442F">
        <w:tblPrEx>
          <w:tblCellMar>
            <w:top w:w="0" w:type="dxa"/>
            <w:bottom w:w="0" w:type="dxa"/>
          </w:tblCellMar>
        </w:tblPrEx>
        <w:tc>
          <w:tcPr>
            <w:tcW w:w="850" w:type="dxa"/>
          </w:tcPr>
          <w:p w:rsidR="003B442F" w:rsidRDefault="003B442F">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FF298A">
              <w:rPr>
                <w:noProof/>
                <w:sz w:val="24"/>
                <w:rtl/>
              </w:rPr>
              <w:t>2</w:t>
            </w:r>
            <w:r>
              <w:rPr>
                <w:sz w:val="24"/>
                <w:rtl/>
              </w:rPr>
              <w:fldChar w:fldCharType="end"/>
            </w:r>
          </w:p>
        </w:tc>
        <w:tc>
          <w:tcPr>
            <w:tcW w:w="567" w:type="dxa"/>
          </w:tcPr>
          <w:p w:rsidR="003B442F" w:rsidRDefault="003B442F">
            <w:pPr>
              <w:spacing w:line="240" w:lineRule="auto"/>
              <w:rPr>
                <w:sz w:val="24"/>
              </w:rPr>
            </w:pPr>
            <w:hyperlink w:anchor="Seif0" w:tooltip="סוגי איגרות החוב" w:history="1">
              <w:r>
                <w:rPr>
                  <w:rStyle w:val="Hyperlink"/>
                </w:rPr>
                <w:t>Go</w:t>
              </w:r>
            </w:hyperlink>
          </w:p>
        </w:tc>
        <w:tc>
          <w:tcPr>
            <w:tcW w:w="5669" w:type="dxa"/>
          </w:tcPr>
          <w:p w:rsidR="003B442F" w:rsidRDefault="003B442F">
            <w:pPr>
              <w:spacing w:line="240" w:lineRule="auto"/>
              <w:rPr>
                <w:sz w:val="24"/>
                <w:rtl/>
              </w:rPr>
            </w:pPr>
            <w:r>
              <w:rPr>
                <w:sz w:val="24"/>
                <w:rtl/>
              </w:rPr>
              <w:t>סוגי איגרות החוב</w:t>
            </w:r>
          </w:p>
        </w:tc>
        <w:tc>
          <w:tcPr>
            <w:tcW w:w="1247" w:type="dxa"/>
          </w:tcPr>
          <w:p w:rsidR="003B442F" w:rsidRDefault="003B442F">
            <w:pPr>
              <w:spacing w:line="240" w:lineRule="auto"/>
              <w:rPr>
                <w:sz w:val="24"/>
              </w:rPr>
            </w:pPr>
            <w:r>
              <w:rPr>
                <w:sz w:val="24"/>
                <w:rtl/>
              </w:rPr>
              <w:t xml:space="preserve">סעיף 1 </w:t>
            </w:r>
          </w:p>
        </w:tc>
      </w:tr>
      <w:tr w:rsidR="003B442F">
        <w:tblPrEx>
          <w:tblCellMar>
            <w:top w:w="0" w:type="dxa"/>
            <w:bottom w:w="0" w:type="dxa"/>
          </w:tblCellMar>
        </w:tblPrEx>
        <w:tc>
          <w:tcPr>
            <w:tcW w:w="850" w:type="dxa"/>
          </w:tcPr>
          <w:p w:rsidR="003B442F" w:rsidRDefault="003B442F">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FF298A">
              <w:rPr>
                <w:noProof/>
                <w:sz w:val="24"/>
                <w:rtl/>
              </w:rPr>
              <w:t>2</w:t>
            </w:r>
            <w:r>
              <w:rPr>
                <w:sz w:val="24"/>
                <w:rtl/>
              </w:rPr>
              <w:fldChar w:fldCharType="end"/>
            </w:r>
          </w:p>
        </w:tc>
        <w:tc>
          <w:tcPr>
            <w:tcW w:w="567" w:type="dxa"/>
          </w:tcPr>
          <w:p w:rsidR="003B442F" w:rsidRDefault="003B442F">
            <w:pPr>
              <w:spacing w:line="240" w:lineRule="auto"/>
              <w:rPr>
                <w:sz w:val="24"/>
              </w:rPr>
            </w:pPr>
            <w:hyperlink w:anchor="Seif1" w:tooltip="מכירת איגרות חוב לארגונים" w:history="1">
              <w:r>
                <w:rPr>
                  <w:rStyle w:val="Hyperlink"/>
                </w:rPr>
                <w:t>Go</w:t>
              </w:r>
            </w:hyperlink>
          </w:p>
        </w:tc>
        <w:tc>
          <w:tcPr>
            <w:tcW w:w="5669" w:type="dxa"/>
          </w:tcPr>
          <w:p w:rsidR="003B442F" w:rsidRDefault="003B442F">
            <w:pPr>
              <w:spacing w:line="240" w:lineRule="auto"/>
              <w:rPr>
                <w:sz w:val="24"/>
                <w:rtl/>
              </w:rPr>
            </w:pPr>
            <w:r>
              <w:rPr>
                <w:sz w:val="24"/>
                <w:rtl/>
              </w:rPr>
              <w:t>מכירת איגרות חוב לארגונים</w:t>
            </w:r>
          </w:p>
        </w:tc>
        <w:tc>
          <w:tcPr>
            <w:tcW w:w="1247" w:type="dxa"/>
          </w:tcPr>
          <w:p w:rsidR="003B442F" w:rsidRDefault="003B442F">
            <w:pPr>
              <w:spacing w:line="240" w:lineRule="auto"/>
              <w:rPr>
                <w:sz w:val="24"/>
              </w:rPr>
            </w:pPr>
            <w:r>
              <w:rPr>
                <w:sz w:val="24"/>
                <w:rtl/>
              </w:rPr>
              <w:t xml:space="preserve">סעיף 2 </w:t>
            </w:r>
          </w:p>
        </w:tc>
      </w:tr>
      <w:tr w:rsidR="003B442F">
        <w:tblPrEx>
          <w:tblCellMar>
            <w:top w:w="0" w:type="dxa"/>
            <w:bottom w:w="0" w:type="dxa"/>
          </w:tblCellMar>
        </w:tblPrEx>
        <w:tc>
          <w:tcPr>
            <w:tcW w:w="850" w:type="dxa"/>
          </w:tcPr>
          <w:p w:rsidR="003B442F" w:rsidRDefault="003B442F">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FF298A">
              <w:rPr>
                <w:noProof/>
                <w:sz w:val="24"/>
                <w:rtl/>
              </w:rPr>
              <w:t>2</w:t>
            </w:r>
            <w:r>
              <w:rPr>
                <w:sz w:val="24"/>
                <w:rtl/>
              </w:rPr>
              <w:fldChar w:fldCharType="end"/>
            </w:r>
          </w:p>
        </w:tc>
        <w:tc>
          <w:tcPr>
            <w:tcW w:w="567" w:type="dxa"/>
          </w:tcPr>
          <w:p w:rsidR="003B442F" w:rsidRDefault="003B442F">
            <w:pPr>
              <w:spacing w:line="240" w:lineRule="auto"/>
              <w:rPr>
                <w:sz w:val="24"/>
              </w:rPr>
            </w:pPr>
            <w:hyperlink w:anchor="Seif2" w:tooltip="צורת האיגרות ותנאיהן" w:history="1">
              <w:r>
                <w:rPr>
                  <w:rStyle w:val="Hyperlink"/>
                </w:rPr>
                <w:t>Go</w:t>
              </w:r>
            </w:hyperlink>
          </w:p>
        </w:tc>
        <w:tc>
          <w:tcPr>
            <w:tcW w:w="5669" w:type="dxa"/>
          </w:tcPr>
          <w:p w:rsidR="003B442F" w:rsidRDefault="003B442F">
            <w:pPr>
              <w:spacing w:line="240" w:lineRule="auto"/>
              <w:rPr>
                <w:sz w:val="24"/>
                <w:rtl/>
              </w:rPr>
            </w:pPr>
            <w:r>
              <w:rPr>
                <w:sz w:val="24"/>
                <w:rtl/>
              </w:rPr>
              <w:t>צורת האיגרות ותנאיהן</w:t>
            </w:r>
          </w:p>
        </w:tc>
        <w:tc>
          <w:tcPr>
            <w:tcW w:w="1247" w:type="dxa"/>
          </w:tcPr>
          <w:p w:rsidR="003B442F" w:rsidRDefault="003B442F">
            <w:pPr>
              <w:spacing w:line="240" w:lineRule="auto"/>
              <w:rPr>
                <w:sz w:val="24"/>
              </w:rPr>
            </w:pPr>
            <w:r>
              <w:rPr>
                <w:sz w:val="24"/>
                <w:rtl/>
              </w:rPr>
              <w:t xml:space="preserve">סעיף 3 </w:t>
            </w:r>
          </w:p>
        </w:tc>
      </w:tr>
      <w:tr w:rsidR="003B442F">
        <w:tblPrEx>
          <w:tblCellMar>
            <w:top w:w="0" w:type="dxa"/>
            <w:bottom w:w="0" w:type="dxa"/>
          </w:tblCellMar>
        </w:tblPrEx>
        <w:tc>
          <w:tcPr>
            <w:tcW w:w="850" w:type="dxa"/>
          </w:tcPr>
          <w:p w:rsidR="003B442F" w:rsidRDefault="003B442F">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FF298A">
              <w:rPr>
                <w:noProof/>
                <w:sz w:val="24"/>
                <w:rtl/>
              </w:rPr>
              <w:t>2</w:t>
            </w:r>
            <w:r>
              <w:rPr>
                <w:sz w:val="24"/>
                <w:rtl/>
              </w:rPr>
              <w:fldChar w:fldCharType="end"/>
            </w:r>
          </w:p>
        </w:tc>
        <w:tc>
          <w:tcPr>
            <w:tcW w:w="567" w:type="dxa"/>
          </w:tcPr>
          <w:p w:rsidR="003B442F" w:rsidRDefault="003B442F">
            <w:pPr>
              <w:spacing w:line="240" w:lineRule="auto"/>
              <w:rPr>
                <w:sz w:val="24"/>
              </w:rPr>
            </w:pPr>
            <w:hyperlink w:anchor="Seif3" w:tooltip="הסכם הסוכנות הפיסקאלית" w:history="1">
              <w:r>
                <w:rPr>
                  <w:rStyle w:val="Hyperlink"/>
                </w:rPr>
                <w:t>Go</w:t>
              </w:r>
            </w:hyperlink>
          </w:p>
        </w:tc>
        <w:tc>
          <w:tcPr>
            <w:tcW w:w="5669" w:type="dxa"/>
          </w:tcPr>
          <w:p w:rsidR="003B442F" w:rsidRDefault="003B442F">
            <w:pPr>
              <w:spacing w:line="240" w:lineRule="auto"/>
              <w:rPr>
                <w:sz w:val="24"/>
                <w:rtl/>
              </w:rPr>
            </w:pPr>
            <w:r>
              <w:rPr>
                <w:sz w:val="24"/>
                <w:rtl/>
              </w:rPr>
              <w:t>הסכם הסוכנות הפיסקאלית</w:t>
            </w:r>
          </w:p>
        </w:tc>
        <w:tc>
          <w:tcPr>
            <w:tcW w:w="1247" w:type="dxa"/>
          </w:tcPr>
          <w:p w:rsidR="003B442F" w:rsidRDefault="003B442F">
            <w:pPr>
              <w:spacing w:line="240" w:lineRule="auto"/>
              <w:rPr>
                <w:sz w:val="24"/>
              </w:rPr>
            </w:pPr>
            <w:r>
              <w:rPr>
                <w:sz w:val="24"/>
                <w:rtl/>
              </w:rPr>
              <w:t xml:space="preserve">סעיף 4 </w:t>
            </w:r>
          </w:p>
        </w:tc>
      </w:tr>
      <w:tr w:rsidR="003B442F">
        <w:tblPrEx>
          <w:tblCellMar>
            <w:top w:w="0" w:type="dxa"/>
            <w:bottom w:w="0" w:type="dxa"/>
          </w:tblCellMar>
        </w:tblPrEx>
        <w:tc>
          <w:tcPr>
            <w:tcW w:w="850" w:type="dxa"/>
          </w:tcPr>
          <w:p w:rsidR="003B442F" w:rsidRDefault="003B442F">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FF298A">
              <w:rPr>
                <w:noProof/>
                <w:sz w:val="24"/>
                <w:rtl/>
              </w:rPr>
              <w:t>2</w:t>
            </w:r>
            <w:r>
              <w:rPr>
                <w:sz w:val="24"/>
                <w:rtl/>
              </w:rPr>
              <w:fldChar w:fldCharType="end"/>
            </w:r>
          </w:p>
        </w:tc>
        <w:tc>
          <w:tcPr>
            <w:tcW w:w="567" w:type="dxa"/>
          </w:tcPr>
          <w:p w:rsidR="003B442F" w:rsidRDefault="003B442F">
            <w:pPr>
              <w:spacing w:line="240" w:lineRule="auto"/>
              <w:rPr>
                <w:sz w:val="24"/>
              </w:rPr>
            </w:pPr>
            <w:hyperlink w:anchor="Seif4" w:tooltip="האיגרות ניתנות לפדיון" w:history="1">
              <w:r>
                <w:rPr>
                  <w:rStyle w:val="Hyperlink"/>
                </w:rPr>
                <w:t>Go</w:t>
              </w:r>
            </w:hyperlink>
          </w:p>
        </w:tc>
        <w:tc>
          <w:tcPr>
            <w:tcW w:w="5669" w:type="dxa"/>
          </w:tcPr>
          <w:p w:rsidR="003B442F" w:rsidRDefault="003B442F">
            <w:pPr>
              <w:spacing w:line="240" w:lineRule="auto"/>
              <w:rPr>
                <w:sz w:val="24"/>
                <w:rtl/>
              </w:rPr>
            </w:pPr>
            <w:r>
              <w:rPr>
                <w:sz w:val="24"/>
                <w:rtl/>
              </w:rPr>
              <w:t>האיגרות ניתנות לפדיון</w:t>
            </w:r>
          </w:p>
        </w:tc>
        <w:tc>
          <w:tcPr>
            <w:tcW w:w="1247" w:type="dxa"/>
          </w:tcPr>
          <w:p w:rsidR="003B442F" w:rsidRDefault="003B442F">
            <w:pPr>
              <w:spacing w:line="240" w:lineRule="auto"/>
              <w:rPr>
                <w:sz w:val="24"/>
              </w:rPr>
            </w:pPr>
            <w:r>
              <w:rPr>
                <w:sz w:val="24"/>
                <w:rtl/>
              </w:rPr>
              <w:t xml:space="preserve">סעיף 5 </w:t>
            </w:r>
          </w:p>
        </w:tc>
      </w:tr>
      <w:tr w:rsidR="003B442F">
        <w:tblPrEx>
          <w:tblCellMar>
            <w:top w:w="0" w:type="dxa"/>
            <w:bottom w:w="0" w:type="dxa"/>
          </w:tblCellMar>
        </w:tblPrEx>
        <w:tc>
          <w:tcPr>
            <w:tcW w:w="850" w:type="dxa"/>
          </w:tcPr>
          <w:p w:rsidR="003B442F" w:rsidRDefault="003B442F">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FF298A">
              <w:rPr>
                <w:noProof/>
                <w:sz w:val="24"/>
                <w:rtl/>
              </w:rPr>
              <w:t>2</w:t>
            </w:r>
            <w:r>
              <w:rPr>
                <w:sz w:val="24"/>
                <w:rtl/>
              </w:rPr>
              <w:fldChar w:fldCharType="end"/>
            </w:r>
          </w:p>
        </w:tc>
        <w:tc>
          <w:tcPr>
            <w:tcW w:w="567" w:type="dxa"/>
          </w:tcPr>
          <w:p w:rsidR="003B442F" w:rsidRDefault="003B442F">
            <w:pPr>
              <w:spacing w:line="240" w:lineRule="auto"/>
              <w:rPr>
                <w:sz w:val="24"/>
              </w:rPr>
            </w:pPr>
            <w:hyperlink w:anchor="Seif5" w:tooltip="הדפסת איגרות החוב" w:history="1">
              <w:r>
                <w:rPr>
                  <w:rStyle w:val="Hyperlink"/>
                </w:rPr>
                <w:t>Go</w:t>
              </w:r>
            </w:hyperlink>
          </w:p>
        </w:tc>
        <w:tc>
          <w:tcPr>
            <w:tcW w:w="5669" w:type="dxa"/>
          </w:tcPr>
          <w:p w:rsidR="003B442F" w:rsidRDefault="003B442F">
            <w:pPr>
              <w:spacing w:line="240" w:lineRule="auto"/>
              <w:rPr>
                <w:sz w:val="24"/>
                <w:rtl/>
              </w:rPr>
            </w:pPr>
            <w:r>
              <w:rPr>
                <w:sz w:val="24"/>
                <w:rtl/>
              </w:rPr>
              <w:t>הדפסת איגרות החוב</w:t>
            </w:r>
          </w:p>
        </w:tc>
        <w:tc>
          <w:tcPr>
            <w:tcW w:w="1247" w:type="dxa"/>
          </w:tcPr>
          <w:p w:rsidR="003B442F" w:rsidRDefault="003B442F">
            <w:pPr>
              <w:spacing w:line="240" w:lineRule="auto"/>
              <w:rPr>
                <w:sz w:val="24"/>
              </w:rPr>
            </w:pPr>
            <w:r>
              <w:rPr>
                <w:sz w:val="24"/>
                <w:rtl/>
              </w:rPr>
              <w:t xml:space="preserve">סעיף 6 </w:t>
            </w:r>
          </w:p>
        </w:tc>
      </w:tr>
      <w:tr w:rsidR="003B442F">
        <w:tblPrEx>
          <w:tblCellMar>
            <w:top w:w="0" w:type="dxa"/>
            <w:bottom w:w="0" w:type="dxa"/>
          </w:tblCellMar>
        </w:tblPrEx>
        <w:tc>
          <w:tcPr>
            <w:tcW w:w="850" w:type="dxa"/>
          </w:tcPr>
          <w:p w:rsidR="003B442F" w:rsidRDefault="003B442F">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FF298A">
              <w:rPr>
                <w:noProof/>
                <w:sz w:val="24"/>
                <w:rtl/>
              </w:rPr>
              <w:t>2</w:t>
            </w:r>
            <w:r>
              <w:rPr>
                <w:sz w:val="24"/>
                <w:rtl/>
              </w:rPr>
              <w:fldChar w:fldCharType="end"/>
            </w:r>
          </w:p>
        </w:tc>
        <w:tc>
          <w:tcPr>
            <w:tcW w:w="567" w:type="dxa"/>
          </w:tcPr>
          <w:p w:rsidR="003B442F" w:rsidRDefault="003B442F">
            <w:pPr>
              <w:spacing w:line="240" w:lineRule="auto"/>
              <w:rPr>
                <w:sz w:val="24"/>
              </w:rPr>
            </w:pPr>
            <w:hyperlink w:anchor="Seif6" w:tooltip="שפת ההוצאה" w:history="1">
              <w:r>
                <w:rPr>
                  <w:rStyle w:val="Hyperlink"/>
                </w:rPr>
                <w:t>Go</w:t>
              </w:r>
            </w:hyperlink>
          </w:p>
        </w:tc>
        <w:tc>
          <w:tcPr>
            <w:tcW w:w="5669" w:type="dxa"/>
          </w:tcPr>
          <w:p w:rsidR="003B442F" w:rsidRDefault="003B442F">
            <w:pPr>
              <w:spacing w:line="240" w:lineRule="auto"/>
              <w:rPr>
                <w:sz w:val="24"/>
                <w:rtl/>
              </w:rPr>
            </w:pPr>
            <w:r>
              <w:rPr>
                <w:sz w:val="24"/>
                <w:rtl/>
              </w:rPr>
              <w:t>שפת ההוצאה</w:t>
            </w:r>
          </w:p>
        </w:tc>
        <w:tc>
          <w:tcPr>
            <w:tcW w:w="1247" w:type="dxa"/>
          </w:tcPr>
          <w:p w:rsidR="003B442F" w:rsidRDefault="003B442F">
            <w:pPr>
              <w:spacing w:line="240" w:lineRule="auto"/>
              <w:rPr>
                <w:sz w:val="24"/>
              </w:rPr>
            </w:pPr>
            <w:r>
              <w:rPr>
                <w:sz w:val="24"/>
                <w:rtl/>
              </w:rPr>
              <w:t xml:space="preserve">סעיף 7 </w:t>
            </w:r>
          </w:p>
        </w:tc>
      </w:tr>
      <w:tr w:rsidR="003B442F">
        <w:tblPrEx>
          <w:tblCellMar>
            <w:top w:w="0" w:type="dxa"/>
            <w:bottom w:w="0" w:type="dxa"/>
          </w:tblCellMar>
        </w:tblPrEx>
        <w:tc>
          <w:tcPr>
            <w:tcW w:w="850" w:type="dxa"/>
          </w:tcPr>
          <w:p w:rsidR="003B442F" w:rsidRDefault="003B442F">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FF298A">
              <w:rPr>
                <w:noProof/>
                <w:sz w:val="24"/>
                <w:rtl/>
              </w:rPr>
              <w:t>2</w:t>
            </w:r>
            <w:r>
              <w:rPr>
                <w:sz w:val="24"/>
                <w:rtl/>
              </w:rPr>
              <w:fldChar w:fldCharType="end"/>
            </w:r>
          </w:p>
        </w:tc>
        <w:tc>
          <w:tcPr>
            <w:tcW w:w="567" w:type="dxa"/>
          </w:tcPr>
          <w:p w:rsidR="003B442F" w:rsidRDefault="003B442F">
            <w:pPr>
              <w:spacing w:line="240" w:lineRule="auto"/>
              <w:rPr>
                <w:sz w:val="24"/>
              </w:rPr>
            </w:pPr>
            <w:hyperlink w:anchor="Seif7" w:tooltip="השם" w:history="1">
              <w:r>
                <w:rPr>
                  <w:rStyle w:val="Hyperlink"/>
                </w:rPr>
                <w:t>Go</w:t>
              </w:r>
            </w:hyperlink>
          </w:p>
        </w:tc>
        <w:tc>
          <w:tcPr>
            <w:tcW w:w="5669" w:type="dxa"/>
          </w:tcPr>
          <w:p w:rsidR="003B442F" w:rsidRDefault="003B442F">
            <w:pPr>
              <w:spacing w:line="240" w:lineRule="auto"/>
              <w:rPr>
                <w:sz w:val="24"/>
                <w:rtl/>
              </w:rPr>
            </w:pPr>
            <w:r>
              <w:rPr>
                <w:sz w:val="24"/>
                <w:rtl/>
              </w:rPr>
              <w:t>השם</w:t>
            </w:r>
          </w:p>
        </w:tc>
        <w:tc>
          <w:tcPr>
            <w:tcW w:w="1247" w:type="dxa"/>
          </w:tcPr>
          <w:p w:rsidR="003B442F" w:rsidRDefault="003B442F">
            <w:pPr>
              <w:spacing w:line="240" w:lineRule="auto"/>
              <w:rPr>
                <w:sz w:val="24"/>
              </w:rPr>
            </w:pPr>
            <w:r>
              <w:rPr>
                <w:sz w:val="24"/>
                <w:rtl/>
              </w:rPr>
              <w:t xml:space="preserve">סעיף 8 </w:t>
            </w:r>
          </w:p>
        </w:tc>
      </w:tr>
    </w:tbl>
    <w:p w:rsidR="003B442F" w:rsidRDefault="003B442F">
      <w:pPr>
        <w:pStyle w:val="big-header"/>
        <w:ind w:left="0" w:right="1134"/>
        <w:rPr>
          <w:rFonts w:cs="FrankRuehl"/>
          <w:sz w:val="32"/>
          <w:rtl/>
        </w:rPr>
      </w:pPr>
    </w:p>
    <w:p w:rsidR="003B442F" w:rsidRDefault="003B442F" w:rsidP="00D1772F">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איגרות מדינת ישראל (הנפק שני להשקעת פיתוח), תשכ"ח</w:t>
      </w:r>
      <w:r w:rsidR="00FF298A">
        <w:rPr>
          <w:rFonts w:cs="FrankRuehl" w:hint="cs"/>
          <w:sz w:val="32"/>
          <w:rtl/>
        </w:rPr>
        <w:t>-</w:t>
      </w:r>
      <w:r>
        <w:rPr>
          <w:rFonts w:cs="FrankRuehl"/>
          <w:sz w:val="32"/>
          <w:rtl/>
        </w:rPr>
        <w:t>1968</w:t>
      </w:r>
      <w:r w:rsidR="00FF298A">
        <w:rPr>
          <w:rStyle w:val="a6"/>
          <w:rFonts w:cs="FrankRuehl"/>
          <w:sz w:val="32"/>
          <w:rtl/>
        </w:rPr>
        <w:footnoteReference w:customMarkFollows="1" w:id="1"/>
        <w:t>*</w:t>
      </w:r>
    </w:p>
    <w:p w:rsidR="003B442F" w:rsidRDefault="003B442F" w:rsidP="00FF298A">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11 לחוק איגרות מדינת ישראל (הנפק שני להשקעת פיתוח), תשכ"ח</w:t>
      </w:r>
      <w:r w:rsidR="00FF298A">
        <w:rPr>
          <w:rStyle w:val="default"/>
          <w:rFonts w:cs="FrankRuehl" w:hint="cs"/>
          <w:rtl/>
        </w:rPr>
        <w:t>-</w:t>
      </w:r>
      <w:r>
        <w:rPr>
          <w:rStyle w:val="default"/>
          <w:rFonts w:cs="FrankRuehl"/>
          <w:rtl/>
        </w:rPr>
        <w:t>1968,</w:t>
      </w:r>
      <w:r>
        <w:rPr>
          <w:rStyle w:val="default"/>
          <w:rFonts w:cs="FrankRuehl" w:hint="cs"/>
          <w:rtl/>
        </w:rPr>
        <w:t xml:space="preserve"> אני מתקין תקנות אלה:</w:t>
      </w:r>
    </w:p>
    <w:p w:rsidR="003B442F" w:rsidRDefault="003B442F">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15.4pt;z-index:251654144" o:allowincell="f" filled="f" stroked="f" strokecolor="lime" strokeweight=".25pt">
            <v:textbox inset="0,0,0,0">
              <w:txbxContent>
                <w:p w:rsidR="003B442F" w:rsidRDefault="003B442F">
                  <w:pPr>
                    <w:spacing w:line="160" w:lineRule="exact"/>
                    <w:jc w:val="left"/>
                    <w:rPr>
                      <w:rFonts w:cs="Miriam"/>
                      <w:noProof/>
                      <w:sz w:val="18"/>
                      <w:szCs w:val="18"/>
                      <w:rtl/>
                    </w:rPr>
                  </w:pPr>
                  <w:r>
                    <w:rPr>
                      <w:rFonts w:cs="Miriam"/>
                      <w:sz w:val="18"/>
                      <w:szCs w:val="18"/>
                      <w:rtl/>
                    </w:rPr>
                    <w:t>סו</w:t>
                  </w:r>
                  <w:r>
                    <w:rPr>
                      <w:rFonts w:cs="Miriam" w:hint="cs"/>
                      <w:sz w:val="18"/>
                      <w:szCs w:val="18"/>
                      <w:rtl/>
                    </w:rPr>
                    <w:t>גי איגרות החוב</w:t>
                  </w:r>
                </w:p>
              </w:txbxContent>
            </v:textbox>
            <w10:anchorlock/>
          </v:rect>
        </w:pict>
      </w:r>
      <w:r>
        <w:rPr>
          <w:rStyle w:val="big-number"/>
          <w:rFonts w:cs="Miriam"/>
          <w:rtl/>
        </w:rPr>
        <w:t>1.</w:t>
      </w:r>
      <w:r>
        <w:rPr>
          <w:rStyle w:val="big-number"/>
          <w:rFonts w:cs="Miriam"/>
          <w:rtl/>
        </w:rPr>
        <w:tab/>
      </w:r>
      <w:r>
        <w:rPr>
          <w:rStyle w:val="default"/>
          <w:rFonts w:cs="FrankRuehl"/>
          <w:rtl/>
        </w:rPr>
        <w:t>הא</w:t>
      </w:r>
      <w:r>
        <w:rPr>
          <w:rStyle w:val="default"/>
          <w:rFonts w:cs="FrankRuehl" w:hint="cs"/>
          <w:rtl/>
        </w:rPr>
        <w:t xml:space="preserve">יגרות שיוצאו למכירה בארצות הברית של </w:t>
      </w:r>
      <w:r>
        <w:rPr>
          <w:rStyle w:val="default"/>
          <w:rFonts w:cs="FrankRuehl"/>
          <w:rtl/>
        </w:rPr>
        <w:t>אמ</w:t>
      </w:r>
      <w:r>
        <w:rPr>
          <w:rStyle w:val="default"/>
          <w:rFonts w:cs="FrankRuehl" w:hint="cs"/>
          <w:rtl/>
        </w:rPr>
        <w:t xml:space="preserve">ריקה ובארצות אחרות יהיו מסוג זה: איגרות תלוש בדולרים בנות 5.50% (הנפק להשקעת פיתוח) שיוצאו בארבע סדרות; כל סדרה תיקרא בהתאם לשנת הוצאתה. כל איגרת מכל סדרה תישא תאריך 1 באוגוסט של אותה שנה בה הוצאה הסדרה וזמן פרעונה </w:t>
      </w:r>
      <w:r>
        <w:rPr>
          <w:rStyle w:val="default"/>
          <w:rFonts w:cs="FrankRuehl"/>
          <w:rtl/>
        </w:rPr>
        <w:t>כ</w:t>
      </w:r>
      <w:r>
        <w:rPr>
          <w:rStyle w:val="default"/>
          <w:rFonts w:cs="FrankRuehl" w:hint="cs"/>
          <w:rtl/>
        </w:rPr>
        <w:t>תום עשרים שנה מתאריך הוצאתה.</w:t>
      </w:r>
    </w:p>
    <w:p w:rsidR="003B442F" w:rsidRDefault="003B442F">
      <w:pPr>
        <w:pStyle w:val="P00"/>
        <w:spacing w:before="72"/>
        <w:ind w:left="0" w:right="1134"/>
        <w:rPr>
          <w:rStyle w:val="default"/>
          <w:rFonts w:cs="FrankRuehl" w:hint="cs"/>
          <w:rtl/>
        </w:rPr>
      </w:pPr>
      <w:bookmarkStart w:id="1" w:name="Seif1"/>
      <w:bookmarkEnd w:id="1"/>
      <w:r>
        <w:rPr>
          <w:lang w:val="he-IL"/>
        </w:rPr>
        <w:pict>
          <v:rect id="_x0000_s1027" style="position:absolute;left:0;text-align:left;margin-left:464.5pt;margin-top:8.05pt;width:75.05pt;height:23.65pt;z-index:251655168" o:allowincell="f" filled="f" stroked="f" strokecolor="lime" strokeweight=".25pt">
            <v:textbox inset="0,0,0,0">
              <w:txbxContent>
                <w:p w:rsidR="003B442F" w:rsidRDefault="003B442F">
                  <w:pPr>
                    <w:spacing w:line="160" w:lineRule="exact"/>
                    <w:jc w:val="left"/>
                    <w:rPr>
                      <w:rFonts w:cs="Miriam"/>
                      <w:noProof/>
                      <w:sz w:val="18"/>
                      <w:szCs w:val="18"/>
                      <w:rtl/>
                    </w:rPr>
                  </w:pPr>
                  <w:r>
                    <w:rPr>
                      <w:rFonts w:cs="Miriam"/>
                      <w:sz w:val="18"/>
                      <w:szCs w:val="18"/>
                      <w:rtl/>
                    </w:rPr>
                    <w:t>מכ</w:t>
                  </w:r>
                  <w:r>
                    <w:rPr>
                      <w:rFonts w:cs="Miriam" w:hint="cs"/>
                      <w:sz w:val="18"/>
                      <w:szCs w:val="18"/>
                      <w:rtl/>
                    </w:rPr>
                    <w:t>ירת איגרות חוב לארגונים</w:t>
                  </w:r>
                </w:p>
              </w:txbxContent>
            </v:textbox>
            <w10:anchorlock/>
          </v:rect>
        </w:pict>
      </w:r>
      <w:r>
        <w:rPr>
          <w:rStyle w:val="big-number"/>
          <w:rFonts w:cs="Miriam"/>
          <w:rtl/>
        </w:rPr>
        <w:t>2.</w:t>
      </w:r>
      <w:r>
        <w:rPr>
          <w:rStyle w:val="big-number"/>
          <w:rFonts w:cs="Miriam"/>
          <w:rtl/>
        </w:rPr>
        <w:tab/>
      </w:r>
      <w:r>
        <w:rPr>
          <w:rStyle w:val="default"/>
          <w:rFonts w:cs="FrankRuehl"/>
          <w:rtl/>
        </w:rPr>
        <w:t>הא</w:t>
      </w:r>
      <w:r>
        <w:rPr>
          <w:rStyle w:val="default"/>
          <w:rFonts w:cs="FrankRuehl" w:hint="cs"/>
          <w:rtl/>
        </w:rPr>
        <w:t>יגר</w:t>
      </w:r>
      <w:r>
        <w:rPr>
          <w:rStyle w:val="default"/>
          <w:rFonts w:cs="FrankRuehl"/>
          <w:rtl/>
        </w:rPr>
        <w:t>ות</w:t>
      </w:r>
      <w:r>
        <w:rPr>
          <w:rStyle w:val="default"/>
          <w:rFonts w:cs="FrankRuehl" w:hint="cs"/>
          <w:rtl/>
        </w:rPr>
        <w:t xml:space="preserve"> יימכרו רק לתאגידים, חברות, ארגונים ושאר גופים אשר הינם אחד מאלה: "חברת ביטוח", "בנק", "איגוד מקצועי" או "קרן תגמולים לעובדים" כמשמעותם בהסכם הסוכנות הפיסקאלית שבתוספת ב' או "קרן ממשלתית"</w:t>
      </w:r>
      <w:r>
        <w:rPr>
          <w:rStyle w:val="default"/>
          <w:rFonts w:cs="FrankRuehl"/>
          <w:rtl/>
        </w:rPr>
        <w:t>, "</w:t>
      </w:r>
      <w:r>
        <w:rPr>
          <w:rStyle w:val="default"/>
          <w:rFonts w:cs="FrankRuehl" w:hint="cs"/>
          <w:rtl/>
        </w:rPr>
        <w:t>קרן קהילתית", "קרן הקדש", "קרן בנין" או "אגודה לאשראי" כמשמעותם</w:t>
      </w:r>
      <w:r>
        <w:rPr>
          <w:rStyle w:val="default"/>
          <w:rFonts w:cs="FrankRuehl"/>
          <w:rtl/>
        </w:rPr>
        <w:t xml:space="preserve"> </w:t>
      </w:r>
      <w:r>
        <w:rPr>
          <w:rStyle w:val="default"/>
          <w:rFonts w:cs="FrankRuehl" w:hint="cs"/>
          <w:rtl/>
        </w:rPr>
        <w:t>ב</w:t>
      </w:r>
      <w:r>
        <w:rPr>
          <w:rStyle w:val="default"/>
          <w:rFonts w:cs="FrankRuehl"/>
          <w:rtl/>
        </w:rPr>
        <w:t>ה</w:t>
      </w:r>
      <w:r>
        <w:rPr>
          <w:rStyle w:val="default"/>
          <w:rFonts w:cs="FrankRuehl" w:hint="cs"/>
          <w:rtl/>
        </w:rPr>
        <w:t>סכם שבתוספת ג' המתקן את הסכם הסוכנות הפיסקאלית האמור כשמעמדם של כל תאגיד, חברה, ארגון או גוף אחר ייקבע בהתאם לחוקי השיפוט שלפיהם נוסדו אותם תאגיד, חברה, ארגון או גוף אחר, או שבהם הם נמצאי</w:t>
      </w:r>
      <w:r>
        <w:rPr>
          <w:rStyle w:val="default"/>
          <w:rFonts w:cs="FrankRuehl"/>
          <w:rtl/>
        </w:rPr>
        <w:t>ם.</w:t>
      </w:r>
    </w:p>
    <w:p w:rsidR="007004FC" w:rsidRPr="00FF298A" w:rsidRDefault="007004FC" w:rsidP="007004FC">
      <w:pPr>
        <w:pStyle w:val="P00"/>
        <w:spacing w:before="0"/>
        <w:ind w:left="0" w:right="1134"/>
        <w:rPr>
          <w:rFonts w:cs="FrankRuehl" w:hint="cs"/>
          <w:b/>
          <w:bCs/>
          <w:vanish/>
          <w:szCs w:val="20"/>
          <w:shd w:val="clear" w:color="auto" w:fill="FFFF99"/>
          <w:rtl/>
        </w:rPr>
      </w:pPr>
      <w:bookmarkStart w:id="2" w:name="Rov11"/>
      <w:r w:rsidRPr="00FF298A">
        <w:rPr>
          <w:rFonts w:cs="FrankRuehl" w:hint="cs"/>
          <w:vanish/>
          <w:color w:val="FF0000"/>
          <w:szCs w:val="20"/>
          <w:shd w:val="clear" w:color="auto" w:fill="FFFF99"/>
          <w:rtl/>
        </w:rPr>
        <w:t>מיום 31.8.1970</w:t>
      </w:r>
    </w:p>
    <w:p w:rsidR="007004FC" w:rsidRPr="00FF298A" w:rsidRDefault="007004FC" w:rsidP="007004FC">
      <w:pPr>
        <w:pStyle w:val="P00"/>
        <w:spacing w:before="0"/>
        <w:ind w:left="0" w:right="1134"/>
        <w:rPr>
          <w:rFonts w:cs="FrankRuehl" w:hint="cs"/>
          <w:b/>
          <w:bCs/>
          <w:vanish/>
          <w:szCs w:val="20"/>
          <w:shd w:val="clear" w:color="auto" w:fill="FFFF99"/>
          <w:rtl/>
        </w:rPr>
      </w:pPr>
      <w:r w:rsidRPr="00FF298A">
        <w:rPr>
          <w:rFonts w:cs="FrankRuehl" w:hint="cs"/>
          <w:b/>
          <w:bCs/>
          <w:vanish/>
          <w:szCs w:val="20"/>
          <w:shd w:val="clear" w:color="auto" w:fill="FFFF99"/>
          <w:rtl/>
        </w:rPr>
        <w:t>תק' תש"ל-1970</w:t>
      </w:r>
    </w:p>
    <w:p w:rsidR="007004FC" w:rsidRPr="00FF298A" w:rsidRDefault="007004FC" w:rsidP="007004FC">
      <w:pPr>
        <w:pStyle w:val="P00"/>
        <w:tabs>
          <w:tab w:val="clear" w:pos="6259"/>
        </w:tabs>
        <w:spacing w:before="0"/>
        <w:ind w:left="0" w:right="1134"/>
        <w:rPr>
          <w:rStyle w:val="default"/>
          <w:rFonts w:cs="FrankRuehl" w:hint="cs"/>
          <w:vanish/>
          <w:sz w:val="20"/>
          <w:szCs w:val="20"/>
          <w:shd w:val="clear" w:color="auto" w:fill="FFFF99"/>
          <w:rtl/>
        </w:rPr>
      </w:pPr>
      <w:hyperlink r:id="rId6" w:history="1">
        <w:r w:rsidRPr="00FF298A">
          <w:rPr>
            <w:rStyle w:val="Hyperlink"/>
            <w:rFonts w:cs="FrankRuehl" w:hint="cs"/>
            <w:vanish/>
            <w:szCs w:val="20"/>
            <w:shd w:val="clear" w:color="auto" w:fill="FFFF99"/>
            <w:rtl/>
          </w:rPr>
          <w:t>ק"ת תש"ל מס' 2606</w:t>
        </w:r>
      </w:hyperlink>
      <w:r w:rsidRPr="00FF298A">
        <w:rPr>
          <w:rFonts w:cs="FrankRuehl" w:hint="cs"/>
          <w:vanish/>
          <w:szCs w:val="20"/>
          <w:shd w:val="clear" w:color="auto" w:fill="FFFF99"/>
          <w:rtl/>
        </w:rPr>
        <w:t xml:space="preserve"> מיום 31.8.1970 עמ' 2200</w:t>
      </w:r>
    </w:p>
    <w:p w:rsidR="007004FC" w:rsidRPr="007004FC" w:rsidRDefault="007004FC" w:rsidP="007004FC">
      <w:pPr>
        <w:pStyle w:val="P00"/>
        <w:ind w:left="0" w:right="1134"/>
        <w:rPr>
          <w:rStyle w:val="default"/>
          <w:rFonts w:cs="FrankRuehl"/>
          <w:sz w:val="2"/>
          <w:szCs w:val="2"/>
          <w:rtl/>
        </w:rPr>
      </w:pPr>
      <w:r w:rsidRPr="00FF298A">
        <w:rPr>
          <w:rStyle w:val="default"/>
          <w:rFonts w:cs="FrankRuehl" w:hint="cs"/>
          <w:vanish/>
          <w:sz w:val="22"/>
          <w:szCs w:val="22"/>
          <w:shd w:val="clear" w:color="auto" w:fill="FFFF99"/>
          <w:rtl/>
        </w:rPr>
        <w:t>2.</w:t>
      </w:r>
      <w:r w:rsidRPr="00FF298A">
        <w:rPr>
          <w:rStyle w:val="default"/>
          <w:rFonts w:cs="FrankRuehl" w:hint="cs"/>
          <w:vanish/>
          <w:sz w:val="22"/>
          <w:szCs w:val="22"/>
          <w:shd w:val="clear" w:color="auto" w:fill="FFFF99"/>
          <w:rtl/>
        </w:rPr>
        <w:tab/>
      </w:r>
      <w:r w:rsidRPr="00FF298A">
        <w:rPr>
          <w:rStyle w:val="default"/>
          <w:rFonts w:cs="FrankRuehl"/>
          <w:vanish/>
          <w:sz w:val="22"/>
          <w:szCs w:val="22"/>
          <w:shd w:val="clear" w:color="auto" w:fill="FFFF99"/>
          <w:rtl/>
        </w:rPr>
        <w:t>הא</w:t>
      </w:r>
      <w:r w:rsidRPr="00FF298A">
        <w:rPr>
          <w:rStyle w:val="default"/>
          <w:rFonts w:cs="FrankRuehl" w:hint="cs"/>
          <w:vanish/>
          <w:sz w:val="22"/>
          <w:szCs w:val="22"/>
          <w:shd w:val="clear" w:color="auto" w:fill="FFFF99"/>
          <w:rtl/>
        </w:rPr>
        <w:t>יגר</w:t>
      </w:r>
      <w:r w:rsidRPr="00FF298A">
        <w:rPr>
          <w:rStyle w:val="default"/>
          <w:rFonts w:cs="FrankRuehl"/>
          <w:vanish/>
          <w:sz w:val="22"/>
          <w:szCs w:val="22"/>
          <w:shd w:val="clear" w:color="auto" w:fill="FFFF99"/>
          <w:rtl/>
        </w:rPr>
        <w:t>ות</w:t>
      </w:r>
      <w:r w:rsidRPr="00FF298A">
        <w:rPr>
          <w:rStyle w:val="default"/>
          <w:rFonts w:cs="FrankRuehl" w:hint="cs"/>
          <w:vanish/>
          <w:sz w:val="22"/>
          <w:szCs w:val="22"/>
          <w:shd w:val="clear" w:color="auto" w:fill="FFFF99"/>
          <w:rtl/>
        </w:rPr>
        <w:t xml:space="preserve"> יימכרו רק לתאגידים, חברות, ארגונים ושאר גופים אשר הינם אחד מאלה: "חברת ביטוח", "בנק", "איגוד מקצועי" או "קרן תגמולים לעובדים" כמשמעותם בהסכם הסוכנות הפיסקאלית שבתוספת ב' </w:t>
      </w:r>
      <w:r w:rsidRPr="00FF298A">
        <w:rPr>
          <w:rStyle w:val="default"/>
          <w:rFonts w:cs="FrankRuehl" w:hint="cs"/>
          <w:vanish/>
          <w:sz w:val="22"/>
          <w:szCs w:val="22"/>
          <w:u w:val="single"/>
          <w:shd w:val="clear" w:color="auto" w:fill="FFFF99"/>
          <w:rtl/>
        </w:rPr>
        <w:t>או "קרן ממשלתית"</w:t>
      </w:r>
      <w:r w:rsidRPr="00FF298A">
        <w:rPr>
          <w:rStyle w:val="default"/>
          <w:rFonts w:cs="FrankRuehl"/>
          <w:vanish/>
          <w:sz w:val="22"/>
          <w:szCs w:val="22"/>
          <w:u w:val="single"/>
          <w:shd w:val="clear" w:color="auto" w:fill="FFFF99"/>
          <w:rtl/>
        </w:rPr>
        <w:t>, "</w:t>
      </w:r>
      <w:r w:rsidRPr="00FF298A">
        <w:rPr>
          <w:rStyle w:val="default"/>
          <w:rFonts w:cs="FrankRuehl" w:hint="cs"/>
          <w:vanish/>
          <w:sz w:val="22"/>
          <w:szCs w:val="22"/>
          <w:u w:val="single"/>
          <w:shd w:val="clear" w:color="auto" w:fill="FFFF99"/>
          <w:rtl/>
        </w:rPr>
        <w:t>קרן קהילתית", "קרן הקדש", "קרן בנין" או "אגודה לאשראי" כמשמעותם</w:t>
      </w:r>
      <w:r w:rsidRPr="00FF298A">
        <w:rPr>
          <w:rStyle w:val="default"/>
          <w:rFonts w:cs="FrankRuehl"/>
          <w:vanish/>
          <w:sz w:val="22"/>
          <w:szCs w:val="22"/>
          <w:u w:val="single"/>
          <w:shd w:val="clear" w:color="auto" w:fill="FFFF99"/>
          <w:rtl/>
        </w:rPr>
        <w:t xml:space="preserve"> </w:t>
      </w:r>
      <w:r w:rsidRPr="00FF298A">
        <w:rPr>
          <w:rStyle w:val="default"/>
          <w:rFonts w:cs="FrankRuehl" w:hint="cs"/>
          <w:vanish/>
          <w:sz w:val="22"/>
          <w:szCs w:val="22"/>
          <w:u w:val="single"/>
          <w:shd w:val="clear" w:color="auto" w:fill="FFFF99"/>
          <w:rtl/>
        </w:rPr>
        <w:t>ב</w:t>
      </w:r>
      <w:r w:rsidRPr="00FF298A">
        <w:rPr>
          <w:rStyle w:val="default"/>
          <w:rFonts w:cs="FrankRuehl"/>
          <w:vanish/>
          <w:sz w:val="22"/>
          <w:szCs w:val="22"/>
          <w:u w:val="single"/>
          <w:shd w:val="clear" w:color="auto" w:fill="FFFF99"/>
          <w:rtl/>
        </w:rPr>
        <w:t>ה</w:t>
      </w:r>
      <w:r w:rsidRPr="00FF298A">
        <w:rPr>
          <w:rStyle w:val="default"/>
          <w:rFonts w:cs="FrankRuehl" w:hint="cs"/>
          <w:vanish/>
          <w:sz w:val="22"/>
          <w:szCs w:val="22"/>
          <w:u w:val="single"/>
          <w:shd w:val="clear" w:color="auto" w:fill="FFFF99"/>
          <w:rtl/>
        </w:rPr>
        <w:t>סכם שבתוספת ג' המתקן את הסכם הסוכנות הפיסקאלית האמור כשמעמדם של כל תאגיד, חברה, ארגון או גוף אחר ייקבע בהתאם לחוקי השיפוט שלפיהם נוסדו אותם תאגיד, חברה, ארגון או גוף אחר, או שבהם הם נמצאי</w:t>
      </w:r>
      <w:r w:rsidRPr="00FF298A">
        <w:rPr>
          <w:rStyle w:val="default"/>
          <w:rFonts w:cs="FrankRuehl"/>
          <w:vanish/>
          <w:sz w:val="22"/>
          <w:szCs w:val="22"/>
          <w:u w:val="single"/>
          <w:shd w:val="clear" w:color="auto" w:fill="FFFF99"/>
          <w:rtl/>
        </w:rPr>
        <w:t>ם</w:t>
      </w:r>
      <w:r w:rsidRPr="00FF298A">
        <w:rPr>
          <w:rStyle w:val="default"/>
          <w:rFonts w:cs="FrankRuehl"/>
          <w:vanish/>
          <w:sz w:val="22"/>
          <w:szCs w:val="22"/>
          <w:shd w:val="clear" w:color="auto" w:fill="FFFF99"/>
          <w:rtl/>
        </w:rPr>
        <w:t>.</w:t>
      </w:r>
      <w:bookmarkEnd w:id="2"/>
    </w:p>
    <w:p w:rsidR="003B442F" w:rsidRDefault="003B442F">
      <w:pPr>
        <w:pStyle w:val="P00"/>
        <w:spacing w:before="72"/>
        <w:ind w:left="0" w:right="1134"/>
        <w:rPr>
          <w:rStyle w:val="default"/>
          <w:rFonts w:cs="FrankRuehl"/>
          <w:rtl/>
        </w:rPr>
      </w:pPr>
      <w:bookmarkStart w:id="3" w:name="Seif2"/>
      <w:bookmarkEnd w:id="3"/>
      <w:r>
        <w:rPr>
          <w:lang w:val="he-IL"/>
        </w:rPr>
        <w:pict>
          <v:rect id="_x0000_s1028" style="position:absolute;left:0;text-align:left;margin-left:464.5pt;margin-top:8.05pt;width:75.05pt;height:18.75pt;z-index:251656192" o:allowincell="f" filled="f" stroked="f" strokecolor="lime" strokeweight=".25pt">
            <v:textbox inset="0,0,0,0">
              <w:txbxContent>
                <w:p w:rsidR="003B442F" w:rsidRDefault="003B442F">
                  <w:pPr>
                    <w:spacing w:line="160" w:lineRule="exact"/>
                    <w:jc w:val="left"/>
                    <w:rPr>
                      <w:rFonts w:cs="Miriam"/>
                      <w:noProof/>
                      <w:sz w:val="18"/>
                      <w:szCs w:val="18"/>
                      <w:rtl/>
                    </w:rPr>
                  </w:pPr>
                  <w:r>
                    <w:rPr>
                      <w:rFonts w:cs="Miriam"/>
                      <w:sz w:val="18"/>
                      <w:szCs w:val="18"/>
                      <w:rtl/>
                    </w:rPr>
                    <w:t>צו</w:t>
                  </w:r>
                  <w:r>
                    <w:rPr>
                      <w:rFonts w:cs="Miriam" w:hint="cs"/>
                      <w:sz w:val="18"/>
                      <w:szCs w:val="18"/>
                      <w:rtl/>
                    </w:rPr>
                    <w:t>רת האיגרות ותנאיהן</w:t>
                  </w:r>
                </w:p>
              </w:txbxContent>
            </v:textbox>
            <w10:anchorlock/>
          </v:rect>
        </w:pict>
      </w:r>
      <w:r>
        <w:rPr>
          <w:rStyle w:val="big-number"/>
          <w:rFonts w:cs="Miriam"/>
          <w:rtl/>
        </w:rPr>
        <w:t>3.</w:t>
      </w:r>
      <w:r>
        <w:rPr>
          <w:rStyle w:val="big-number"/>
          <w:rFonts w:cs="Miriam"/>
          <w:rtl/>
        </w:rPr>
        <w:tab/>
      </w:r>
      <w:r>
        <w:rPr>
          <w:rStyle w:val="default"/>
          <w:rFonts w:cs="FrankRuehl"/>
          <w:rtl/>
        </w:rPr>
        <w:t>צו</w:t>
      </w:r>
      <w:r>
        <w:rPr>
          <w:rStyle w:val="default"/>
          <w:rFonts w:cs="FrankRuehl" w:hint="cs"/>
          <w:rtl/>
        </w:rPr>
        <w:t>רת איגרות החוב, הערכים הנקובים בהן, נוסחאותיהן, סימוניה</w:t>
      </w:r>
      <w:r>
        <w:rPr>
          <w:rStyle w:val="default"/>
          <w:rFonts w:cs="FrankRuehl"/>
          <w:rtl/>
        </w:rPr>
        <w:t xml:space="preserve">ן, </w:t>
      </w:r>
      <w:r>
        <w:rPr>
          <w:rStyle w:val="default"/>
          <w:rFonts w:cs="FrankRuehl" w:hint="cs"/>
          <w:rtl/>
        </w:rPr>
        <w:t>תנאי העברתן, לרבות הגבלות ההעברה, צורתה ומועדיה, ולרבות כללים ותנאים ביחס לקרן שמורה, דרכי הפדיון ותנאיו וכן תנאים אחרים ביחס לאיגרות יהיו כמפורט בטופס שבתוספת א' או בדומה לו במידת האפשר</w:t>
      </w:r>
      <w:r>
        <w:rPr>
          <w:rStyle w:val="default"/>
          <w:rFonts w:cs="FrankRuehl"/>
          <w:rtl/>
        </w:rPr>
        <w:t>.</w:t>
      </w:r>
    </w:p>
    <w:p w:rsidR="003B442F" w:rsidRDefault="003B442F">
      <w:pPr>
        <w:pStyle w:val="P00"/>
        <w:spacing w:before="72"/>
        <w:ind w:left="0" w:right="1134"/>
        <w:rPr>
          <w:rStyle w:val="default"/>
          <w:rFonts w:cs="FrankRuehl"/>
          <w:rtl/>
        </w:rPr>
      </w:pPr>
      <w:bookmarkStart w:id="4" w:name="Seif3"/>
      <w:bookmarkEnd w:id="4"/>
      <w:r>
        <w:rPr>
          <w:lang w:val="he-IL"/>
        </w:rPr>
        <w:pict>
          <v:rect id="_x0000_s1029" style="position:absolute;left:0;text-align:left;margin-left:464.5pt;margin-top:8.05pt;width:75.05pt;height:23.2pt;z-index:251657216" o:allowincell="f" filled="f" stroked="f" strokecolor="lime" strokeweight=".25pt">
            <v:textbox inset="0,0,0,0">
              <w:txbxContent>
                <w:p w:rsidR="003B442F" w:rsidRDefault="003B442F">
                  <w:pPr>
                    <w:spacing w:line="160" w:lineRule="exact"/>
                    <w:jc w:val="left"/>
                    <w:rPr>
                      <w:rFonts w:cs="Miriam"/>
                      <w:noProof/>
                      <w:sz w:val="18"/>
                      <w:szCs w:val="18"/>
                      <w:rtl/>
                    </w:rPr>
                  </w:pPr>
                  <w:r>
                    <w:rPr>
                      <w:rFonts w:cs="Miriam"/>
                      <w:sz w:val="18"/>
                      <w:szCs w:val="18"/>
                      <w:rtl/>
                    </w:rPr>
                    <w:t>הס</w:t>
                  </w:r>
                  <w:r>
                    <w:rPr>
                      <w:rFonts w:cs="Miriam" w:hint="cs"/>
                      <w:sz w:val="18"/>
                      <w:szCs w:val="18"/>
                      <w:rtl/>
                    </w:rPr>
                    <w:t>כם הסוכנות הפיסקאלית</w:t>
                  </w:r>
                </w:p>
              </w:txbxContent>
            </v:textbox>
            <w10:anchorlock/>
          </v:rect>
        </w:pict>
      </w:r>
      <w:r>
        <w:rPr>
          <w:rStyle w:val="big-number"/>
          <w:rFonts w:cs="Miriam"/>
          <w:rtl/>
        </w:rPr>
        <w:t>4.</w:t>
      </w:r>
      <w:r>
        <w:rPr>
          <w:rStyle w:val="big-number"/>
          <w:rFonts w:cs="Miriam"/>
          <w:rtl/>
        </w:rPr>
        <w:tab/>
      </w:r>
      <w:r>
        <w:rPr>
          <w:rStyle w:val="default"/>
          <w:rFonts w:cs="FrankRuehl"/>
          <w:rtl/>
        </w:rPr>
        <w:t>הס</w:t>
      </w:r>
      <w:r>
        <w:rPr>
          <w:rStyle w:val="default"/>
          <w:rFonts w:cs="FrankRuehl" w:hint="cs"/>
          <w:rtl/>
        </w:rPr>
        <w:t>כם הסוכנות הפיסקאלית הנזכר בטופס איגרת החוב, פירושו ההסכ</w:t>
      </w:r>
      <w:r>
        <w:rPr>
          <w:rStyle w:val="default"/>
          <w:rFonts w:cs="FrankRuehl"/>
          <w:rtl/>
        </w:rPr>
        <w:t xml:space="preserve">ם </w:t>
      </w:r>
      <w:r>
        <w:rPr>
          <w:rStyle w:val="default"/>
          <w:rFonts w:cs="FrankRuehl" w:hint="cs"/>
          <w:rtl/>
        </w:rPr>
        <w:t>שבתוספת ב' ששר האוצר הרשה לעשותו בשם מדינת ישראל וכולל הסכמים לתיקונו או להחלפתו של ההסכם שייעשו מזמן לזמן בשם מדינת ישראל.</w:t>
      </w:r>
    </w:p>
    <w:p w:rsidR="003B442F" w:rsidRDefault="003B442F">
      <w:pPr>
        <w:pStyle w:val="P00"/>
        <w:spacing w:before="72"/>
        <w:ind w:left="0" w:right="1134"/>
        <w:rPr>
          <w:rStyle w:val="default"/>
          <w:rFonts w:cs="FrankRuehl"/>
          <w:rtl/>
        </w:rPr>
      </w:pPr>
      <w:bookmarkStart w:id="5" w:name="Seif4"/>
      <w:bookmarkEnd w:id="5"/>
      <w:r>
        <w:rPr>
          <w:lang w:val="he-IL"/>
        </w:rPr>
        <w:pict>
          <v:rect id="_x0000_s1030" style="position:absolute;left:0;text-align:left;margin-left:464.5pt;margin-top:8.05pt;width:75.05pt;height:22.1pt;z-index:251658240" o:allowincell="f" filled="f" stroked="f" strokecolor="lime" strokeweight=".25pt">
            <v:textbox inset="0,0,0,0">
              <w:txbxContent>
                <w:p w:rsidR="003B442F" w:rsidRDefault="003B442F">
                  <w:pPr>
                    <w:spacing w:line="160" w:lineRule="exact"/>
                    <w:jc w:val="left"/>
                    <w:rPr>
                      <w:rFonts w:cs="Miriam"/>
                      <w:noProof/>
                      <w:sz w:val="18"/>
                      <w:szCs w:val="18"/>
                      <w:rtl/>
                    </w:rPr>
                  </w:pPr>
                  <w:r>
                    <w:rPr>
                      <w:rFonts w:cs="Miriam"/>
                      <w:sz w:val="18"/>
                      <w:szCs w:val="18"/>
                      <w:rtl/>
                    </w:rPr>
                    <w:t>הא</w:t>
                  </w:r>
                  <w:r>
                    <w:rPr>
                      <w:rFonts w:cs="Miriam" w:hint="cs"/>
                      <w:sz w:val="18"/>
                      <w:szCs w:val="18"/>
                      <w:rtl/>
                    </w:rPr>
                    <w:t xml:space="preserve">יגרות ניתנות </w:t>
                  </w:r>
                  <w:r>
                    <w:rPr>
                      <w:rFonts w:cs="Miriam"/>
                      <w:sz w:val="18"/>
                      <w:szCs w:val="18"/>
                      <w:rtl/>
                    </w:rPr>
                    <w:t>ל</w:t>
                  </w:r>
                  <w:r>
                    <w:rPr>
                      <w:rFonts w:cs="Miriam" w:hint="cs"/>
                      <w:sz w:val="18"/>
                      <w:szCs w:val="18"/>
                      <w:rtl/>
                    </w:rPr>
                    <w:t>פדיון</w:t>
                  </w:r>
                </w:p>
              </w:txbxContent>
            </v:textbox>
            <w10:anchorlock/>
          </v:rect>
        </w:pict>
      </w:r>
      <w:r>
        <w:rPr>
          <w:rStyle w:val="big-number"/>
          <w:rFonts w:cs="Miriam"/>
          <w:rtl/>
        </w:rPr>
        <w:t>5.</w:t>
      </w:r>
      <w:r>
        <w:rPr>
          <w:rStyle w:val="big-number"/>
          <w:rFonts w:cs="Miriam"/>
          <w:rtl/>
        </w:rPr>
        <w:tab/>
      </w:r>
      <w:r>
        <w:rPr>
          <w:rStyle w:val="default"/>
          <w:rFonts w:cs="FrankRuehl"/>
          <w:rtl/>
        </w:rPr>
        <w:t>אי</w:t>
      </w:r>
      <w:r>
        <w:rPr>
          <w:rStyle w:val="default"/>
          <w:rFonts w:cs="FrankRuehl" w:hint="cs"/>
          <w:rtl/>
        </w:rPr>
        <w:t>גרות החוב יהיו ניתנות לפדיון בכל עת לפי רצון המדינה בהתאם לתנאים הקבועים בהן ובסימן ה' להסכם הסוכנות הפיסקאלית.</w:t>
      </w:r>
    </w:p>
    <w:p w:rsidR="003B442F" w:rsidRDefault="003B442F">
      <w:pPr>
        <w:pStyle w:val="P00"/>
        <w:spacing w:before="72"/>
        <w:ind w:left="0" w:right="1134"/>
        <w:rPr>
          <w:rStyle w:val="default"/>
          <w:rFonts w:cs="FrankRuehl"/>
          <w:rtl/>
        </w:rPr>
      </w:pPr>
      <w:bookmarkStart w:id="6" w:name="Seif5"/>
      <w:bookmarkEnd w:id="6"/>
      <w:r>
        <w:rPr>
          <w:lang w:val="he-IL"/>
        </w:rPr>
        <w:pict>
          <v:rect id="_x0000_s1031" style="position:absolute;left:0;text-align:left;margin-left:464.5pt;margin-top:8.05pt;width:75.05pt;height:11.6pt;z-index:251659264" o:allowincell="f" filled="f" stroked="f" strokecolor="lime" strokeweight=".25pt">
            <v:textbox inset="0,0,0,0">
              <w:txbxContent>
                <w:p w:rsidR="003B442F" w:rsidRDefault="003B442F">
                  <w:pPr>
                    <w:spacing w:line="160" w:lineRule="exact"/>
                    <w:jc w:val="left"/>
                    <w:rPr>
                      <w:rFonts w:cs="Miriam"/>
                      <w:noProof/>
                      <w:sz w:val="18"/>
                      <w:szCs w:val="18"/>
                      <w:rtl/>
                    </w:rPr>
                  </w:pPr>
                  <w:r>
                    <w:rPr>
                      <w:rFonts w:cs="Miriam"/>
                      <w:sz w:val="18"/>
                      <w:szCs w:val="18"/>
                      <w:rtl/>
                    </w:rPr>
                    <w:t>הד</w:t>
                  </w:r>
                  <w:r>
                    <w:rPr>
                      <w:rFonts w:cs="Miriam" w:hint="cs"/>
                      <w:sz w:val="18"/>
                      <w:szCs w:val="18"/>
                      <w:rtl/>
                    </w:rPr>
                    <w:t>פסת איגרות החוב</w:t>
                  </w:r>
                </w:p>
              </w:txbxContent>
            </v:textbox>
            <w10:anchorlock/>
          </v:rect>
        </w:pict>
      </w:r>
      <w:r>
        <w:rPr>
          <w:rStyle w:val="big-number"/>
          <w:rFonts w:cs="Miriam"/>
          <w:rtl/>
        </w:rPr>
        <w:t>6.</w:t>
      </w:r>
      <w:r>
        <w:rPr>
          <w:rStyle w:val="big-number"/>
          <w:rFonts w:cs="Miriam"/>
          <w:rtl/>
        </w:rPr>
        <w:tab/>
      </w:r>
      <w:r>
        <w:rPr>
          <w:rStyle w:val="default"/>
          <w:rFonts w:cs="FrankRuehl"/>
          <w:rtl/>
        </w:rPr>
        <w:t>טפ</w:t>
      </w:r>
      <w:r>
        <w:rPr>
          <w:rStyle w:val="default"/>
          <w:rFonts w:cs="FrankRuehl" w:hint="cs"/>
          <w:rtl/>
        </w:rPr>
        <w:t>סי איגרות החוב יוחקו, יודפסו, יודפסו בליטוגרפיה או יוכנו בכל דרך אח</w:t>
      </w:r>
      <w:r>
        <w:rPr>
          <w:rStyle w:val="default"/>
          <w:rFonts w:cs="FrankRuehl"/>
          <w:rtl/>
        </w:rPr>
        <w:t>רת</w:t>
      </w:r>
      <w:r>
        <w:rPr>
          <w:rStyle w:val="default"/>
          <w:rFonts w:cs="FrankRuehl" w:hint="cs"/>
          <w:rtl/>
        </w:rPr>
        <w:t>; עד לחקיקתן, הדפסתן, הדפסתן בליטוגרפיה או הכנתן בכל דרך אחרת, מותר להוציא איגרות זמניות ולאחר שהאיגרות הסופיות יהיו מוכנות, יוחלפו האיגרות הזמניות במספר כולל שווה של איגרות סופיות בעלות ערכים מורשים.</w:t>
      </w:r>
    </w:p>
    <w:p w:rsidR="003B442F" w:rsidRDefault="003B442F">
      <w:pPr>
        <w:pStyle w:val="P00"/>
        <w:spacing w:before="72"/>
        <w:ind w:left="0" w:right="1134"/>
        <w:rPr>
          <w:rStyle w:val="default"/>
          <w:rFonts w:cs="FrankRuehl"/>
          <w:rtl/>
        </w:rPr>
      </w:pPr>
      <w:bookmarkStart w:id="7" w:name="Seif6"/>
      <w:bookmarkEnd w:id="7"/>
      <w:r>
        <w:rPr>
          <w:lang w:val="he-IL"/>
        </w:rPr>
        <w:pict>
          <v:rect id="_x0000_s1032" style="position:absolute;left:0;text-align:left;margin-left:464.5pt;margin-top:8.05pt;width:75.05pt;height:14.25pt;z-index:251660288" o:allowincell="f" filled="f" stroked="f" strokecolor="lime" strokeweight=".25pt">
            <v:textbox inset="0,0,0,0">
              <w:txbxContent>
                <w:p w:rsidR="003B442F" w:rsidRDefault="003B442F">
                  <w:pPr>
                    <w:spacing w:line="160" w:lineRule="exact"/>
                    <w:jc w:val="left"/>
                    <w:rPr>
                      <w:rFonts w:cs="Miriam"/>
                      <w:noProof/>
                      <w:sz w:val="18"/>
                      <w:szCs w:val="18"/>
                      <w:rtl/>
                    </w:rPr>
                  </w:pPr>
                  <w:r>
                    <w:rPr>
                      <w:rFonts w:cs="Miriam"/>
                      <w:sz w:val="18"/>
                      <w:szCs w:val="18"/>
                      <w:rtl/>
                    </w:rPr>
                    <w:t>שפ</w:t>
                  </w:r>
                  <w:r>
                    <w:rPr>
                      <w:rFonts w:cs="Miriam" w:hint="cs"/>
                      <w:sz w:val="18"/>
                      <w:szCs w:val="18"/>
                      <w:rtl/>
                    </w:rPr>
                    <w:t>ת ההוצאה</w:t>
                  </w:r>
                </w:p>
              </w:txbxContent>
            </v:textbox>
            <w10:anchorlock/>
          </v:rect>
        </w:pict>
      </w:r>
      <w:r>
        <w:rPr>
          <w:rStyle w:val="big-number"/>
          <w:rFonts w:cs="Miriam"/>
          <w:rtl/>
        </w:rPr>
        <w:t>7.</w:t>
      </w:r>
      <w:r>
        <w:rPr>
          <w:rStyle w:val="big-number"/>
          <w:rFonts w:cs="Miriam"/>
          <w:rtl/>
        </w:rPr>
        <w:tab/>
      </w:r>
      <w:r>
        <w:rPr>
          <w:rStyle w:val="default"/>
          <w:rFonts w:cs="FrankRuehl"/>
          <w:rtl/>
        </w:rPr>
        <w:t>אי</w:t>
      </w:r>
      <w:r>
        <w:rPr>
          <w:rStyle w:val="default"/>
          <w:rFonts w:cs="FrankRuehl" w:hint="cs"/>
          <w:rtl/>
        </w:rPr>
        <w:t>גרות המוצאות על פי תקנות אלה אפשר לערוך אותן בע</w:t>
      </w:r>
      <w:r>
        <w:rPr>
          <w:rStyle w:val="default"/>
          <w:rFonts w:cs="FrankRuehl"/>
          <w:rtl/>
        </w:rPr>
        <w:t>בר</w:t>
      </w:r>
      <w:r>
        <w:rPr>
          <w:rStyle w:val="default"/>
          <w:rFonts w:cs="FrankRuehl" w:hint="cs"/>
          <w:rtl/>
        </w:rPr>
        <w:t>ית, באנגלית או בצרפתית או בשתים מן השפות האלה כאחת.</w:t>
      </w:r>
    </w:p>
    <w:p w:rsidR="003B442F" w:rsidRDefault="003B442F" w:rsidP="00FF298A">
      <w:pPr>
        <w:pStyle w:val="P00"/>
        <w:spacing w:before="72"/>
        <w:ind w:left="0" w:right="1134"/>
        <w:rPr>
          <w:rStyle w:val="default"/>
          <w:rFonts w:cs="FrankRuehl"/>
          <w:rtl/>
        </w:rPr>
      </w:pPr>
      <w:bookmarkStart w:id="8" w:name="Seif7"/>
      <w:bookmarkEnd w:id="8"/>
      <w:r>
        <w:rPr>
          <w:lang w:val="he-IL"/>
        </w:rPr>
        <w:pict>
          <v:rect id="_x0000_s1033" style="position:absolute;left:0;text-align:left;margin-left:464.5pt;margin-top:8.05pt;width:75.05pt;height:14.95pt;z-index:251661312" o:allowincell="f" filled="f" stroked="f" strokecolor="lime" strokeweight=".25pt">
            <v:textbox inset="0,0,0,0">
              <w:txbxContent>
                <w:p w:rsidR="003B442F" w:rsidRDefault="003B442F">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8.</w:t>
      </w:r>
      <w:r>
        <w:rPr>
          <w:rStyle w:val="big-number"/>
          <w:rFonts w:cs="Miriam"/>
          <w:rtl/>
        </w:rPr>
        <w:tab/>
      </w:r>
      <w:r>
        <w:rPr>
          <w:rStyle w:val="default"/>
          <w:rFonts w:cs="FrankRuehl"/>
          <w:rtl/>
        </w:rPr>
        <w:t>לת</w:t>
      </w:r>
      <w:r>
        <w:rPr>
          <w:rStyle w:val="default"/>
          <w:rFonts w:cs="FrankRuehl" w:hint="cs"/>
          <w:rtl/>
        </w:rPr>
        <w:t>קנות אלה ייקרא "תקנות איגרות מדינת ישראל (הנפק שני להשקעת פיתוח), תשכ"ח</w:t>
      </w:r>
      <w:r w:rsidR="00FF298A">
        <w:rPr>
          <w:rStyle w:val="default"/>
          <w:rFonts w:cs="FrankRuehl" w:hint="cs"/>
          <w:rtl/>
        </w:rPr>
        <w:t>-</w:t>
      </w:r>
      <w:r>
        <w:rPr>
          <w:rStyle w:val="default"/>
          <w:rFonts w:cs="FrankRuehl"/>
          <w:rtl/>
        </w:rPr>
        <w:t>1968".</w:t>
      </w:r>
    </w:p>
    <w:p w:rsidR="003B442F" w:rsidRDefault="003B442F">
      <w:pPr>
        <w:pStyle w:val="P00"/>
        <w:spacing w:before="72"/>
        <w:ind w:left="0" w:right="1134"/>
        <w:rPr>
          <w:rStyle w:val="default"/>
          <w:rFonts w:cs="FrankRuehl" w:hint="cs"/>
          <w:rtl/>
        </w:rPr>
      </w:pPr>
    </w:p>
    <w:p w:rsidR="00FF298A" w:rsidRDefault="00FF298A">
      <w:pPr>
        <w:pStyle w:val="P00"/>
        <w:spacing w:before="72"/>
        <w:ind w:left="0" w:right="1134"/>
        <w:rPr>
          <w:rStyle w:val="default"/>
          <w:rFonts w:cs="FrankRuehl" w:hint="cs"/>
          <w:rtl/>
        </w:rPr>
      </w:pPr>
    </w:p>
    <w:p w:rsidR="003B442F" w:rsidRDefault="003B442F" w:rsidP="00EA20F2">
      <w:pPr>
        <w:pStyle w:val="sig-0"/>
        <w:tabs>
          <w:tab w:val="clear" w:pos="4820"/>
          <w:tab w:val="center" w:pos="5670"/>
        </w:tabs>
        <w:spacing w:before="72"/>
        <w:ind w:left="0" w:right="1134"/>
        <w:rPr>
          <w:rFonts w:cs="FrankRuehl"/>
          <w:sz w:val="26"/>
          <w:rtl/>
        </w:rPr>
      </w:pPr>
      <w:r>
        <w:rPr>
          <w:rFonts w:cs="FrankRuehl"/>
          <w:sz w:val="26"/>
          <w:rtl/>
        </w:rPr>
        <w:t xml:space="preserve">כ' </w:t>
      </w:r>
      <w:r>
        <w:rPr>
          <w:rFonts w:cs="FrankRuehl" w:hint="cs"/>
          <w:sz w:val="26"/>
          <w:rtl/>
        </w:rPr>
        <w:t>בתמוז תשכ"ח (16 ביולי 1968)</w:t>
      </w:r>
      <w:r>
        <w:rPr>
          <w:rFonts w:cs="FrankRuehl"/>
          <w:sz w:val="26"/>
          <w:rtl/>
        </w:rPr>
        <w:tab/>
        <w:t>פ</w:t>
      </w:r>
      <w:r>
        <w:rPr>
          <w:rFonts w:cs="FrankRuehl" w:hint="cs"/>
          <w:sz w:val="26"/>
          <w:rtl/>
        </w:rPr>
        <w:t>נחס ספיר</w:t>
      </w:r>
    </w:p>
    <w:p w:rsidR="003B442F" w:rsidRDefault="003B442F" w:rsidP="00EA20F2">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 האוצר</w:t>
      </w:r>
    </w:p>
    <w:p w:rsidR="00FF298A" w:rsidRDefault="00FF298A" w:rsidP="00FF298A">
      <w:pPr>
        <w:pStyle w:val="P00"/>
        <w:spacing w:before="72"/>
        <w:ind w:left="0" w:right="1134"/>
        <w:rPr>
          <w:rStyle w:val="default"/>
          <w:rFonts w:cs="FrankRuehl" w:hint="cs"/>
          <w:rtl/>
        </w:rPr>
      </w:pPr>
    </w:p>
    <w:p w:rsidR="00EA20F2" w:rsidRPr="00FF298A" w:rsidRDefault="00EA20F2" w:rsidP="00FF298A">
      <w:pPr>
        <w:pStyle w:val="P00"/>
        <w:spacing w:before="72"/>
        <w:ind w:left="0" w:right="1134"/>
        <w:rPr>
          <w:rStyle w:val="default"/>
          <w:rFonts w:cs="FrankRuehl" w:hint="cs"/>
          <w:rtl/>
        </w:rPr>
      </w:pPr>
    </w:p>
    <w:p w:rsidR="003B442F" w:rsidRPr="00FF298A" w:rsidRDefault="003B442F" w:rsidP="00FF298A">
      <w:pPr>
        <w:pStyle w:val="P00"/>
        <w:spacing w:before="72"/>
        <w:ind w:left="0" w:right="1134"/>
        <w:rPr>
          <w:rStyle w:val="default"/>
          <w:rFonts w:cs="FrankRuehl"/>
          <w:rtl/>
        </w:rPr>
      </w:pPr>
      <w:bookmarkStart w:id="9" w:name="LawPartEnd"/>
    </w:p>
    <w:bookmarkEnd w:id="9"/>
    <w:p w:rsidR="003B442F" w:rsidRPr="00FF298A" w:rsidRDefault="003B442F" w:rsidP="00FF298A">
      <w:pPr>
        <w:pStyle w:val="P00"/>
        <w:spacing w:before="72"/>
        <w:ind w:left="0" w:right="1134"/>
        <w:rPr>
          <w:rStyle w:val="default"/>
          <w:rFonts w:cs="FrankRuehl"/>
          <w:rtl/>
        </w:rPr>
      </w:pPr>
    </w:p>
    <w:sectPr w:rsidR="003B442F" w:rsidRPr="00FF298A">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94F5C" w:rsidRDefault="00494F5C">
      <w:pPr>
        <w:spacing w:line="240" w:lineRule="auto"/>
      </w:pPr>
      <w:r>
        <w:separator/>
      </w:r>
    </w:p>
  </w:endnote>
  <w:endnote w:type="continuationSeparator" w:id="0">
    <w:p w:rsidR="00494F5C" w:rsidRDefault="00494F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442F" w:rsidRDefault="003B442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3B442F" w:rsidRDefault="003B442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3B442F" w:rsidRDefault="003B442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F298A">
      <w:rPr>
        <w:rFonts w:cs="TopType Jerushalmi"/>
        <w:noProof/>
        <w:color w:val="000000"/>
        <w:sz w:val="14"/>
        <w:szCs w:val="14"/>
      </w:rPr>
      <w:t>C:\Yael\hakika\Revadim\006_013.doc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442F" w:rsidRDefault="003B442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A20F2">
      <w:rPr>
        <w:rFonts w:hAnsi="FrankRuehl" w:cs="FrankRuehl"/>
        <w:noProof/>
        <w:sz w:val="24"/>
        <w:szCs w:val="24"/>
        <w:rtl/>
      </w:rPr>
      <w:t>2</w:t>
    </w:r>
    <w:r>
      <w:rPr>
        <w:rFonts w:hAnsi="FrankRuehl" w:cs="FrankRuehl"/>
        <w:sz w:val="24"/>
        <w:szCs w:val="24"/>
        <w:rtl/>
      </w:rPr>
      <w:fldChar w:fldCharType="end"/>
    </w:r>
  </w:p>
  <w:p w:rsidR="003B442F" w:rsidRDefault="003B442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3B442F" w:rsidRDefault="003B442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F298A">
      <w:rPr>
        <w:rFonts w:cs="TopType Jerushalmi"/>
        <w:noProof/>
        <w:color w:val="000000"/>
        <w:sz w:val="14"/>
        <w:szCs w:val="14"/>
      </w:rPr>
      <w:t>C:\Yael\hakika\Revadim\006_013.doc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94F5C" w:rsidRDefault="00494F5C" w:rsidP="00FF298A">
      <w:pPr>
        <w:spacing w:before="60" w:line="240" w:lineRule="auto"/>
        <w:ind w:right="1134"/>
      </w:pPr>
      <w:r>
        <w:separator/>
      </w:r>
    </w:p>
  </w:footnote>
  <w:footnote w:type="continuationSeparator" w:id="0">
    <w:p w:rsidR="00494F5C" w:rsidRDefault="00494F5C">
      <w:pPr>
        <w:spacing w:line="240" w:lineRule="auto"/>
      </w:pPr>
      <w:r>
        <w:continuationSeparator/>
      </w:r>
    </w:p>
  </w:footnote>
  <w:footnote w:id="1">
    <w:p w:rsidR="00FF298A" w:rsidRDefault="00FF298A" w:rsidP="00FF298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FF298A">
        <w:rPr>
          <w:rFonts w:cs="FrankRuehl"/>
          <w:rtl/>
        </w:rPr>
        <w:t xml:space="preserve">* </w:t>
      </w:r>
      <w:r>
        <w:rPr>
          <w:rFonts w:cs="FrankRuehl"/>
          <w:rtl/>
        </w:rPr>
        <w:t>פו</w:t>
      </w:r>
      <w:r>
        <w:rPr>
          <w:rFonts w:cs="FrankRuehl" w:hint="cs"/>
          <w:rtl/>
        </w:rPr>
        <w:t xml:space="preserve">רסמו </w:t>
      </w:r>
      <w:hyperlink r:id="rId1" w:history="1">
        <w:r w:rsidRPr="00D968D3">
          <w:rPr>
            <w:rStyle w:val="Hyperlink"/>
            <w:rFonts w:cs="FrankRuehl" w:hint="cs"/>
            <w:rtl/>
          </w:rPr>
          <w:t>ק"ת תשכ"ח מס' 2257</w:t>
        </w:r>
      </w:hyperlink>
      <w:r>
        <w:rPr>
          <w:rFonts w:cs="FrankRuehl" w:hint="cs"/>
          <w:rtl/>
        </w:rPr>
        <w:t xml:space="preserve"> מיום 22.7.1968 עמ' 1928.</w:t>
      </w:r>
    </w:p>
    <w:p w:rsidR="00FF298A" w:rsidRPr="00FF298A" w:rsidRDefault="00FF298A" w:rsidP="00FF298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ת</w:t>
      </w:r>
      <w:r>
        <w:rPr>
          <w:rFonts w:cs="FrankRuehl"/>
          <w:rtl/>
        </w:rPr>
        <w:t>ו</w:t>
      </w:r>
      <w:r>
        <w:rPr>
          <w:rFonts w:cs="FrankRuehl" w:hint="cs"/>
          <w:rtl/>
        </w:rPr>
        <w:t xml:space="preserve">קנו </w:t>
      </w:r>
      <w:hyperlink r:id="rId2" w:history="1">
        <w:r w:rsidRPr="00D968D3">
          <w:rPr>
            <w:rStyle w:val="Hyperlink"/>
            <w:rFonts w:cs="FrankRuehl" w:hint="cs"/>
            <w:rtl/>
          </w:rPr>
          <w:t>ק"ת תש"ל מס' 2606</w:t>
        </w:r>
      </w:hyperlink>
      <w:r>
        <w:rPr>
          <w:rFonts w:cs="FrankRuehl" w:hint="cs"/>
          <w:rtl/>
        </w:rPr>
        <w:t xml:space="preserve"> מיום 31.8.1970</w:t>
      </w:r>
      <w:r>
        <w:rPr>
          <w:rFonts w:cs="FrankRuehl"/>
          <w:rtl/>
        </w:rPr>
        <w:t xml:space="preserve"> </w:t>
      </w:r>
      <w:r>
        <w:rPr>
          <w:rFonts w:cs="FrankRuehl" w:hint="cs"/>
          <w:rtl/>
        </w:rPr>
        <w:t xml:space="preserve">עמ' 2200 </w:t>
      </w:r>
      <w:r>
        <w:rPr>
          <w:rFonts w:cs="FrankRuehl"/>
          <w:rtl/>
        </w:rPr>
        <w:t>–</w:t>
      </w:r>
      <w:r>
        <w:rPr>
          <w:rFonts w:cs="FrankRuehl" w:hint="cs"/>
          <w:rtl/>
        </w:rPr>
        <w:t xml:space="preserve"> תק' תש"ל-1970.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442F" w:rsidRDefault="003B442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איגרות מדינת ישראל (הנפק שני להשקעת פיתוח), תשכ"ח–1968</w:t>
    </w:r>
  </w:p>
  <w:p w:rsidR="003B442F" w:rsidRDefault="003B442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B442F" w:rsidRDefault="003B442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442F" w:rsidRDefault="003B442F" w:rsidP="00FF298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איגרות מדינת ישראל (הנפק שני להשקעת פיתוח), תשכ"ח</w:t>
    </w:r>
    <w:r w:rsidR="00FF298A">
      <w:rPr>
        <w:rFonts w:hAnsi="FrankRuehl" w:cs="FrankRuehl" w:hint="cs"/>
        <w:color w:val="000000"/>
        <w:sz w:val="28"/>
        <w:szCs w:val="28"/>
        <w:rtl/>
      </w:rPr>
      <w:t>-</w:t>
    </w:r>
    <w:r>
      <w:rPr>
        <w:rFonts w:hAnsi="FrankRuehl" w:cs="FrankRuehl"/>
        <w:color w:val="000000"/>
        <w:sz w:val="28"/>
        <w:szCs w:val="28"/>
        <w:rtl/>
      </w:rPr>
      <w:t>1968</w:t>
    </w:r>
  </w:p>
  <w:p w:rsidR="003B442F" w:rsidRDefault="003B442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B442F" w:rsidRDefault="003B442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968D3"/>
    <w:rsid w:val="003B442F"/>
    <w:rsid w:val="00494F5C"/>
    <w:rsid w:val="004B1091"/>
    <w:rsid w:val="007004FC"/>
    <w:rsid w:val="008F2582"/>
    <w:rsid w:val="009B02D8"/>
    <w:rsid w:val="00C44148"/>
    <w:rsid w:val="00C60802"/>
    <w:rsid w:val="00D1772F"/>
    <w:rsid w:val="00D968D3"/>
    <w:rsid w:val="00EA20F2"/>
    <w:rsid w:val="00ED4442"/>
    <w:rsid w:val="00EE3D18"/>
    <w:rsid w:val="00FD5904"/>
    <w:rsid w:val="00FF298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E5559C0-A863-471F-B799-F5F3E62F4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FF298A"/>
    <w:rPr>
      <w:sz w:val="20"/>
      <w:szCs w:val="20"/>
    </w:rPr>
  </w:style>
  <w:style w:type="character" w:styleId="a6">
    <w:name w:val="footnote reference"/>
    <w:basedOn w:val="a0"/>
    <w:semiHidden/>
    <w:rsid w:val="00FF29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2606.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2606.pdf" TargetMode="External"/><Relationship Id="rId1" Type="http://schemas.openxmlformats.org/officeDocument/2006/relationships/hyperlink" Target="http://www.nevo.co.il/Law_word/law06/TAK-225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פרק 6</vt:lpstr>
    </vt:vector>
  </TitlesOfParts>
  <Company/>
  <LinksUpToDate>false</LinksUpToDate>
  <CharactersWithSpaces>3546</CharactersWithSpaces>
  <SharedDoc>false</SharedDoc>
  <HLinks>
    <vt:vector size="66" baseType="variant">
      <vt:variant>
        <vt:i4>8060936</vt:i4>
      </vt:variant>
      <vt:variant>
        <vt:i4>48</vt:i4>
      </vt:variant>
      <vt:variant>
        <vt:i4>0</vt:i4>
      </vt:variant>
      <vt:variant>
        <vt:i4>5</vt:i4>
      </vt:variant>
      <vt:variant>
        <vt:lpwstr>http://www.nevo.co.il/Law_word/law06/TAK-2606.pdf</vt:lpwstr>
      </vt:variant>
      <vt:variant>
        <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8060936</vt:i4>
      </vt:variant>
      <vt:variant>
        <vt:i4>3</vt:i4>
      </vt:variant>
      <vt:variant>
        <vt:i4>0</vt:i4>
      </vt:variant>
      <vt:variant>
        <vt:i4>5</vt:i4>
      </vt:variant>
      <vt:variant>
        <vt:lpwstr>http://www.nevo.co.il/Law_word/law06/TAK-2606.pdf</vt:lpwstr>
      </vt:variant>
      <vt:variant>
        <vt:lpwstr/>
      </vt:variant>
      <vt:variant>
        <vt:i4>8257549</vt:i4>
      </vt:variant>
      <vt:variant>
        <vt:i4>0</vt:i4>
      </vt:variant>
      <vt:variant>
        <vt:i4>0</vt:i4>
      </vt:variant>
      <vt:variant>
        <vt:i4>5</vt:i4>
      </vt:variant>
      <vt:variant>
        <vt:lpwstr>http://www.nevo.co.il/Law_word/law06/TAK-2257.pdf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6</dc:title>
  <dc:subject/>
  <dc:creator>eli</dc:creator>
  <cp:keywords/>
  <dc:description/>
  <cp:lastModifiedBy>Shimon Doodkin</cp:lastModifiedBy>
  <cp:revision>2</cp:revision>
  <dcterms:created xsi:type="dcterms:W3CDTF">2023-06-05T20:15:00Z</dcterms:created>
  <dcterms:modified xsi:type="dcterms:W3CDTF">2023-06-05T20:15:00Z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0006</vt:lpwstr>
  </property>
  <property fmtid="{D5CDD505-2E9C-101B-9397-08002B2CF9AE}" pid="3" name="CHNAME">
    <vt:lpwstr>אגרות מדינת ישראל</vt:lpwstr>
  </property>
  <property fmtid="{D5CDD505-2E9C-101B-9397-08002B2CF9AE}" pid="4" name="LAWNAME">
    <vt:lpwstr>תקנות איגרות מדינת ישראל (הנפק שני להשקעת פיתוח), תשכ"ח-1968</vt:lpwstr>
  </property>
  <property fmtid="{D5CDD505-2E9C-101B-9397-08002B2CF9AE}" pid="5" name="LAWNUMBER">
    <vt:lpwstr>0013</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כספים</vt:lpwstr>
  </property>
  <property fmtid="{D5CDD505-2E9C-101B-9397-08002B2CF9AE}" pid="9" name="NOSE31">
    <vt:lpwstr>מילווים</vt:lpwstr>
  </property>
  <property fmtid="{D5CDD505-2E9C-101B-9397-08002B2CF9AE}" pid="10" name="NOSE41">
    <vt:lpwstr/>
  </property>
  <property fmtid="{D5CDD505-2E9C-101B-9397-08002B2CF9AE}" pid="11" name="NOSE12">
    <vt:lpwstr>מסים</vt:lpwstr>
  </property>
  <property fmtid="{D5CDD505-2E9C-101B-9397-08002B2CF9AE}" pid="12" name="NOSE22">
    <vt:lpwstr>מילווים</vt:lpwstr>
  </property>
  <property fmtid="{D5CDD505-2E9C-101B-9397-08002B2CF9AE}" pid="13" name="NOSE32">
    <vt:lpwstr/>
  </property>
  <property fmtid="{D5CDD505-2E9C-101B-9397-08002B2CF9AE}" pid="14" name="NOSE42">
    <vt:lpwstr/>
  </property>
  <property fmtid="{D5CDD505-2E9C-101B-9397-08002B2CF9AE}" pid="15" name="NOSE13">
    <vt:lpwstr>משפט פרטי וכלכלה</vt:lpwstr>
  </property>
  <property fmtid="{D5CDD505-2E9C-101B-9397-08002B2CF9AE}" pid="16" name="NOSE23">
    <vt:lpwstr>כספים</vt:lpwstr>
  </property>
  <property fmtid="{D5CDD505-2E9C-101B-9397-08002B2CF9AE}" pid="17" name="NOSE33">
    <vt:lpwstr>אגרות חוב</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איגרות מדינת ישראל (הנפק שני להשקעת פיתוח)</vt:lpwstr>
  </property>
  <property fmtid="{D5CDD505-2E9C-101B-9397-08002B2CF9AE}" pid="48" name="MEKOR_SAIF1">
    <vt:lpwstr>11X</vt:lpwstr>
  </property>
</Properties>
</file>