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9726" w14:textId="77777777" w:rsidR="00E67A34" w:rsidRDefault="00E67A34" w:rsidP="00FB198C">
      <w:pPr>
        <w:pStyle w:val="big-header"/>
        <w:ind w:left="0" w:right="1134"/>
        <w:rPr>
          <w:rFonts w:cs="FrankRuehl"/>
          <w:sz w:val="32"/>
          <w:rtl/>
        </w:rPr>
      </w:pPr>
      <w:r>
        <w:rPr>
          <w:rFonts w:cs="FrankRuehl"/>
          <w:sz w:val="32"/>
          <w:rtl/>
        </w:rPr>
        <w:t>תקנות איגרות מדינת ישראל (הנפק שער נייד) (הנפקה תשיעית), תשנ"ב</w:t>
      </w:r>
      <w:r w:rsidR="00FB198C">
        <w:rPr>
          <w:rFonts w:cs="FrankRuehl" w:hint="cs"/>
          <w:sz w:val="32"/>
          <w:rtl/>
        </w:rPr>
        <w:t>-</w:t>
      </w:r>
      <w:r>
        <w:rPr>
          <w:rFonts w:cs="FrankRuehl"/>
          <w:sz w:val="32"/>
          <w:rtl/>
        </w:rPr>
        <w:t>1992</w:t>
      </w:r>
    </w:p>
    <w:p w14:paraId="24D68C7C" w14:textId="77777777" w:rsidR="0089606E" w:rsidRPr="0089606E" w:rsidRDefault="0089606E" w:rsidP="0089606E">
      <w:pPr>
        <w:spacing w:line="320" w:lineRule="auto"/>
        <w:jc w:val="left"/>
        <w:rPr>
          <w:rFonts w:cs="FrankRuehl"/>
          <w:szCs w:val="26"/>
          <w:rtl/>
        </w:rPr>
      </w:pPr>
    </w:p>
    <w:p w14:paraId="55D8384D" w14:textId="77777777" w:rsidR="0089606E" w:rsidRDefault="0089606E" w:rsidP="0089606E">
      <w:pPr>
        <w:spacing w:line="320" w:lineRule="auto"/>
        <w:jc w:val="left"/>
        <w:rPr>
          <w:rtl/>
        </w:rPr>
      </w:pPr>
    </w:p>
    <w:p w14:paraId="62F4D835" w14:textId="77777777" w:rsidR="0089606E" w:rsidRDefault="0089606E" w:rsidP="0089606E">
      <w:pPr>
        <w:spacing w:line="320" w:lineRule="auto"/>
        <w:jc w:val="left"/>
        <w:rPr>
          <w:rFonts w:cs="FrankRuehl"/>
          <w:szCs w:val="26"/>
          <w:rtl/>
        </w:rPr>
      </w:pPr>
      <w:r w:rsidRPr="0089606E">
        <w:rPr>
          <w:rFonts w:cs="Miriam"/>
          <w:szCs w:val="22"/>
          <w:rtl/>
        </w:rPr>
        <w:t>משפט פרטי וכלכלה</w:t>
      </w:r>
      <w:r w:rsidRPr="0089606E">
        <w:rPr>
          <w:rFonts w:cs="FrankRuehl"/>
          <w:szCs w:val="26"/>
          <w:rtl/>
        </w:rPr>
        <w:t xml:space="preserve"> – כספים – מילווים</w:t>
      </w:r>
    </w:p>
    <w:p w14:paraId="66175B38" w14:textId="77777777" w:rsidR="0089606E" w:rsidRDefault="0089606E" w:rsidP="0089606E">
      <w:pPr>
        <w:spacing w:line="320" w:lineRule="auto"/>
        <w:jc w:val="left"/>
        <w:rPr>
          <w:rFonts w:cs="FrankRuehl"/>
          <w:szCs w:val="26"/>
          <w:rtl/>
        </w:rPr>
      </w:pPr>
      <w:r w:rsidRPr="0089606E">
        <w:rPr>
          <w:rFonts w:cs="Miriam"/>
          <w:szCs w:val="22"/>
          <w:rtl/>
        </w:rPr>
        <w:t>מסים</w:t>
      </w:r>
      <w:r w:rsidRPr="0089606E">
        <w:rPr>
          <w:rFonts w:cs="FrankRuehl"/>
          <w:szCs w:val="26"/>
          <w:rtl/>
        </w:rPr>
        <w:t xml:space="preserve"> – מילווים</w:t>
      </w:r>
    </w:p>
    <w:p w14:paraId="291357C0" w14:textId="77777777" w:rsidR="00782E20" w:rsidRPr="0089606E" w:rsidRDefault="0089606E" w:rsidP="0089606E">
      <w:pPr>
        <w:spacing w:line="320" w:lineRule="auto"/>
        <w:jc w:val="left"/>
        <w:rPr>
          <w:rFonts w:cs="Miriam"/>
          <w:szCs w:val="22"/>
          <w:rtl/>
        </w:rPr>
      </w:pPr>
      <w:r w:rsidRPr="0089606E">
        <w:rPr>
          <w:rFonts w:cs="Miriam"/>
          <w:szCs w:val="22"/>
          <w:rtl/>
        </w:rPr>
        <w:t>משפט פרטי וכלכלה</w:t>
      </w:r>
      <w:r w:rsidRPr="0089606E">
        <w:rPr>
          <w:rFonts w:cs="FrankRuehl"/>
          <w:szCs w:val="26"/>
          <w:rtl/>
        </w:rPr>
        <w:t xml:space="preserve"> – כספים – אגרות חוב</w:t>
      </w:r>
    </w:p>
    <w:p w14:paraId="661A2382" w14:textId="77777777" w:rsidR="00E67A34" w:rsidRDefault="00E67A3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67A34" w14:paraId="3544979D" w14:textId="77777777">
        <w:tblPrEx>
          <w:tblCellMar>
            <w:top w:w="0" w:type="dxa"/>
            <w:bottom w:w="0" w:type="dxa"/>
          </w:tblCellMar>
        </w:tblPrEx>
        <w:tc>
          <w:tcPr>
            <w:tcW w:w="850" w:type="dxa"/>
          </w:tcPr>
          <w:p w14:paraId="13D12C5D" w14:textId="77777777" w:rsidR="00E67A34" w:rsidRDefault="00E67A3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B198C">
              <w:rPr>
                <w:noProof/>
                <w:sz w:val="24"/>
                <w:rtl/>
              </w:rPr>
              <w:t>2</w:t>
            </w:r>
            <w:r>
              <w:rPr>
                <w:sz w:val="24"/>
                <w:rtl/>
              </w:rPr>
              <w:fldChar w:fldCharType="end"/>
            </w:r>
          </w:p>
        </w:tc>
        <w:tc>
          <w:tcPr>
            <w:tcW w:w="567" w:type="dxa"/>
          </w:tcPr>
          <w:p w14:paraId="5A9FA21B" w14:textId="77777777" w:rsidR="00E67A34" w:rsidRDefault="00E67A34">
            <w:pPr>
              <w:spacing w:line="240" w:lineRule="auto"/>
              <w:rPr>
                <w:sz w:val="24"/>
              </w:rPr>
            </w:pPr>
            <w:hyperlink w:anchor="Seif0" w:tooltip="סוג איגרות החוב" w:history="1">
              <w:r>
                <w:rPr>
                  <w:rStyle w:val="Hyperlink"/>
                </w:rPr>
                <w:t>Go</w:t>
              </w:r>
            </w:hyperlink>
          </w:p>
        </w:tc>
        <w:tc>
          <w:tcPr>
            <w:tcW w:w="5669" w:type="dxa"/>
          </w:tcPr>
          <w:p w14:paraId="391ADA19" w14:textId="77777777" w:rsidR="00E67A34" w:rsidRDefault="00E67A34">
            <w:pPr>
              <w:spacing w:line="240" w:lineRule="auto"/>
              <w:rPr>
                <w:sz w:val="24"/>
                <w:rtl/>
              </w:rPr>
            </w:pPr>
            <w:r>
              <w:rPr>
                <w:sz w:val="24"/>
                <w:rtl/>
              </w:rPr>
              <w:t>סוג איגרות החוב</w:t>
            </w:r>
          </w:p>
        </w:tc>
        <w:tc>
          <w:tcPr>
            <w:tcW w:w="1247" w:type="dxa"/>
          </w:tcPr>
          <w:p w14:paraId="562DC753" w14:textId="77777777" w:rsidR="00E67A34" w:rsidRDefault="00E67A34">
            <w:pPr>
              <w:spacing w:line="240" w:lineRule="auto"/>
              <w:rPr>
                <w:sz w:val="24"/>
              </w:rPr>
            </w:pPr>
            <w:r>
              <w:rPr>
                <w:sz w:val="24"/>
                <w:rtl/>
              </w:rPr>
              <w:t xml:space="preserve">סעיף 1 </w:t>
            </w:r>
          </w:p>
        </w:tc>
      </w:tr>
      <w:tr w:rsidR="00E67A34" w14:paraId="33E671C0" w14:textId="77777777">
        <w:tblPrEx>
          <w:tblCellMar>
            <w:top w:w="0" w:type="dxa"/>
            <w:bottom w:w="0" w:type="dxa"/>
          </w:tblCellMar>
        </w:tblPrEx>
        <w:tc>
          <w:tcPr>
            <w:tcW w:w="850" w:type="dxa"/>
          </w:tcPr>
          <w:p w14:paraId="2379416C" w14:textId="77777777" w:rsidR="00E67A34" w:rsidRDefault="00E67A3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B198C">
              <w:rPr>
                <w:noProof/>
                <w:sz w:val="24"/>
                <w:rtl/>
              </w:rPr>
              <w:t>2</w:t>
            </w:r>
            <w:r>
              <w:rPr>
                <w:sz w:val="24"/>
                <w:rtl/>
              </w:rPr>
              <w:fldChar w:fldCharType="end"/>
            </w:r>
          </w:p>
        </w:tc>
        <w:tc>
          <w:tcPr>
            <w:tcW w:w="567" w:type="dxa"/>
          </w:tcPr>
          <w:p w14:paraId="7DCF8879" w14:textId="77777777" w:rsidR="00E67A34" w:rsidRDefault="00E67A34">
            <w:pPr>
              <w:spacing w:line="240" w:lineRule="auto"/>
              <w:rPr>
                <w:sz w:val="24"/>
              </w:rPr>
            </w:pPr>
            <w:hyperlink w:anchor="Seif1" w:tooltip="צורת האיגרות ותנאיהן" w:history="1">
              <w:r>
                <w:rPr>
                  <w:rStyle w:val="Hyperlink"/>
                </w:rPr>
                <w:t>Go</w:t>
              </w:r>
            </w:hyperlink>
          </w:p>
        </w:tc>
        <w:tc>
          <w:tcPr>
            <w:tcW w:w="5669" w:type="dxa"/>
          </w:tcPr>
          <w:p w14:paraId="1DB38BA9" w14:textId="77777777" w:rsidR="00E67A34" w:rsidRDefault="00E67A34">
            <w:pPr>
              <w:spacing w:line="240" w:lineRule="auto"/>
              <w:rPr>
                <w:sz w:val="24"/>
                <w:rtl/>
              </w:rPr>
            </w:pPr>
            <w:r>
              <w:rPr>
                <w:sz w:val="24"/>
                <w:rtl/>
              </w:rPr>
              <w:t>צורת האיגרות ותנאיהן</w:t>
            </w:r>
          </w:p>
        </w:tc>
        <w:tc>
          <w:tcPr>
            <w:tcW w:w="1247" w:type="dxa"/>
          </w:tcPr>
          <w:p w14:paraId="0C01960F" w14:textId="77777777" w:rsidR="00E67A34" w:rsidRDefault="00E67A34">
            <w:pPr>
              <w:spacing w:line="240" w:lineRule="auto"/>
              <w:rPr>
                <w:sz w:val="24"/>
              </w:rPr>
            </w:pPr>
            <w:r>
              <w:rPr>
                <w:sz w:val="24"/>
                <w:rtl/>
              </w:rPr>
              <w:t xml:space="preserve">סעיף 2 </w:t>
            </w:r>
          </w:p>
        </w:tc>
      </w:tr>
      <w:tr w:rsidR="00E67A34" w14:paraId="2F1B6C63" w14:textId="77777777">
        <w:tblPrEx>
          <w:tblCellMar>
            <w:top w:w="0" w:type="dxa"/>
            <w:bottom w:w="0" w:type="dxa"/>
          </w:tblCellMar>
        </w:tblPrEx>
        <w:tc>
          <w:tcPr>
            <w:tcW w:w="850" w:type="dxa"/>
          </w:tcPr>
          <w:p w14:paraId="2AA6A459" w14:textId="77777777" w:rsidR="00E67A34" w:rsidRDefault="00E67A3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B198C">
              <w:rPr>
                <w:noProof/>
                <w:sz w:val="24"/>
                <w:rtl/>
              </w:rPr>
              <w:t>2</w:t>
            </w:r>
            <w:r>
              <w:rPr>
                <w:sz w:val="24"/>
                <w:rtl/>
              </w:rPr>
              <w:fldChar w:fldCharType="end"/>
            </w:r>
          </w:p>
        </w:tc>
        <w:tc>
          <w:tcPr>
            <w:tcW w:w="567" w:type="dxa"/>
          </w:tcPr>
          <w:p w14:paraId="55FBBCC1" w14:textId="77777777" w:rsidR="00E67A34" w:rsidRDefault="00E67A34">
            <w:pPr>
              <w:spacing w:line="240" w:lineRule="auto"/>
              <w:rPr>
                <w:sz w:val="24"/>
              </w:rPr>
            </w:pPr>
            <w:hyperlink w:anchor="Seif2" w:tooltip="הסכם הסוכנות הפיסקאלית" w:history="1">
              <w:r>
                <w:rPr>
                  <w:rStyle w:val="Hyperlink"/>
                </w:rPr>
                <w:t>Go</w:t>
              </w:r>
            </w:hyperlink>
          </w:p>
        </w:tc>
        <w:tc>
          <w:tcPr>
            <w:tcW w:w="5669" w:type="dxa"/>
          </w:tcPr>
          <w:p w14:paraId="35850A76" w14:textId="77777777" w:rsidR="00E67A34" w:rsidRDefault="00E67A34">
            <w:pPr>
              <w:spacing w:line="240" w:lineRule="auto"/>
              <w:rPr>
                <w:sz w:val="24"/>
                <w:rtl/>
              </w:rPr>
            </w:pPr>
            <w:r>
              <w:rPr>
                <w:sz w:val="24"/>
                <w:rtl/>
              </w:rPr>
              <w:t>הסכם הסוכנות הפיסקאלית</w:t>
            </w:r>
          </w:p>
        </w:tc>
        <w:tc>
          <w:tcPr>
            <w:tcW w:w="1247" w:type="dxa"/>
          </w:tcPr>
          <w:p w14:paraId="4BEF1C3F" w14:textId="77777777" w:rsidR="00E67A34" w:rsidRDefault="00E67A34">
            <w:pPr>
              <w:spacing w:line="240" w:lineRule="auto"/>
              <w:rPr>
                <w:sz w:val="24"/>
              </w:rPr>
            </w:pPr>
            <w:r>
              <w:rPr>
                <w:sz w:val="24"/>
                <w:rtl/>
              </w:rPr>
              <w:t xml:space="preserve">סעיף 3 </w:t>
            </w:r>
          </w:p>
        </w:tc>
      </w:tr>
      <w:tr w:rsidR="00E67A34" w14:paraId="0A45661E" w14:textId="77777777">
        <w:tblPrEx>
          <w:tblCellMar>
            <w:top w:w="0" w:type="dxa"/>
            <w:bottom w:w="0" w:type="dxa"/>
          </w:tblCellMar>
        </w:tblPrEx>
        <w:tc>
          <w:tcPr>
            <w:tcW w:w="850" w:type="dxa"/>
          </w:tcPr>
          <w:p w14:paraId="4A19E117" w14:textId="77777777" w:rsidR="00E67A34" w:rsidRDefault="00E67A3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B198C">
              <w:rPr>
                <w:noProof/>
                <w:sz w:val="24"/>
                <w:rtl/>
              </w:rPr>
              <w:t>2</w:t>
            </w:r>
            <w:r>
              <w:rPr>
                <w:sz w:val="24"/>
                <w:rtl/>
              </w:rPr>
              <w:fldChar w:fldCharType="end"/>
            </w:r>
          </w:p>
        </w:tc>
        <w:tc>
          <w:tcPr>
            <w:tcW w:w="567" w:type="dxa"/>
          </w:tcPr>
          <w:p w14:paraId="5DDD0200" w14:textId="77777777" w:rsidR="00E67A34" w:rsidRDefault="00E67A34">
            <w:pPr>
              <w:spacing w:line="240" w:lineRule="auto"/>
              <w:rPr>
                <w:sz w:val="24"/>
              </w:rPr>
            </w:pPr>
            <w:hyperlink w:anchor="Seif3" w:tooltip="הדפסת איגרות החוב" w:history="1">
              <w:r>
                <w:rPr>
                  <w:rStyle w:val="Hyperlink"/>
                </w:rPr>
                <w:t>Go</w:t>
              </w:r>
            </w:hyperlink>
          </w:p>
        </w:tc>
        <w:tc>
          <w:tcPr>
            <w:tcW w:w="5669" w:type="dxa"/>
          </w:tcPr>
          <w:p w14:paraId="02A2A141" w14:textId="77777777" w:rsidR="00E67A34" w:rsidRDefault="00E67A34">
            <w:pPr>
              <w:spacing w:line="240" w:lineRule="auto"/>
              <w:rPr>
                <w:sz w:val="24"/>
                <w:rtl/>
              </w:rPr>
            </w:pPr>
            <w:r>
              <w:rPr>
                <w:sz w:val="24"/>
                <w:rtl/>
              </w:rPr>
              <w:t>הדפסת איגרות החוב</w:t>
            </w:r>
          </w:p>
        </w:tc>
        <w:tc>
          <w:tcPr>
            <w:tcW w:w="1247" w:type="dxa"/>
          </w:tcPr>
          <w:p w14:paraId="3410F9A1" w14:textId="77777777" w:rsidR="00E67A34" w:rsidRDefault="00E67A34">
            <w:pPr>
              <w:spacing w:line="240" w:lineRule="auto"/>
              <w:rPr>
                <w:sz w:val="24"/>
              </w:rPr>
            </w:pPr>
            <w:r>
              <w:rPr>
                <w:sz w:val="24"/>
                <w:rtl/>
              </w:rPr>
              <w:t xml:space="preserve">סעיף 4 </w:t>
            </w:r>
          </w:p>
        </w:tc>
      </w:tr>
      <w:tr w:rsidR="00E67A34" w14:paraId="063DD690" w14:textId="77777777">
        <w:tblPrEx>
          <w:tblCellMar>
            <w:top w:w="0" w:type="dxa"/>
            <w:bottom w:w="0" w:type="dxa"/>
          </w:tblCellMar>
        </w:tblPrEx>
        <w:tc>
          <w:tcPr>
            <w:tcW w:w="850" w:type="dxa"/>
          </w:tcPr>
          <w:p w14:paraId="236B4219" w14:textId="77777777" w:rsidR="00E67A34" w:rsidRDefault="00E67A3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B198C">
              <w:rPr>
                <w:noProof/>
                <w:sz w:val="24"/>
                <w:rtl/>
              </w:rPr>
              <w:t>2</w:t>
            </w:r>
            <w:r>
              <w:rPr>
                <w:sz w:val="24"/>
                <w:rtl/>
              </w:rPr>
              <w:fldChar w:fldCharType="end"/>
            </w:r>
          </w:p>
        </w:tc>
        <w:tc>
          <w:tcPr>
            <w:tcW w:w="567" w:type="dxa"/>
          </w:tcPr>
          <w:p w14:paraId="64D39192" w14:textId="77777777" w:rsidR="00E67A34" w:rsidRDefault="00E67A34">
            <w:pPr>
              <w:spacing w:line="240" w:lineRule="auto"/>
              <w:rPr>
                <w:sz w:val="24"/>
              </w:rPr>
            </w:pPr>
            <w:hyperlink w:anchor="Seif4" w:tooltip="שפת ההוצאה" w:history="1">
              <w:r>
                <w:rPr>
                  <w:rStyle w:val="Hyperlink"/>
                </w:rPr>
                <w:t>Go</w:t>
              </w:r>
            </w:hyperlink>
          </w:p>
        </w:tc>
        <w:tc>
          <w:tcPr>
            <w:tcW w:w="5669" w:type="dxa"/>
          </w:tcPr>
          <w:p w14:paraId="23847BBC" w14:textId="77777777" w:rsidR="00E67A34" w:rsidRDefault="00E67A34">
            <w:pPr>
              <w:spacing w:line="240" w:lineRule="auto"/>
              <w:rPr>
                <w:sz w:val="24"/>
                <w:rtl/>
              </w:rPr>
            </w:pPr>
            <w:r>
              <w:rPr>
                <w:sz w:val="24"/>
                <w:rtl/>
              </w:rPr>
              <w:t>שפת ההוצאה</w:t>
            </w:r>
          </w:p>
        </w:tc>
        <w:tc>
          <w:tcPr>
            <w:tcW w:w="1247" w:type="dxa"/>
          </w:tcPr>
          <w:p w14:paraId="2C8BB224" w14:textId="77777777" w:rsidR="00E67A34" w:rsidRDefault="00E67A34">
            <w:pPr>
              <w:spacing w:line="240" w:lineRule="auto"/>
              <w:rPr>
                <w:sz w:val="24"/>
              </w:rPr>
            </w:pPr>
            <w:r>
              <w:rPr>
                <w:sz w:val="24"/>
                <w:rtl/>
              </w:rPr>
              <w:t xml:space="preserve">סעיף 5 </w:t>
            </w:r>
          </w:p>
        </w:tc>
      </w:tr>
    </w:tbl>
    <w:p w14:paraId="0D5D10BB" w14:textId="77777777" w:rsidR="00E67A34" w:rsidRDefault="00E67A34">
      <w:pPr>
        <w:pStyle w:val="big-header"/>
        <w:ind w:left="0" w:right="1134"/>
        <w:rPr>
          <w:rFonts w:cs="FrankRuehl"/>
          <w:sz w:val="32"/>
          <w:rtl/>
        </w:rPr>
      </w:pPr>
    </w:p>
    <w:p w14:paraId="4657952C" w14:textId="77777777" w:rsidR="00E67A34" w:rsidRDefault="00E67A34" w:rsidP="0089606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איגרות מדינת ישראל (הנפק שער נייד) (הנפקה תשיעית), תשנ"ב</w:t>
      </w:r>
      <w:r w:rsidR="00FB198C">
        <w:rPr>
          <w:rFonts w:cs="FrankRuehl" w:hint="cs"/>
          <w:sz w:val="32"/>
          <w:rtl/>
        </w:rPr>
        <w:t>-</w:t>
      </w:r>
      <w:r>
        <w:rPr>
          <w:rFonts w:cs="FrankRuehl"/>
          <w:sz w:val="32"/>
          <w:rtl/>
        </w:rPr>
        <w:t>1992</w:t>
      </w:r>
      <w:r w:rsidR="00FB198C">
        <w:rPr>
          <w:rStyle w:val="a6"/>
          <w:rFonts w:cs="FrankRuehl"/>
          <w:sz w:val="32"/>
          <w:rtl/>
        </w:rPr>
        <w:footnoteReference w:customMarkFollows="1" w:id="1"/>
        <w:t>*</w:t>
      </w:r>
    </w:p>
    <w:p w14:paraId="29029E84" w14:textId="77777777" w:rsidR="00E67A34" w:rsidRDefault="00E67A34" w:rsidP="00FB198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 ו-10 לחוק איגרות מדינת ישראל (הנפק שער נייד), תשמ"ג</w:t>
      </w:r>
      <w:r w:rsidR="00FB198C">
        <w:rPr>
          <w:rStyle w:val="default"/>
          <w:rFonts w:cs="FrankRuehl" w:hint="cs"/>
          <w:rtl/>
        </w:rPr>
        <w:t>-</w:t>
      </w:r>
      <w:r>
        <w:rPr>
          <w:rStyle w:val="default"/>
          <w:rFonts w:cs="FrankRuehl"/>
          <w:rtl/>
        </w:rPr>
        <w:t xml:space="preserve">1982, </w:t>
      </w:r>
      <w:r>
        <w:rPr>
          <w:rStyle w:val="default"/>
          <w:rFonts w:cs="FrankRuehl" w:hint="cs"/>
          <w:rtl/>
        </w:rPr>
        <w:t>אני מתקין תקנות אלה:</w:t>
      </w:r>
    </w:p>
    <w:p w14:paraId="6487E626" w14:textId="77777777" w:rsidR="00E67A34" w:rsidRDefault="00E67A34" w:rsidP="00FB198C">
      <w:pPr>
        <w:pStyle w:val="P00"/>
        <w:spacing w:before="72"/>
        <w:ind w:left="0" w:right="1134"/>
        <w:rPr>
          <w:rStyle w:val="default"/>
          <w:rFonts w:cs="FrankRuehl"/>
          <w:rtl/>
        </w:rPr>
      </w:pPr>
      <w:bookmarkStart w:id="0" w:name="Seif0"/>
      <w:bookmarkEnd w:id="0"/>
      <w:r>
        <w:rPr>
          <w:lang w:val="he-IL"/>
        </w:rPr>
        <w:pict w14:anchorId="0D0F93EC">
          <v:rect id="_x0000_s1026" style="position:absolute;left:0;text-align:left;margin-left:464.5pt;margin-top:8.05pt;width:75.05pt;height:15.4pt;z-index:251655680" o:allowincell="f" filled="f" stroked="f" strokecolor="lime" strokeweight=".25pt">
            <v:textbox inset="0,0,0,0">
              <w:txbxContent>
                <w:p w14:paraId="729E7D41" w14:textId="77777777" w:rsidR="00E67A34" w:rsidRDefault="00E67A34">
                  <w:pPr>
                    <w:spacing w:line="160" w:lineRule="exact"/>
                    <w:jc w:val="left"/>
                    <w:rPr>
                      <w:rFonts w:cs="Miriam"/>
                      <w:noProof/>
                      <w:sz w:val="18"/>
                      <w:szCs w:val="18"/>
                      <w:rtl/>
                    </w:rPr>
                  </w:pPr>
                  <w:r>
                    <w:rPr>
                      <w:rFonts w:cs="Miriam"/>
                      <w:sz w:val="18"/>
                      <w:szCs w:val="18"/>
                      <w:rtl/>
                    </w:rPr>
                    <w:t>סו</w:t>
                  </w:r>
                  <w:r>
                    <w:rPr>
                      <w:rFonts w:cs="Miriam" w:hint="cs"/>
                      <w:sz w:val="18"/>
                      <w:szCs w:val="18"/>
                      <w:rtl/>
                    </w:rPr>
                    <w:t>ג איגרות החוב</w:t>
                  </w:r>
                </w:p>
              </w:txbxContent>
            </v:textbox>
            <w10:anchorlock/>
          </v:rect>
        </w:pict>
      </w:r>
      <w:r>
        <w:rPr>
          <w:rStyle w:val="big-number"/>
          <w:rFonts w:cs="Miriam"/>
          <w:rtl/>
        </w:rPr>
        <w:t>1.</w:t>
      </w:r>
      <w:r>
        <w:rPr>
          <w:rStyle w:val="big-number"/>
          <w:rFonts w:cs="Miriam"/>
          <w:rtl/>
        </w:rPr>
        <w:tab/>
      </w:r>
      <w:r>
        <w:rPr>
          <w:rStyle w:val="default"/>
          <w:rFonts w:cs="FrankRuehl"/>
          <w:rtl/>
        </w:rPr>
        <w:t>הא</w:t>
      </w:r>
      <w:r>
        <w:rPr>
          <w:rStyle w:val="default"/>
          <w:rFonts w:cs="FrankRuehl" w:hint="cs"/>
          <w:rtl/>
        </w:rPr>
        <w:t>יגרות שיוצאו למכירה בארצות הברי</w:t>
      </w:r>
      <w:r>
        <w:rPr>
          <w:rStyle w:val="default"/>
          <w:rFonts w:cs="FrankRuehl"/>
          <w:rtl/>
        </w:rPr>
        <w:t xml:space="preserve">ת </w:t>
      </w:r>
      <w:r>
        <w:rPr>
          <w:rStyle w:val="default"/>
          <w:rFonts w:cs="FrankRuehl" w:hint="cs"/>
          <w:rtl/>
        </w:rPr>
        <w:t xml:space="preserve">של אמריקה יהיו איגרות חוב דולריות, ללא תלוש (שער נייד </w:t>
      </w:r>
      <w:r w:rsidR="00FB198C">
        <w:rPr>
          <w:rStyle w:val="default"/>
          <w:rFonts w:cs="FrankRuehl" w:hint="cs"/>
          <w:rtl/>
        </w:rPr>
        <w:t>-</w:t>
      </w:r>
      <w:r>
        <w:rPr>
          <w:rStyle w:val="default"/>
          <w:rFonts w:cs="FrankRuehl"/>
          <w:rtl/>
        </w:rPr>
        <w:t xml:space="preserve"> </w:t>
      </w:r>
      <w:r>
        <w:rPr>
          <w:rStyle w:val="default"/>
          <w:rFonts w:cs="FrankRuehl" w:hint="cs"/>
          <w:rtl/>
        </w:rPr>
        <w:t>הנפקה תשיעית), שזמן פרעונן ביום י"א בתמוז תשס"ד (30 ביוני 2004), והנושאות ריבית בשיעור שנתי של שבעה וחצי אחוזים (7.5%) לפחות, בתוספת שער נייד של חמישים אחוזים (50%) מההפרש שבין 7.5% לבין ממוצע שיעו</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 xml:space="preserve">הריבית המועדפת </w:t>
      </w:r>
      <w:r>
        <w:rPr>
          <w:rStyle w:val="default"/>
          <w:rFonts w:cs="FrankRuehl"/>
          <w:sz w:val="20"/>
        </w:rPr>
        <w:t>(Prime Rate)</w:t>
      </w:r>
      <w:r>
        <w:rPr>
          <w:rStyle w:val="default"/>
          <w:rFonts w:cs="FrankRuehl"/>
          <w:rtl/>
        </w:rPr>
        <w:t xml:space="preserve"> ה</w:t>
      </w:r>
      <w:r>
        <w:rPr>
          <w:rStyle w:val="default"/>
          <w:rFonts w:cs="FrankRuehl" w:hint="cs"/>
          <w:rtl/>
        </w:rPr>
        <w:t>נהוגים בבנקים הקובעים כהגדרתם בהסכם הסוכנות הפיסקאלית האמור בתקנה 3, בעת סגירת העסקים ב-1 ביוני וב-1 בדצמבר כל שנה.</w:t>
      </w:r>
    </w:p>
    <w:p w14:paraId="4C95227C" w14:textId="77777777" w:rsidR="00E67A34" w:rsidRDefault="00E67A34">
      <w:pPr>
        <w:pStyle w:val="P00"/>
        <w:spacing w:before="72"/>
        <w:ind w:left="0" w:right="1134"/>
        <w:rPr>
          <w:rStyle w:val="default"/>
          <w:rFonts w:cs="FrankRuehl"/>
          <w:rtl/>
        </w:rPr>
      </w:pPr>
      <w:bookmarkStart w:id="1" w:name="Seif1"/>
      <w:bookmarkEnd w:id="1"/>
      <w:r>
        <w:rPr>
          <w:lang w:val="he-IL"/>
        </w:rPr>
        <w:pict w14:anchorId="29AA8EC4">
          <v:rect id="_x0000_s1027" style="position:absolute;left:0;text-align:left;margin-left:464.5pt;margin-top:8.05pt;width:75.05pt;height:23.75pt;z-index:251656704" o:allowincell="f" filled="f" stroked="f" strokecolor="lime" strokeweight=".25pt">
            <v:textbox inset="0,0,0,0">
              <w:txbxContent>
                <w:p w14:paraId="13F14BCD" w14:textId="77777777" w:rsidR="00E67A34" w:rsidRDefault="00E67A34">
                  <w:pPr>
                    <w:spacing w:line="160" w:lineRule="exact"/>
                    <w:jc w:val="left"/>
                    <w:rPr>
                      <w:rFonts w:cs="Miriam"/>
                      <w:noProof/>
                      <w:sz w:val="18"/>
                      <w:szCs w:val="18"/>
                      <w:rtl/>
                    </w:rPr>
                  </w:pPr>
                  <w:r>
                    <w:rPr>
                      <w:rFonts w:cs="Miriam"/>
                      <w:sz w:val="18"/>
                      <w:szCs w:val="18"/>
                      <w:rtl/>
                    </w:rPr>
                    <w:t>צו</w:t>
                  </w:r>
                  <w:r>
                    <w:rPr>
                      <w:rFonts w:cs="Miriam" w:hint="cs"/>
                      <w:sz w:val="18"/>
                      <w:szCs w:val="18"/>
                      <w:rtl/>
                    </w:rPr>
                    <w:t>רת האיגרות ותנאיהן</w:t>
                  </w:r>
                </w:p>
              </w:txbxContent>
            </v:textbox>
            <w10:anchorlock/>
          </v:rect>
        </w:pict>
      </w:r>
      <w:r>
        <w:rPr>
          <w:rStyle w:val="big-number"/>
          <w:rFonts w:cs="Miriam"/>
          <w:rtl/>
        </w:rPr>
        <w:t>2.</w:t>
      </w:r>
      <w:r>
        <w:rPr>
          <w:rStyle w:val="big-number"/>
          <w:rFonts w:cs="Miriam"/>
          <w:rtl/>
        </w:rPr>
        <w:tab/>
      </w:r>
      <w:r>
        <w:rPr>
          <w:rStyle w:val="default"/>
          <w:rFonts w:cs="FrankRuehl"/>
          <w:rtl/>
        </w:rPr>
        <w:t>צו</w:t>
      </w:r>
      <w:r>
        <w:rPr>
          <w:rStyle w:val="default"/>
          <w:rFonts w:cs="FrankRuehl" w:hint="cs"/>
          <w:rtl/>
        </w:rPr>
        <w:t>רת איגרות החוב, הערכים הנקובים בהן, נוסחאותיהן, סימניהן, תנאי העברתן, לרבות הגבלו</w:t>
      </w:r>
      <w:r>
        <w:rPr>
          <w:rStyle w:val="default"/>
          <w:rFonts w:cs="FrankRuehl"/>
          <w:rtl/>
        </w:rPr>
        <w:t>ת</w:t>
      </w:r>
      <w:r>
        <w:rPr>
          <w:rStyle w:val="default"/>
          <w:rFonts w:cs="FrankRuehl" w:hint="cs"/>
          <w:rtl/>
        </w:rPr>
        <w:t xml:space="preserve"> ההעברה, צורתה ומועדי</w:t>
      </w:r>
      <w:r>
        <w:rPr>
          <w:rStyle w:val="default"/>
          <w:rFonts w:cs="FrankRuehl"/>
          <w:rtl/>
        </w:rPr>
        <w:t xml:space="preserve">ה, </w:t>
      </w:r>
      <w:r>
        <w:rPr>
          <w:rStyle w:val="default"/>
          <w:rFonts w:cs="FrankRuehl" w:hint="cs"/>
          <w:rtl/>
        </w:rPr>
        <w:t>ולרבות כללים ותנאים ביחס לקרן שמורה, דרכי הפדיון ותנאיו, וכן תנאים אחרים ביחס לאיגרות, יהיו כמפורט בתוספת או בדומה לה במידת האפשר.</w:t>
      </w:r>
    </w:p>
    <w:p w14:paraId="1058D15B" w14:textId="77777777" w:rsidR="00E67A34" w:rsidRDefault="00E67A34" w:rsidP="00FB198C">
      <w:pPr>
        <w:pStyle w:val="P00"/>
        <w:spacing w:before="72"/>
        <w:ind w:left="0" w:right="1134"/>
        <w:rPr>
          <w:rStyle w:val="default"/>
          <w:rFonts w:cs="FrankRuehl"/>
          <w:rtl/>
        </w:rPr>
      </w:pPr>
      <w:bookmarkStart w:id="2" w:name="Seif2"/>
      <w:bookmarkEnd w:id="2"/>
      <w:r>
        <w:rPr>
          <w:lang w:val="he-IL"/>
        </w:rPr>
        <w:pict w14:anchorId="0F33BA5E">
          <v:rect id="_x0000_s1028" style="position:absolute;left:0;text-align:left;margin-left:464.5pt;margin-top:8.05pt;width:75.05pt;height:22.6pt;z-index:251657728" o:allowincell="f" filled="f" stroked="f" strokecolor="lime" strokeweight=".25pt">
            <v:textbox inset="0,0,0,0">
              <w:txbxContent>
                <w:p w14:paraId="2CEB669E" w14:textId="77777777" w:rsidR="00E67A34" w:rsidRDefault="00E67A34">
                  <w:pPr>
                    <w:spacing w:line="160" w:lineRule="exact"/>
                    <w:jc w:val="left"/>
                    <w:rPr>
                      <w:rFonts w:cs="Miriam"/>
                      <w:noProof/>
                      <w:sz w:val="18"/>
                      <w:szCs w:val="18"/>
                      <w:rtl/>
                    </w:rPr>
                  </w:pPr>
                  <w:r>
                    <w:rPr>
                      <w:rFonts w:cs="Miriam"/>
                      <w:sz w:val="18"/>
                      <w:szCs w:val="18"/>
                      <w:rtl/>
                    </w:rPr>
                    <w:t>הס</w:t>
                  </w:r>
                  <w:r>
                    <w:rPr>
                      <w:rFonts w:cs="Miriam" w:hint="cs"/>
                      <w:sz w:val="18"/>
                      <w:szCs w:val="18"/>
                      <w:rtl/>
                    </w:rPr>
                    <w:t>כם הס</w:t>
                  </w:r>
                  <w:r>
                    <w:rPr>
                      <w:rFonts w:cs="Miriam"/>
                      <w:sz w:val="18"/>
                      <w:szCs w:val="18"/>
                      <w:rtl/>
                    </w:rPr>
                    <w:t>ו</w:t>
                  </w:r>
                  <w:r>
                    <w:rPr>
                      <w:rFonts w:cs="Miriam" w:hint="cs"/>
                      <w:sz w:val="18"/>
                      <w:szCs w:val="18"/>
                      <w:rtl/>
                    </w:rPr>
                    <w:t>כנות הפיסקאלית</w:t>
                  </w:r>
                </w:p>
              </w:txbxContent>
            </v:textbox>
            <w10:anchorlock/>
          </v:rect>
        </w:pict>
      </w:r>
      <w:r>
        <w:rPr>
          <w:rStyle w:val="big-number"/>
          <w:rFonts w:cs="Miriam"/>
          <w:rtl/>
        </w:rPr>
        <w:t>3.</w:t>
      </w:r>
      <w:r>
        <w:rPr>
          <w:rStyle w:val="big-number"/>
          <w:rFonts w:cs="Miriam"/>
          <w:rtl/>
        </w:rPr>
        <w:tab/>
      </w:r>
      <w:r>
        <w:rPr>
          <w:rStyle w:val="default"/>
          <w:rFonts w:cs="FrankRuehl"/>
          <w:rtl/>
        </w:rPr>
        <w:t>הס</w:t>
      </w:r>
      <w:r>
        <w:rPr>
          <w:rStyle w:val="default"/>
          <w:rFonts w:cs="FrankRuehl" w:hint="cs"/>
          <w:rtl/>
        </w:rPr>
        <w:t>כם הסוכנות הפיסקאלית הנ</w:t>
      </w:r>
      <w:r>
        <w:rPr>
          <w:rStyle w:val="default"/>
          <w:rFonts w:cs="FrankRuehl"/>
          <w:rtl/>
        </w:rPr>
        <w:t>זכ</w:t>
      </w:r>
      <w:r>
        <w:rPr>
          <w:rStyle w:val="default"/>
          <w:rFonts w:cs="FrankRuehl" w:hint="cs"/>
          <w:rtl/>
        </w:rPr>
        <w:t xml:space="preserve">ר בטפסי איגרות החוב, פירושו ההסכם שנחתם בין מדינת ישראל לבין צ'ייס מנהטן בנק (נשיונל אסוסיאיישן) (להלן </w:t>
      </w:r>
      <w:r w:rsidR="00FB198C">
        <w:rPr>
          <w:rStyle w:val="default"/>
          <w:rFonts w:cs="FrankRuehl" w:hint="cs"/>
          <w:rtl/>
        </w:rPr>
        <w:t>-</w:t>
      </w:r>
      <w:r>
        <w:rPr>
          <w:rStyle w:val="default"/>
          <w:rFonts w:cs="FrankRuehl"/>
          <w:rtl/>
        </w:rPr>
        <w:t xml:space="preserve"> </w:t>
      </w:r>
      <w:r>
        <w:rPr>
          <w:rStyle w:val="default"/>
          <w:rFonts w:cs="FrankRuehl" w:hint="cs"/>
          <w:rtl/>
        </w:rPr>
        <w:t>הסוכן הפיסקאלי) ביום כ"ט באייר תשנ"ב (1 ביוני 1992), ששר האוצר הרשה לעשותו בשם מדינת ישראל, לרבות הסכמים לתיקונו או להחלפתו של הסכם זה שייעשו מזמן ל</w:t>
      </w:r>
      <w:r>
        <w:rPr>
          <w:rStyle w:val="default"/>
          <w:rFonts w:cs="FrankRuehl"/>
          <w:rtl/>
        </w:rPr>
        <w:t>ז</w:t>
      </w:r>
      <w:r>
        <w:rPr>
          <w:rStyle w:val="default"/>
          <w:rFonts w:cs="FrankRuehl" w:hint="cs"/>
          <w:rtl/>
        </w:rPr>
        <w:t>מ</w:t>
      </w:r>
      <w:r>
        <w:rPr>
          <w:rStyle w:val="default"/>
          <w:rFonts w:cs="FrankRuehl"/>
          <w:rtl/>
        </w:rPr>
        <w:t>ן</w:t>
      </w:r>
      <w:r>
        <w:rPr>
          <w:rStyle w:val="default"/>
          <w:rFonts w:cs="FrankRuehl" w:hint="cs"/>
          <w:rtl/>
        </w:rPr>
        <w:t xml:space="preserve"> בשם מדינת ישראל; העתק של הסכם הסוכנות הפיסקאלית יופקד במשרד הנאמנים הראשי של הסוכן הפיסקאלי בניו-יורק וכן במשרד החשב הכללי במשרד האוצר, ואפשר לראותו במשרדים אלה בשעות העבודה המקובלות בהם.</w:t>
      </w:r>
    </w:p>
    <w:p w14:paraId="3A644F86" w14:textId="77777777" w:rsidR="00E67A34" w:rsidRDefault="00E67A34">
      <w:pPr>
        <w:pStyle w:val="P00"/>
        <w:spacing w:before="72"/>
        <w:ind w:left="0" w:right="1134"/>
        <w:rPr>
          <w:rStyle w:val="default"/>
          <w:rFonts w:cs="FrankRuehl"/>
          <w:rtl/>
        </w:rPr>
      </w:pPr>
      <w:bookmarkStart w:id="3" w:name="Seif3"/>
      <w:bookmarkEnd w:id="3"/>
      <w:r>
        <w:rPr>
          <w:lang w:val="he-IL"/>
        </w:rPr>
        <w:pict w14:anchorId="4E814E5C">
          <v:rect id="_x0000_s1029" style="position:absolute;left:0;text-align:left;margin-left:464.5pt;margin-top:8.05pt;width:75.05pt;height:14.15pt;z-index:251658752" o:allowincell="f" filled="f" stroked="f" strokecolor="lime" strokeweight=".25pt">
            <v:textbox inset="0,0,0,0">
              <w:txbxContent>
                <w:p w14:paraId="07D76CC4" w14:textId="77777777" w:rsidR="00E67A34" w:rsidRDefault="00E67A34">
                  <w:pPr>
                    <w:spacing w:line="160" w:lineRule="exact"/>
                    <w:jc w:val="left"/>
                    <w:rPr>
                      <w:rFonts w:cs="Miriam"/>
                      <w:noProof/>
                      <w:sz w:val="18"/>
                      <w:szCs w:val="18"/>
                      <w:rtl/>
                    </w:rPr>
                  </w:pPr>
                  <w:r>
                    <w:rPr>
                      <w:rFonts w:cs="Miriam"/>
                      <w:sz w:val="18"/>
                      <w:szCs w:val="18"/>
                      <w:rtl/>
                    </w:rPr>
                    <w:t>הד</w:t>
                  </w:r>
                  <w:r>
                    <w:rPr>
                      <w:rFonts w:cs="Miriam" w:hint="cs"/>
                      <w:sz w:val="18"/>
                      <w:szCs w:val="18"/>
                      <w:rtl/>
                    </w:rPr>
                    <w:t>פסת איגרות החוב</w:t>
                  </w:r>
                </w:p>
              </w:txbxContent>
            </v:textbox>
            <w10:anchorlock/>
          </v:rect>
        </w:pict>
      </w:r>
      <w:r>
        <w:rPr>
          <w:rStyle w:val="big-number"/>
          <w:rFonts w:cs="Miriam"/>
          <w:rtl/>
        </w:rPr>
        <w:t>4.</w:t>
      </w:r>
      <w:r>
        <w:rPr>
          <w:rStyle w:val="big-number"/>
          <w:rFonts w:cs="Miriam"/>
          <w:rtl/>
        </w:rPr>
        <w:tab/>
      </w:r>
      <w:r>
        <w:rPr>
          <w:rStyle w:val="default"/>
          <w:rFonts w:cs="FrankRuehl"/>
          <w:rtl/>
        </w:rPr>
        <w:t>טפ</w:t>
      </w:r>
      <w:r>
        <w:rPr>
          <w:rStyle w:val="default"/>
          <w:rFonts w:cs="FrankRuehl" w:hint="cs"/>
          <w:rtl/>
        </w:rPr>
        <w:t>סי איגרות החוב יוחקו, יודפסו, יודפסו בליטוגרפיה או יוכנו בכ</w:t>
      </w:r>
      <w:r>
        <w:rPr>
          <w:rStyle w:val="default"/>
          <w:rFonts w:cs="FrankRuehl"/>
          <w:rtl/>
        </w:rPr>
        <w:t xml:space="preserve">ל </w:t>
      </w:r>
      <w:r>
        <w:rPr>
          <w:rStyle w:val="default"/>
          <w:rFonts w:cs="FrankRuehl" w:hint="cs"/>
          <w:rtl/>
        </w:rPr>
        <w:t>דרך אחרת; עד לחקיקתם, הדפסתם, הדפסתם בליטוגרפיה או הכנתם בכל דרך אחרת, מותר להוציא איגרות חוב זמניות ולאחר שאיגרות החוב הסופיות יהיו מוכנות, יוחלפו איגרות החוב הזמניות במספר כולל שווה של איגרות חוב סופיות בעלות ערכים מורשים.</w:t>
      </w:r>
    </w:p>
    <w:p w14:paraId="354B9BC0" w14:textId="77777777" w:rsidR="00E67A34" w:rsidRDefault="00E67A34">
      <w:pPr>
        <w:pStyle w:val="P00"/>
        <w:spacing w:before="72"/>
        <w:ind w:left="0" w:right="1134"/>
        <w:rPr>
          <w:rStyle w:val="default"/>
          <w:rFonts w:cs="FrankRuehl" w:hint="cs"/>
          <w:rtl/>
        </w:rPr>
      </w:pPr>
      <w:bookmarkStart w:id="4" w:name="Seif4"/>
      <w:bookmarkEnd w:id="4"/>
      <w:r>
        <w:rPr>
          <w:lang w:val="he-IL"/>
        </w:rPr>
        <w:pict w14:anchorId="51A811B0">
          <v:rect id="_x0000_s1030" style="position:absolute;left:0;text-align:left;margin-left:464.5pt;margin-top:8.05pt;width:75.05pt;height:11.25pt;z-index:251659776" o:allowincell="f" filled="f" stroked="f" strokecolor="lime" strokeweight=".25pt">
            <v:textbox inset="0,0,0,0">
              <w:txbxContent>
                <w:p w14:paraId="7DBC293C" w14:textId="77777777" w:rsidR="00E67A34" w:rsidRDefault="00E67A34">
                  <w:pPr>
                    <w:spacing w:line="160" w:lineRule="exact"/>
                    <w:jc w:val="left"/>
                    <w:rPr>
                      <w:rFonts w:cs="Miriam"/>
                      <w:noProof/>
                      <w:sz w:val="18"/>
                      <w:szCs w:val="18"/>
                      <w:rtl/>
                    </w:rPr>
                  </w:pPr>
                  <w:r>
                    <w:rPr>
                      <w:rFonts w:cs="Miriam"/>
                      <w:sz w:val="18"/>
                      <w:szCs w:val="18"/>
                      <w:rtl/>
                    </w:rPr>
                    <w:t>שפ</w:t>
                  </w:r>
                  <w:r>
                    <w:rPr>
                      <w:rFonts w:cs="Miriam" w:hint="cs"/>
                      <w:sz w:val="18"/>
                      <w:szCs w:val="18"/>
                      <w:rtl/>
                    </w:rPr>
                    <w:t>ת ההוצאה</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גרות המוצאות על פי תקנו</w:t>
      </w:r>
      <w:r>
        <w:rPr>
          <w:rStyle w:val="default"/>
          <w:rFonts w:cs="FrankRuehl"/>
          <w:rtl/>
        </w:rPr>
        <w:t xml:space="preserve">ת </w:t>
      </w:r>
      <w:r>
        <w:rPr>
          <w:rStyle w:val="default"/>
          <w:rFonts w:cs="FrankRuehl" w:hint="cs"/>
          <w:rtl/>
        </w:rPr>
        <w:t>אלה אפשר לערוך אותן בעברית או באנגלית או בצרפתית או בשתיים מן השפות האלה כאחת.</w:t>
      </w:r>
    </w:p>
    <w:p w14:paraId="30A2E6F3" w14:textId="77777777" w:rsidR="00FB198C" w:rsidRDefault="00FB198C">
      <w:pPr>
        <w:pStyle w:val="P00"/>
        <w:spacing w:before="72"/>
        <w:ind w:left="0" w:right="1134"/>
        <w:rPr>
          <w:rStyle w:val="default"/>
          <w:rFonts w:cs="FrankRuehl" w:hint="cs"/>
          <w:rtl/>
        </w:rPr>
      </w:pPr>
    </w:p>
    <w:p w14:paraId="7482B5B7" w14:textId="77777777" w:rsidR="00E67A34" w:rsidRDefault="00E67A34">
      <w:pPr>
        <w:pStyle w:val="header-2"/>
        <w:ind w:left="0" w:right="1134"/>
        <w:rPr>
          <w:rFonts w:cs="Miriam"/>
          <w:rtl/>
        </w:rPr>
      </w:pPr>
      <w:r>
        <w:rPr>
          <w:rFonts w:cs="Miriam"/>
          <w:rtl/>
        </w:rPr>
        <w:t>תו</w:t>
      </w:r>
      <w:r>
        <w:rPr>
          <w:rFonts w:cs="Miriam" w:hint="cs"/>
          <w:rtl/>
        </w:rPr>
        <w:t>ספת</w:t>
      </w:r>
    </w:p>
    <w:p w14:paraId="55822B95" w14:textId="77777777" w:rsidR="00E67A34" w:rsidRPr="00FB198C" w:rsidRDefault="00E67A34">
      <w:pPr>
        <w:pStyle w:val="medium-header"/>
        <w:keepNext w:val="0"/>
        <w:keepLines w:val="0"/>
        <w:ind w:left="0" w:right="1134"/>
        <w:rPr>
          <w:rFonts w:cs="FrankRuehl"/>
          <w:sz w:val="24"/>
          <w:szCs w:val="24"/>
          <w:rtl/>
        </w:rPr>
      </w:pPr>
      <w:r w:rsidRPr="00FB198C">
        <w:rPr>
          <w:rFonts w:cs="FrankRuehl"/>
          <w:sz w:val="24"/>
          <w:szCs w:val="24"/>
          <w:rtl/>
        </w:rPr>
        <w:t>(ת</w:t>
      </w:r>
      <w:r w:rsidRPr="00FB198C">
        <w:rPr>
          <w:rFonts w:cs="FrankRuehl" w:hint="cs"/>
          <w:sz w:val="24"/>
          <w:szCs w:val="24"/>
          <w:rtl/>
        </w:rPr>
        <w:t>קנה 2)</w:t>
      </w:r>
    </w:p>
    <w:p w14:paraId="7DCEE7F0" w14:textId="77777777" w:rsidR="00E67A34" w:rsidRPr="00FB198C" w:rsidRDefault="00E67A34" w:rsidP="00FB198C">
      <w:pPr>
        <w:pStyle w:val="medium-header"/>
        <w:keepNext w:val="0"/>
        <w:keepLines w:val="0"/>
        <w:ind w:left="0" w:right="1134"/>
        <w:rPr>
          <w:rFonts w:cs="FrankRuehl"/>
          <w:sz w:val="24"/>
          <w:szCs w:val="24"/>
          <w:rtl/>
        </w:rPr>
      </w:pPr>
      <w:r w:rsidRPr="00FB198C">
        <w:rPr>
          <w:rFonts w:cs="FrankRuehl" w:hint="cs"/>
          <w:sz w:val="24"/>
          <w:szCs w:val="24"/>
          <w:rtl/>
        </w:rPr>
        <w:t>(</w:t>
      </w:r>
      <w:r w:rsidRPr="00FB198C">
        <w:rPr>
          <w:rFonts w:cs="FrankRuehl"/>
          <w:sz w:val="24"/>
          <w:szCs w:val="24"/>
          <w:rtl/>
        </w:rPr>
        <w:t>ה</w:t>
      </w:r>
      <w:r w:rsidRPr="00FB198C">
        <w:rPr>
          <w:rFonts w:cs="FrankRuehl" w:hint="cs"/>
          <w:sz w:val="24"/>
          <w:szCs w:val="24"/>
          <w:rtl/>
        </w:rPr>
        <w:t>ושמטה)</w:t>
      </w:r>
    </w:p>
    <w:p w14:paraId="05A4E936" w14:textId="77777777" w:rsidR="00E67A34" w:rsidRDefault="00E67A34" w:rsidP="00FB198C">
      <w:pPr>
        <w:pStyle w:val="P00"/>
        <w:spacing w:before="72"/>
        <w:ind w:left="0" w:right="1134"/>
        <w:rPr>
          <w:rStyle w:val="default"/>
          <w:rFonts w:cs="FrankRuehl" w:hint="cs"/>
          <w:rtl/>
        </w:rPr>
      </w:pPr>
    </w:p>
    <w:p w14:paraId="22937C62" w14:textId="77777777" w:rsidR="00FB198C" w:rsidRPr="00FB198C" w:rsidRDefault="00FB198C" w:rsidP="00FB198C">
      <w:pPr>
        <w:pStyle w:val="P00"/>
        <w:spacing w:before="72"/>
        <w:ind w:left="0" w:right="1134"/>
        <w:rPr>
          <w:rStyle w:val="default"/>
          <w:rFonts w:cs="FrankRuehl" w:hint="cs"/>
          <w:rtl/>
        </w:rPr>
      </w:pPr>
    </w:p>
    <w:p w14:paraId="0F17852F" w14:textId="77777777" w:rsidR="00E67A34" w:rsidRDefault="00E67A34" w:rsidP="00FB198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sz w:val="26"/>
          <w:rtl/>
        </w:rPr>
        <w:t xml:space="preserve">ו' </w:t>
      </w:r>
      <w:r>
        <w:rPr>
          <w:rFonts w:cs="FrankRuehl" w:hint="cs"/>
          <w:sz w:val="26"/>
          <w:rtl/>
        </w:rPr>
        <w:t>באב תשנ"ב (5 באוגוסט 1992)</w:t>
      </w:r>
      <w:r w:rsidR="00FB198C">
        <w:rPr>
          <w:rFonts w:cs="FrankRuehl"/>
        </w:rPr>
        <w:tab/>
      </w:r>
      <w:r>
        <w:rPr>
          <w:rFonts w:cs="FrankRuehl"/>
          <w:sz w:val="26"/>
          <w:rtl/>
        </w:rPr>
        <w:t>אב</w:t>
      </w:r>
      <w:r>
        <w:rPr>
          <w:rFonts w:cs="FrankRuehl" w:hint="cs"/>
          <w:sz w:val="26"/>
          <w:rtl/>
        </w:rPr>
        <w:t>רהם (בייגה) שוחט</w:t>
      </w:r>
    </w:p>
    <w:p w14:paraId="145D1DCA" w14:textId="77777777" w:rsidR="00E67A34" w:rsidRDefault="00FB198C" w:rsidP="00FB198C">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sidR="00E67A34">
        <w:rPr>
          <w:rFonts w:cs="FrankRuehl"/>
          <w:sz w:val="22"/>
          <w:rtl/>
        </w:rPr>
        <w:t>ש</w:t>
      </w:r>
      <w:r w:rsidR="00E67A34">
        <w:rPr>
          <w:rFonts w:cs="FrankRuehl" w:hint="cs"/>
          <w:sz w:val="22"/>
          <w:rtl/>
        </w:rPr>
        <w:t>ר האוצ</w:t>
      </w:r>
      <w:r w:rsidR="00E67A34">
        <w:rPr>
          <w:rFonts w:cs="FrankRuehl"/>
          <w:sz w:val="22"/>
          <w:rtl/>
        </w:rPr>
        <w:t>ר</w:t>
      </w:r>
    </w:p>
    <w:p w14:paraId="534C8D52" w14:textId="77777777" w:rsidR="00E67A34" w:rsidRPr="00FB198C" w:rsidRDefault="00E67A34" w:rsidP="00FB198C">
      <w:pPr>
        <w:pStyle w:val="P00"/>
        <w:spacing w:before="72"/>
        <w:ind w:left="0" w:right="1134"/>
        <w:rPr>
          <w:rStyle w:val="default"/>
          <w:rFonts w:cs="FrankRuehl"/>
          <w:rtl/>
        </w:rPr>
      </w:pPr>
    </w:p>
    <w:p w14:paraId="3AD672CF" w14:textId="77777777" w:rsidR="00E67A34" w:rsidRPr="00FB198C" w:rsidRDefault="00E67A34" w:rsidP="00FB198C">
      <w:pPr>
        <w:pStyle w:val="P00"/>
        <w:spacing w:before="72"/>
        <w:ind w:left="0" w:right="1134"/>
        <w:rPr>
          <w:rStyle w:val="default"/>
          <w:rFonts w:cs="FrankRuehl"/>
          <w:rtl/>
        </w:rPr>
      </w:pPr>
    </w:p>
    <w:p w14:paraId="4FFF37E1" w14:textId="77777777" w:rsidR="00E67A34" w:rsidRPr="00FB198C" w:rsidRDefault="00E67A34" w:rsidP="00FB198C">
      <w:pPr>
        <w:pStyle w:val="P00"/>
        <w:spacing w:before="72"/>
        <w:ind w:left="0" w:right="1134"/>
        <w:rPr>
          <w:rStyle w:val="default"/>
          <w:rFonts w:cs="FrankRuehl"/>
          <w:rtl/>
        </w:rPr>
      </w:pPr>
    </w:p>
    <w:sectPr w:rsidR="00E67A34" w:rsidRPr="00FB198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1F9B" w14:textId="77777777" w:rsidR="003D4C45" w:rsidRDefault="003D4C45">
      <w:pPr>
        <w:spacing w:line="240" w:lineRule="auto"/>
      </w:pPr>
      <w:r>
        <w:separator/>
      </w:r>
    </w:p>
  </w:endnote>
  <w:endnote w:type="continuationSeparator" w:id="0">
    <w:p w14:paraId="435FEBB9" w14:textId="77777777" w:rsidR="003D4C45" w:rsidRDefault="003D4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2CDA" w14:textId="77777777" w:rsidR="00E67A34" w:rsidRDefault="00E67A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EC520D" w14:textId="77777777" w:rsidR="00E67A34" w:rsidRDefault="00E67A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14B908" w14:textId="77777777" w:rsidR="00E67A34" w:rsidRDefault="00E67A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198C">
      <w:rPr>
        <w:rFonts w:cs="TopType Jerushalmi"/>
        <w:noProof/>
        <w:color w:val="000000"/>
        <w:sz w:val="14"/>
        <w:szCs w:val="14"/>
      </w:rPr>
      <w:t>D:\Yael\hakika\Revadim\007_007.doc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3984" w14:textId="77777777" w:rsidR="00E67A34" w:rsidRDefault="00E67A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606E">
      <w:rPr>
        <w:rFonts w:hAnsi="FrankRuehl" w:cs="FrankRuehl"/>
        <w:noProof/>
        <w:sz w:val="24"/>
        <w:szCs w:val="24"/>
        <w:rtl/>
      </w:rPr>
      <w:t>2</w:t>
    </w:r>
    <w:r>
      <w:rPr>
        <w:rFonts w:hAnsi="FrankRuehl" w:cs="FrankRuehl"/>
        <w:sz w:val="24"/>
        <w:szCs w:val="24"/>
        <w:rtl/>
      </w:rPr>
      <w:fldChar w:fldCharType="end"/>
    </w:r>
  </w:p>
  <w:p w14:paraId="314B3394" w14:textId="77777777" w:rsidR="00E67A34" w:rsidRDefault="00E67A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067834" w14:textId="77777777" w:rsidR="00E67A34" w:rsidRDefault="00E67A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198C">
      <w:rPr>
        <w:rFonts w:cs="TopType Jerushalmi"/>
        <w:noProof/>
        <w:color w:val="000000"/>
        <w:sz w:val="14"/>
        <w:szCs w:val="14"/>
      </w:rPr>
      <w:t>D:\Yael\hakika\Revadim\007_007.doc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6DA" w14:textId="77777777" w:rsidR="003D4C45" w:rsidRDefault="003D4C45" w:rsidP="00FB198C">
      <w:pPr>
        <w:spacing w:before="60" w:line="240" w:lineRule="auto"/>
        <w:ind w:right="1134"/>
      </w:pPr>
      <w:r>
        <w:separator/>
      </w:r>
    </w:p>
  </w:footnote>
  <w:footnote w:type="continuationSeparator" w:id="0">
    <w:p w14:paraId="72989402" w14:textId="77777777" w:rsidR="003D4C45" w:rsidRDefault="003D4C45">
      <w:pPr>
        <w:spacing w:line="240" w:lineRule="auto"/>
      </w:pPr>
      <w:r>
        <w:continuationSeparator/>
      </w:r>
    </w:p>
  </w:footnote>
  <w:footnote w:id="1">
    <w:p w14:paraId="4A567026" w14:textId="77777777" w:rsidR="00FB198C" w:rsidRPr="00FB198C" w:rsidRDefault="00FB198C" w:rsidP="00FB19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B198C">
        <w:rPr>
          <w:rFonts w:cs="FrankRuehl"/>
          <w:rtl/>
        </w:rPr>
        <w:t xml:space="preserve">* </w:t>
      </w:r>
      <w:r>
        <w:rPr>
          <w:rFonts w:cs="FrankRuehl"/>
          <w:rtl/>
        </w:rPr>
        <w:t>פו</w:t>
      </w:r>
      <w:r>
        <w:rPr>
          <w:rFonts w:cs="FrankRuehl" w:hint="cs"/>
          <w:rtl/>
        </w:rPr>
        <w:t xml:space="preserve">רסמו </w:t>
      </w:r>
      <w:hyperlink r:id="rId1" w:history="1">
        <w:r w:rsidRPr="006860E5">
          <w:rPr>
            <w:rStyle w:val="Hyperlink"/>
            <w:rFonts w:cs="FrankRuehl" w:hint="cs"/>
            <w:rtl/>
          </w:rPr>
          <w:t>ק"ת תשנ"ב מס' 5464</w:t>
        </w:r>
      </w:hyperlink>
      <w:r>
        <w:rPr>
          <w:rFonts w:cs="FrankRuehl" w:hint="cs"/>
          <w:rtl/>
        </w:rPr>
        <w:t xml:space="preserve"> מיום 12.8.1992 עמ' 1426.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0CBF" w14:textId="77777777" w:rsidR="00E67A34" w:rsidRDefault="00E67A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שער נייד) (הנפקה תשיעית), תשנ"ב–1992</w:t>
    </w:r>
  </w:p>
  <w:p w14:paraId="64B4BB39" w14:textId="77777777" w:rsidR="00E67A34" w:rsidRDefault="00E67A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7F709F" w14:textId="77777777" w:rsidR="00E67A34" w:rsidRDefault="00E67A3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FF60" w14:textId="77777777" w:rsidR="00E67A34" w:rsidRDefault="00E67A34" w:rsidP="00FB19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שער נייד) (הנפקה תשיעית), תשנ"ב</w:t>
    </w:r>
    <w:r w:rsidR="00FB198C">
      <w:rPr>
        <w:rFonts w:hAnsi="FrankRuehl" w:cs="FrankRuehl" w:hint="cs"/>
        <w:color w:val="000000"/>
        <w:sz w:val="28"/>
        <w:szCs w:val="28"/>
        <w:rtl/>
      </w:rPr>
      <w:t>-</w:t>
    </w:r>
    <w:r>
      <w:rPr>
        <w:rFonts w:hAnsi="FrankRuehl" w:cs="FrankRuehl"/>
        <w:color w:val="000000"/>
        <w:sz w:val="28"/>
        <w:szCs w:val="28"/>
        <w:rtl/>
      </w:rPr>
      <w:t>1992</w:t>
    </w:r>
  </w:p>
  <w:p w14:paraId="51FCCC02" w14:textId="77777777" w:rsidR="00E67A34" w:rsidRDefault="00E67A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2B432A" w14:textId="77777777" w:rsidR="00E67A34" w:rsidRDefault="00E67A3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0E5"/>
    <w:rsid w:val="00140D43"/>
    <w:rsid w:val="003D4C45"/>
    <w:rsid w:val="00456999"/>
    <w:rsid w:val="004E6786"/>
    <w:rsid w:val="006860E5"/>
    <w:rsid w:val="00782E20"/>
    <w:rsid w:val="00835303"/>
    <w:rsid w:val="00837A16"/>
    <w:rsid w:val="0089606E"/>
    <w:rsid w:val="00A1020F"/>
    <w:rsid w:val="00E67A34"/>
    <w:rsid w:val="00FB19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504BB8"/>
  <w15:chartTrackingRefBased/>
  <w15:docId w15:val="{E24FB9B3-38E8-401A-AF59-D01D04BD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FB198C"/>
    <w:rPr>
      <w:sz w:val="20"/>
      <w:szCs w:val="20"/>
    </w:rPr>
  </w:style>
  <w:style w:type="character" w:styleId="a6">
    <w:name w:val="footnote reference"/>
    <w:basedOn w:val="a0"/>
    <w:semiHidden/>
    <w:rsid w:val="00FB19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4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7</vt:lpstr>
    </vt:vector>
  </TitlesOfParts>
  <Company/>
  <LinksUpToDate>false</LinksUpToDate>
  <CharactersWithSpaces>2490</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7995400</vt:i4>
      </vt:variant>
      <vt:variant>
        <vt:i4>0</vt:i4>
      </vt:variant>
      <vt:variant>
        <vt:i4>0</vt:i4>
      </vt:variant>
      <vt:variant>
        <vt:i4>5</vt:i4>
      </vt:variant>
      <vt:variant>
        <vt:lpwstr>http://www.nevo.co.il/Law_word/law06/TAK-5464.pdf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0007</vt:lpwstr>
  </property>
  <property fmtid="{D5CDD505-2E9C-101B-9397-08002B2CF9AE}" pid="3" name="CHNAME">
    <vt:lpwstr>איגרות מדינת ישראל</vt:lpwstr>
  </property>
  <property fmtid="{D5CDD505-2E9C-101B-9397-08002B2CF9AE}" pid="4" name="LAWNAME">
    <vt:lpwstr>תקנות איגרות מדינת ישראל (הנפק שער נייד) (הנפקה תשיעית), תשנ"ב-1992</vt:lpwstr>
  </property>
  <property fmtid="{D5CDD505-2E9C-101B-9397-08002B2CF9AE}" pid="5" name="LAWNUMBER">
    <vt:lpwstr>0007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איגרות מדינת ישראל (הנפק שער נייד)</vt:lpwstr>
  </property>
  <property fmtid="{D5CDD505-2E9C-101B-9397-08002B2CF9AE}" pid="48" name="MEKOR_SAIF1">
    <vt:lpwstr>2X;10X</vt:lpwstr>
  </property>
</Properties>
</file>