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659" w:rsidRDefault="00F4565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Style w:val="default"/>
          <w:rFonts w:cs="FrankRuehl"/>
          <w:sz w:val="32"/>
          <w:szCs w:val="32"/>
          <w:rtl/>
        </w:rPr>
        <w:t>תקנות איסור הלבנת הון (כללים לבקשת מידע והעברתו מהרשות המוסמכת לשירות הביטחון הכללי), תשס"ב-2002</w:t>
      </w:r>
    </w:p>
    <w:p w:rsidR="00E326CD" w:rsidRPr="00E326CD" w:rsidRDefault="00E326CD" w:rsidP="00E326CD">
      <w:pPr>
        <w:spacing w:line="320" w:lineRule="auto"/>
        <w:jc w:val="left"/>
        <w:rPr>
          <w:rStyle w:val="default"/>
          <w:rFonts w:cs="FrankRuehl"/>
          <w:sz w:val="32"/>
          <w:rtl/>
        </w:rPr>
      </w:pPr>
    </w:p>
    <w:p w:rsidR="00E326CD" w:rsidRDefault="00E326CD" w:rsidP="00E326CD">
      <w:pPr>
        <w:spacing w:line="320" w:lineRule="auto"/>
        <w:jc w:val="left"/>
        <w:rPr>
          <w:rStyle w:val="default"/>
          <w:rFonts w:cs="Miriam"/>
          <w:sz w:val="32"/>
          <w:szCs w:val="22"/>
          <w:rtl/>
        </w:rPr>
      </w:pPr>
      <w:r w:rsidRPr="00E326CD">
        <w:rPr>
          <w:rStyle w:val="default"/>
          <w:rFonts w:cs="Miriam"/>
          <w:sz w:val="32"/>
          <w:szCs w:val="22"/>
          <w:rtl/>
        </w:rPr>
        <w:t>משפט פרטי וכלכלה</w:t>
      </w:r>
      <w:r w:rsidRPr="00E326CD">
        <w:rPr>
          <w:rStyle w:val="default"/>
          <w:rFonts w:cs="FrankRuehl"/>
          <w:sz w:val="32"/>
          <w:rtl/>
        </w:rPr>
        <w:t xml:space="preserve"> – כספים – איסור הלבנת הון – העברת מידע וניהולו</w:t>
      </w:r>
    </w:p>
    <w:p w:rsidR="00E326CD" w:rsidRDefault="00E326CD" w:rsidP="00E326CD">
      <w:pPr>
        <w:spacing w:line="320" w:lineRule="auto"/>
        <w:jc w:val="left"/>
        <w:rPr>
          <w:rStyle w:val="default"/>
          <w:rFonts w:cs="Miriam"/>
          <w:sz w:val="32"/>
          <w:szCs w:val="22"/>
          <w:rtl/>
        </w:rPr>
      </w:pPr>
      <w:r w:rsidRPr="00E326CD">
        <w:rPr>
          <w:rStyle w:val="default"/>
          <w:rFonts w:cs="Miriam"/>
          <w:sz w:val="32"/>
          <w:szCs w:val="22"/>
          <w:rtl/>
        </w:rPr>
        <w:t>עונשין ומשפט פלילי</w:t>
      </w:r>
      <w:r w:rsidRPr="00E326CD">
        <w:rPr>
          <w:rStyle w:val="default"/>
          <w:rFonts w:cs="FrankRuehl"/>
          <w:sz w:val="32"/>
          <w:rtl/>
        </w:rPr>
        <w:t xml:space="preserve"> – עבירות – איסור הלבנת הון – העברת מידע וניהולו</w:t>
      </w:r>
    </w:p>
    <w:p w:rsidR="00587B3F" w:rsidRPr="00E326CD" w:rsidRDefault="00E326CD" w:rsidP="00E326CD">
      <w:pPr>
        <w:spacing w:line="320" w:lineRule="auto"/>
        <w:jc w:val="left"/>
        <w:rPr>
          <w:rStyle w:val="default"/>
          <w:rFonts w:cs="Miriam"/>
          <w:sz w:val="32"/>
          <w:szCs w:val="22"/>
          <w:rtl/>
        </w:rPr>
      </w:pPr>
      <w:r w:rsidRPr="00E326CD">
        <w:rPr>
          <w:rStyle w:val="default"/>
          <w:rFonts w:cs="Miriam"/>
          <w:sz w:val="32"/>
          <w:szCs w:val="22"/>
          <w:rtl/>
        </w:rPr>
        <w:t>בטחון</w:t>
      </w:r>
      <w:r w:rsidRPr="00E326CD">
        <w:rPr>
          <w:rStyle w:val="default"/>
          <w:rFonts w:cs="FrankRuehl"/>
          <w:sz w:val="32"/>
          <w:rtl/>
        </w:rPr>
        <w:t xml:space="preserve"> – שירות הביטחון הכללי – מידע בידי השירות </w:t>
      </w:r>
    </w:p>
    <w:p w:rsidR="00F45659" w:rsidRDefault="00F45659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Style w:val="default"/>
          <w:rFonts w:cs="FrankRuehl"/>
          <w:sz w:val="32"/>
          <w:szCs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1" w:tooltip="בקשה לקבל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בקשה לקבלת מידע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2" w:tooltip="דרכי הגשת הבקשה לקבל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דרכי הגשת הבקשה לקבלת מידע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3" w:tooltip="בקשה לקבלת 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בקשה לקבלת פרטים נוספים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4" w:tooltip="העברת מידע מהרשות המוסמכת ל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העברת מידע מהרשות המוסמכת לשירות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Seif5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5" w:tooltip="דחיית בקשה לקבל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דחיית בקשה לקבלת מידע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6 </w:t>
            </w:r>
          </w:p>
        </w:tc>
      </w:tr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Seif6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6" w:tooltip="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ערר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7 </w:t>
            </w:r>
          </w:p>
        </w:tc>
      </w:tr>
      <w:tr w:rsidR="00F456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Seif7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hyperlink w:anchor="Seif7" w:tooltip="דרכי העב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דרכי העברת מידע</w:t>
            </w:r>
          </w:p>
        </w:tc>
        <w:tc>
          <w:tcPr>
            <w:tcW w:w="1247" w:type="dxa"/>
          </w:tcPr>
          <w:p w:rsidR="00F45659" w:rsidRDefault="00F45659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8 </w:t>
            </w:r>
          </w:p>
        </w:tc>
      </w:tr>
    </w:tbl>
    <w:p w:rsidR="00F45659" w:rsidRDefault="00F45659">
      <w:pPr>
        <w:pStyle w:val="big-header"/>
        <w:ind w:left="0" w:right="1134"/>
        <w:rPr>
          <w:rStyle w:val="default"/>
          <w:rFonts w:cs="FrankRuehl"/>
          <w:rtl/>
        </w:rPr>
      </w:pPr>
    </w:p>
    <w:p w:rsidR="00F45659" w:rsidRPr="00587B3F" w:rsidRDefault="00F45659" w:rsidP="00587B3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איסור הלבנת הון (כללים לבקשת מידע והעברתו מהרשות המוסמכת לשירות הביטחון הכללי), תשס"ב-2002</w:t>
      </w:r>
      <w:r>
        <w:rPr>
          <w:rStyle w:val="default"/>
          <w:rtl/>
        </w:rPr>
        <w:footnoteReference w:customMarkFollows="1" w:id="1"/>
        <w:t>*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30(ג) ו-32 לחוק איסור הלבנת הון, תש"ס-2000 (להלן - החוק), בהתייעצות עם השר לביטחון הפנים, בהסכמת ראש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משלה ובאישור ועדת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חוקה חוק ומשפט של הכנסת, אני מתקין תקנות אלה: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144" o:allowincell="f" filled="f" stroked="f" strokecolor="lime" strokeweight=".25pt">
            <v:textbox style="mso-next-textbox:#_x0000_s1026" inset="0,0,0,0">
              <w:txbxContent>
                <w:p w:rsidR="00F45659" w:rsidRDefault="00F456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- 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רשות המוסמכת" - הרשות המוסמכת לפי סעיף 29(א) לחוק;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שירות" - שירות הביטחון הכללי של מדינת ישראל;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"</w:t>
      </w:r>
      <w:r>
        <w:rPr>
          <w:rStyle w:val="default"/>
          <w:rFonts w:cs="FrankRuehl"/>
          <w:rtl/>
        </w:rPr>
        <w:t>מא</w:t>
      </w:r>
      <w:r>
        <w:rPr>
          <w:rStyle w:val="default"/>
          <w:rFonts w:cs="FrankRuehl" w:hint="cs"/>
          <w:rtl/>
        </w:rPr>
        <w:t>גר מידע" - מאגר המידע שהוקם לפי סעיף 28 לחוק;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ידע" - כל נתון שהתקבל במאגר המידע לפי הוראות החוק וכן כל עיבוד שלו;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ען" - שם הרחוב, מספר הבית, שם היישוב ומיקוד, ואם המען אינו בישראל - גם שם המדינה;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>רטי זיהוי" - מספר תעו</w:t>
      </w:r>
      <w:r>
        <w:rPr>
          <w:rStyle w:val="default"/>
          <w:rFonts w:cs="FrankRuehl"/>
          <w:rtl/>
        </w:rPr>
        <w:t>דת</w:t>
      </w:r>
      <w:r>
        <w:rPr>
          <w:rStyle w:val="default"/>
          <w:rFonts w:cs="FrankRuehl" w:hint="cs"/>
          <w:rtl/>
        </w:rPr>
        <w:t xml:space="preserve"> זהות; 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בי אזרח זר שלפי דיני מדינת אזרחותו והמדינה שבה הוא תושב אין תעודת זהות - מספר זיהוי רשמי וסדרתי אחר הנהוג במדינתו וכן מספר דרכון תקף ושם מדינה שהנפיקה אותו.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3pt;z-index:251655168" o:allowincell="f" filled="f" stroked="f" strokecolor="lime" strokeweight=".25pt">
            <v:textbox style="mso-next-textbox:#_x0000_s1027" inset="0,0,0,0">
              <w:txbxContent>
                <w:p w:rsidR="00F45659" w:rsidRDefault="00F45659" w:rsidP="00765A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לקבלת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קשת השירות לקבלת מידע מהרשות המוסמכת (להלן - בקשת המידע) תהיה בכתב ויפו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טו בה 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אלה:</w:t>
      </w:r>
    </w:p>
    <w:p w:rsidR="00F45659" w:rsidRDefault="00F456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האדם שלגביו מבקשים את המידע, פרטי זיהויו ומענו, מספר חשבון בציון המקום שבו נוהל, ככל שפרטים אלה ידועים לשירות, או כל פרט אחר שביחס אליו מתבקש המידע;</w:t>
      </w:r>
    </w:p>
    <w:p w:rsidR="00F45659" w:rsidRDefault="00F456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רק הזמן שלגביו מתבקש המידע;</w:t>
      </w:r>
    </w:p>
    <w:p w:rsidR="00F45659" w:rsidRDefault="00F456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יאור הנסיבות והנימוקים המצדיקים, לדעת השירות, את העברת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ידע מהרשות המוסמכת לשירות, לצורך מניעה וחקירה של פעילות של ארגוני טרור או של פגיעה בביטחון המדינה;</w:t>
      </w:r>
    </w:p>
    <w:p w:rsidR="00F45659" w:rsidRDefault="00F456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יווג הסודיות של הפרטים הכלולים בבקשה;</w:t>
      </w:r>
    </w:p>
    <w:p w:rsidR="00F45659" w:rsidRDefault="00F4565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ידת הדחיפות שבה נדרשת העברת המידע מהרשות המוסמכת לשירות.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בקשת מידע ובנימוקיה יכול שייכללו פרט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בדבר 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דע המצוי בשירות.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9.15pt;z-index:251656192" o:allowincell="f" filled="f" stroked="f" strokecolor="lime" strokeweight=".25pt">
            <v:textbox style="mso-next-textbox:#_x0000_s1028" inset="0,0,0,0">
              <w:txbxContent>
                <w:p w:rsidR="00F45659" w:rsidRDefault="00F45659" w:rsidP="00765A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הגשת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 לקבלת</w:t>
                  </w:r>
                  <w:r w:rsidR="00765A5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שת מידע תופנה לראש הרשות המוסמכת בידי אחד מאלה (להלן - המבקש) - </w:t>
      </w:r>
    </w:p>
    <w:p w:rsidR="00F45659" w:rsidRDefault="00F4565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מרכז שליטה במטה השירות;</w:t>
      </w:r>
    </w:p>
    <w:p w:rsidR="00F45659" w:rsidRDefault="00F4565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תפקיד אחר, שיקבע ראש השירות, בהתייעצות עם ראש הרשות המוסמכת.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pt;z-index:251657216" o:allowincell="f" filled="f" stroked="f" strokecolor="lime" strokeweight=".25pt">
            <v:textbox style="mso-next-textbox:#_x0000_s1029" inset="0,0,0,0">
              <w:txbxContent>
                <w:p w:rsidR="00F45659" w:rsidRDefault="00F45659" w:rsidP="00765A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לקבלת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אש הרשות המוסמכת רשאי לבקש 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טים נוספים מן המבקש, ככל הנדרש, לדעתו, לצורך טיפול בבקשה; בפנייתו יפרט ראש הרשות המוסמכת את טיב הפרטים הנוספים המבוקשים מהשירות וינמק את הצורך בפרטים אלה.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העביר המבקש את הפרטים הנוספים המבוקשים, כולם או חלקם, יחליט ראש הרשות המוסמכת בבקשה על בסיס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נתונים שנמסרו.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4.9pt;z-index:251658240" o:allowincell="f" filled="f" stroked="f" strokecolor="lime" strokeweight=".25pt">
            <v:textbox style="mso-next-textbox:#_x0000_s1030" inset="0,0,0,0">
              <w:txbxContent>
                <w:p w:rsidR="00F45659" w:rsidRDefault="00F45659" w:rsidP="00765A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מידע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רשות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וסמכת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ליט ראש הרשות המוסמכת להעביר מידע לשירות, יעבירו למבקש בהקדם האפשרי בנסיבות הענין, תוך התחשבות במידת הדחיפות שצוינה בבקשת המידע.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0pt;z-index:251659264" o:allowincell="f" filled="f" stroked="f" strokecolor="lime" strokeweight=".25pt">
            <v:textbox style="mso-next-textbox:#_x0000_s1031" inset="0,0,0,0">
              <w:txbxContent>
                <w:p w:rsidR="00F45659" w:rsidRDefault="00F45659" w:rsidP="00765A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יית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חלטת ראש הרשות המוסמכת לדחות את בקשת המידע, כולה או חלקה תהיה בכתב ומנומקת, ולאחר שניתנה למבקש </w:t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 xml:space="preserve">דמנות לטעון את טענותיו בפניו; ראש הרשות המוסמכת ייתן </w:t>
      </w:r>
      <w:r>
        <w:rPr>
          <w:rStyle w:val="default"/>
          <w:rFonts w:cs="FrankRuehl" w:hint="cs"/>
          <w:rtl/>
        </w:rPr>
        <w:lastRenderedPageBreak/>
        <w:t>את החלטתו בהקדם האפשרי בנסיבות הענין, ותוך התחשבות במידת הדחיפות שצוינה בבקשה.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ראש הרשות המוסמכת לדחות את הבקשה תועבר למבקש מיד לאחר קבלתה.</w:t>
      </w:r>
    </w:p>
    <w:p w:rsidR="00F45659" w:rsidRDefault="00F45659" w:rsidP="00765A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60288" o:allowincell="f" filled="f" stroked="f" strokecolor="lime" strokeweight=".25pt">
            <v:textbox style="mso-next-textbox:#_x0000_s1032" inset="0,0,0,0">
              <w:txbxContent>
                <w:p w:rsidR="00F45659" w:rsidRDefault="00F456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מבקש רשאי להגיש ערר ליועץ המשפטי לממשלה,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החלטת ראש הרשות המוסמכת לפי תקנה 6; הערר יוגש בכתב ויצורפו אליו כל המסמכים והמידע שהובאו בפני ראש הרשות המוסמכת.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ותק מן הערר כאמור בתקנת משנה (א) יועבר אל ראש הרשות המוסמכת, אשר יעביר את התייחסותו ליועץ המשפטי לממשלה בהקדם האפשרי, תוך התחשבות במי</w:t>
      </w:r>
      <w:r>
        <w:rPr>
          <w:rStyle w:val="default"/>
          <w:rFonts w:cs="FrankRuehl"/>
          <w:rtl/>
        </w:rPr>
        <w:t>דת</w:t>
      </w:r>
      <w:r>
        <w:rPr>
          <w:rStyle w:val="default"/>
          <w:rFonts w:cs="FrankRuehl" w:hint="cs"/>
          <w:rtl/>
        </w:rPr>
        <w:t xml:space="preserve"> הדחיפות שצוינה בבקשה, ולא יאוחר מתוך 14 ימים מהיום שבו נמסר לראש הרשות המוסמכת עותק של הערר.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4.5pt;z-index:251661312" o:allowincell="f" filled="f" stroked="f" strokecolor="lime" strokeweight=".25pt">
            <v:textbox style="mso-next-textbox:#_x0000_s1033" inset="0,0,0,0">
              <w:txbxContent>
                <w:p w:rsidR="00F45659" w:rsidRDefault="00F45659" w:rsidP="00765A5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העברת</w:t>
                  </w:r>
                  <w:r w:rsidR="00765A5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קשורת לפ</w:t>
      </w:r>
      <w:r>
        <w:rPr>
          <w:rStyle w:val="default"/>
          <w:rFonts w:cs="FrankRuehl"/>
          <w:rtl/>
        </w:rPr>
        <w:t>י</w:t>
      </w:r>
      <w:r w:rsidR="000C3A6B">
        <w:rPr>
          <w:rStyle w:val="default"/>
          <w:rFonts w:cs="FrankRuehl" w:hint="cs"/>
          <w:rtl/>
        </w:rPr>
        <w:t xml:space="preserve"> תקנות אלה בין השירות לבין</w:t>
      </w:r>
      <w:r>
        <w:rPr>
          <w:rStyle w:val="default"/>
          <w:rFonts w:cs="FrankRuehl" w:hint="cs"/>
          <w:rtl/>
        </w:rPr>
        <w:t xml:space="preserve"> הרשות המוסמכת תיעשה באחת או יותר מן הדרכים המפורטות להלן, כפי שיקבע ראש היחידה לאבטחת מידע בשירות הביטחון הכללי, בהסכמ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ראש הרשות המוסמכת:</w:t>
      </w:r>
    </w:p>
    <w:p w:rsidR="00F45659" w:rsidRDefault="00F4565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תקשורת ברשת פרטית </w:t>
      </w:r>
      <w:r>
        <w:rPr>
          <w:rStyle w:val="default"/>
          <w:rFonts w:cs="FrankRuehl"/>
          <w:sz w:val="20"/>
        </w:rPr>
        <w:t>(VPN - virtual private network)</w:t>
      </w:r>
      <w:r>
        <w:rPr>
          <w:rStyle w:val="default"/>
          <w:rFonts w:cs="FrankRuehl"/>
          <w:rtl/>
        </w:rPr>
        <w:t>;</w:t>
      </w:r>
    </w:p>
    <w:p w:rsidR="00F45659" w:rsidRDefault="00F4565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מדיה מגנטית - לרבות דיסקטים,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תקליטורים או כל אמצעי נתיק אחר; </w:t>
      </w:r>
    </w:p>
    <w:p w:rsidR="00F45659" w:rsidRDefault="00F4565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גבי מסמכי נייר.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65A59" w:rsidRDefault="00765A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5659" w:rsidRDefault="00F45659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ט' </w:t>
      </w:r>
      <w:r>
        <w:rPr>
          <w:rStyle w:val="default"/>
          <w:rFonts w:cs="FrankRuehl" w:hint="cs"/>
          <w:rtl/>
        </w:rPr>
        <w:t>באב תשס"ב (18 ביולי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איר שטרית</w:t>
      </w:r>
    </w:p>
    <w:p w:rsidR="00F45659" w:rsidRDefault="00F4565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5659" w:rsidRDefault="00F456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F4565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46C" w:rsidRDefault="00EE146C">
      <w:r>
        <w:separator/>
      </w:r>
    </w:p>
  </w:endnote>
  <w:endnote w:type="continuationSeparator" w:id="0">
    <w:p w:rsidR="00EE146C" w:rsidRDefault="00EE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59" w:rsidRDefault="00F456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659" w:rsidRDefault="00F456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659" w:rsidRDefault="00F456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Z:\000000000000-law\yael\07-04-18-d\01</w:t>
    </w:r>
    <w:r>
      <w:rPr>
        <w:rFonts w:cs="TopType Jerushalmi"/>
        <w:color w:val="000000"/>
        <w:sz w:val="14"/>
        <w:szCs w:val="14"/>
        <w:rtl/>
      </w:rPr>
      <w:t>\טבלא\017</w:t>
    </w:r>
    <w:r>
      <w:rPr>
        <w:rFonts w:cs="TopType Jerushalmi"/>
        <w:color w:val="000000"/>
        <w:sz w:val="14"/>
        <w:szCs w:val="14"/>
      </w:rPr>
      <w:t>m1_018.doc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59" w:rsidRDefault="00F4565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3A6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45659" w:rsidRDefault="00F4565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659" w:rsidRDefault="00F4565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Z:\000000000000-law\yael\07-04-18-d\01</w:t>
    </w:r>
    <w:r>
      <w:rPr>
        <w:rFonts w:cs="TopType Jerushalmi"/>
        <w:color w:val="000000"/>
        <w:sz w:val="14"/>
        <w:szCs w:val="14"/>
        <w:rtl/>
      </w:rPr>
      <w:t>\טבלא\017</w:t>
    </w:r>
    <w:r>
      <w:rPr>
        <w:rFonts w:cs="TopType Jerushalmi"/>
        <w:color w:val="000000"/>
        <w:sz w:val="14"/>
        <w:szCs w:val="14"/>
      </w:rPr>
      <w:t>m1_018.doc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46C" w:rsidRDefault="00EE146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E146C" w:rsidRDefault="00EE146C">
      <w:pPr>
        <w:spacing w:before="60" w:line="240" w:lineRule="auto"/>
        <w:ind w:right="1134"/>
      </w:pPr>
      <w:r>
        <w:separator/>
      </w:r>
    </w:p>
  </w:footnote>
  <w:footnote w:id="1">
    <w:p w:rsidR="00F45659" w:rsidRDefault="00F456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תשס"ב מס' 6187</w:t>
        </w:r>
      </w:hyperlink>
      <w:r>
        <w:rPr>
          <w:rFonts w:cs="FrankRuehl" w:hint="cs"/>
          <w:rtl/>
        </w:rPr>
        <w:t xml:space="preserve"> מיום 4.8.2002 עמ' 1166.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59" w:rsidRDefault="00F456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איסור הלבנת הון (כללים לבקשת מידע והעברתו מהרשות המוסמכת לשירות הביטחון הכללי), תשס"ב- 2002</w:t>
    </w:r>
  </w:p>
  <w:p w:rsidR="00F45659" w:rsidRDefault="00F456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659" w:rsidRDefault="00F456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59" w:rsidRDefault="00F456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איסור הלבנת הון (כללים לבקשת מידע והעברתו מהרשות המוסמכת לשירות הביטחון הכללי), תשס"ב-2002</w:t>
    </w:r>
  </w:p>
  <w:p w:rsidR="00F45659" w:rsidRDefault="00F456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659" w:rsidRDefault="00F4565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7B3F"/>
    <w:rsid w:val="000C3A6B"/>
    <w:rsid w:val="00432395"/>
    <w:rsid w:val="00587B3F"/>
    <w:rsid w:val="00765A59"/>
    <w:rsid w:val="008A6F6E"/>
    <w:rsid w:val="00C17F7A"/>
    <w:rsid w:val="00D741FB"/>
    <w:rsid w:val="00DB3CF9"/>
    <w:rsid w:val="00E326CD"/>
    <w:rsid w:val="00EE146C"/>
    <w:rsid w:val="00F047C0"/>
    <w:rsid w:val="00F4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9DE212-EC97-406E-B2FC-29000BE0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1/17</vt:lpstr>
    </vt:vector>
  </TitlesOfParts>
  <Company/>
  <LinksUpToDate>false</LinksUpToDate>
  <CharactersWithSpaces>4234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1/17</dc:title>
  <dc:subject/>
  <dc:creator>hofit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017m1</vt:lpwstr>
  </property>
  <property fmtid="{D5CDD505-2E9C-101B-9397-08002B2CF9AE}" pid="3" name="CHNAME">
    <vt:lpwstr>איסור הלבנת הון</vt:lpwstr>
  </property>
  <property fmtid="{D5CDD505-2E9C-101B-9397-08002B2CF9AE}" pid="4" name="LAWNAME">
    <vt:lpwstr>תקנות איסור הלבנת הון (כללים לבקשת מידע והעברתו מהרשות המוסמכת לשירות הביטחון הכללי), תשס"ב-2002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איסור הלבנת הון</vt:lpwstr>
  </property>
  <property fmtid="{D5CDD505-2E9C-101B-9397-08002B2CF9AE}" pid="10" name="NOSE41">
    <vt:lpwstr>העברת מידע וניהולו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איסור הלבנת הון</vt:lpwstr>
  </property>
  <property fmtid="{D5CDD505-2E9C-101B-9397-08002B2CF9AE}" pid="14" name="NOSE42">
    <vt:lpwstr>העברת מידע וניהולו</vt:lpwstr>
  </property>
  <property fmtid="{D5CDD505-2E9C-101B-9397-08002B2CF9AE}" pid="15" name="NOSE13">
    <vt:lpwstr>בטחון</vt:lpwstr>
  </property>
  <property fmtid="{D5CDD505-2E9C-101B-9397-08002B2CF9AE}" pid="16" name="NOSE23">
    <vt:lpwstr>שירות הביטחון הכללי</vt:lpwstr>
  </property>
  <property fmtid="{D5CDD505-2E9C-101B-9397-08002B2CF9AE}" pid="17" name="NOSE33">
    <vt:lpwstr>מידע בידי השירות 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איסור הלבנת הון</vt:lpwstr>
  </property>
  <property fmtid="{D5CDD505-2E9C-101B-9397-08002B2CF9AE}" pid="48" name="MEKOR_SAIF1">
    <vt:lpwstr>30XגX;32X</vt:lpwstr>
  </property>
</Properties>
</file>