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23BF" w14:textId="77777777" w:rsidR="004B7FEE" w:rsidRDefault="004B7FEE" w:rsidP="00897F9B">
      <w:pPr>
        <w:pStyle w:val="big-header"/>
        <w:ind w:left="0" w:right="1134"/>
        <w:rPr>
          <w:rFonts w:cs="FrankRuehl"/>
          <w:sz w:val="32"/>
        </w:rPr>
      </w:pPr>
      <w:r>
        <w:rPr>
          <w:rFonts w:cs="FrankRuehl"/>
          <w:sz w:val="32"/>
          <w:rtl/>
        </w:rPr>
        <w:t>תקנות בינוי ופינוי של אזורי שיקום (מסירת דרישת פינוי), תשכ"ח-1968</w:t>
      </w:r>
    </w:p>
    <w:p w14:paraId="6F091D57" w14:textId="77777777" w:rsidR="002360F0" w:rsidRPr="002360F0" w:rsidRDefault="002360F0" w:rsidP="002360F0">
      <w:pPr>
        <w:spacing w:line="320" w:lineRule="auto"/>
        <w:jc w:val="left"/>
        <w:rPr>
          <w:rFonts w:cs="FrankRuehl"/>
          <w:szCs w:val="26"/>
          <w:rtl/>
        </w:rPr>
      </w:pPr>
    </w:p>
    <w:p w14:paraId="4BB79355" w14:textId="77777777" w:rsidR="002360F0" w:rsidRDefault="002360F0" w:rsidP="002360F0">
      <w:pPr>
        <w:spacing w:line="320" w:lineRule="auto"/>
        <w:jc w:val="left"/>
        <w:rPr>
          <w:rtl/>
        </w:rPr>
      </w:pPr>
    </w:p>
    <w:p w14:paraId="5C9C001D" w14:textId="77777777" w:rsidR="002360F0" w:rsidRDefault="002360F0" w:rsidP="002360F0">
      <w:pPr>
        <w:spacing w:line="320" w:lineRule="auto"/>
        <w:jc w:val="left"/>
        <w:rPr>
          <w:rFonts w:cs="FrankRuehl"/>
          <w:szCs w:val="26"/>
          <w:rtl/>
        </w:rPr>
      </w:pPr>
      <w:r w:rsidRPr="002360F0">
        <w:rPr>
          <w:rFonts w:cs="Miriam"/>
          <w:szCs w:val="22"/>
          <w:rtl/>
        </w:rPr>
        <w:t>רשויות ומשפט מנהלי</w:t>
      </w:r>
      <w:r w:rsidRPr="002360F0">
        <w:rPr>
          <w:rFonts w:cs="FrankRuehl"/>
          <w:szCs w:val="26"/>
          <w:rtl/>
        </w:rPr>
        <w:t xml:space="preserve"> – תכנון ובניה – בינוי ופינוי  – אזורי שיקום</w:t>
      </w:r>
    </w:p>
    <w:p w14:paraId="67BD4960" w14:textId="77777777" w:rsidR="00A259E8" w:rsidRPr="002360F0" w:rsidRDefault="002360F0" w:rsidP="002360F0">
      <w:pPr>
        <w:spacing w:line="320" w:lineRule="auto"/>
        <w:jc w:val="left"/>
        <w:rPr>
          <w:rFonts w:cs="Miriam"/>
          <w:szCs w:val="22"/>
          <w:rtl/>
        </w:rPr>
      </w:pPr>
      <w:r w:rsidRPr="002360F0">
        <w:rPr>
          <w:rFonts w:cs="Miriam"/>
          <w:szCs w:val="22"/>
          <w:rtl/>
        </w:rPr>
        <w:t>משפט פרטי וכלכלה</w:t>
      </w:r>
      <w:r w:rsidRPr="002360F0">
        <w:rPr>
          <w:rFonts w:cs="FrankRuehl"/>
          <w:szCs w:val="26"/>
          <w:rtl/>
        </w:rPr>
        <w:t xml:space="preserve"> – קניין – מקרקעין – פינוי והפקעה</w:t>
      </w:r>
    </w:p>
    <w:p w14:paraId="63B4D6D8" w14:textId="77777777" w:rsidR="00A259E8" w:rsidRDefault="00A259E8" w:rsidP="00A259E8">
      <w:pPr>
        <w:spacing w:line="320" w:lineRule="auto"/>
        <w:jc w:val="left"/>
        <w:rPr>
          <w:rtl/>
        </w:rPr>
      </w:pPr>
    </w:p>
    <w:p w14:paraId="2BA2F6AF" w14:textId="77777777" w:rsidR="004B7FEE" w:rsidRDefault="004B7FE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D6608" w:rsidRPr="008D6608" w14:paraId="52CD4EAC" w14:textId="77777777">
        <w:tblPrEx>
          <w:tblCellMar>
            <w:top w:w="0" w:type="dxa"/>
            <w:bottom w:w="0" w:type="dxa"/>
          </w:tblCellMar>
        </w:tblPrEx>
        <w:tc>
          <w:tcPr>
            <w:tcW w:w="1247" w:type="dxa"/>
          </w:tcPr>
          <w:p w14:paraId="25DE65BA" w14:textId="77777777" w:rsidR="008D6608" w:rsidRPr="008D6608" w:rsidRDefault="008D6608" w:rsidP="008D6608">
            <w:pPr>
              <w:spacing w:line="240" w:lineRule="auto"/>
              <w:jc w:val="left"/>
              <w:rPr>
                <w:rFonts w:cs="Frankruhel"/>
                <w:sz w:val="24"/>
                <w:rtl/>
              </w:rPr>
            </w:pPr>
            <w:r>
              <w:rPr>
                <w:sz w:val="24"/>
                <w:rtl/>
              </w:rPr>
              <w:t xml:space="preserve">סעיף 1 </w:t>
            </w:r>
          </w:p>
        </w:tc>
        <w:tc>
          <w:tcPr>
            <w:tcW w:w="5669" w:type="dxa"/>
          </w:tcPr>
          <w:p w14:paraId="5FF1555A" w14:textId="77777777" w:rsidR="008D6608" w:rsidRPr="008D6608" w:rsidRDefault="008D6608" w:rsidP="008D6608">
            <w:pPr>
              <w:spacing w:line="240" w:lineRule="auto"/>
              <w:jc w:val="left"/>
              <w:rPr>
                <w:rFonts w:cs="Frankruhel"/>
                <w:sz w:val="24"/>
                <w:rtl/>
              </w:rPr>
            </w:pPr>
            <w:r>
              <w:rPr>
                <w:sz w:val="24"/>
                <w:rtl/>
              </w:rPr>
              <w:t>הגדרות</w:t>
            </w:r>
          </w:p>
        </w:tc>
        <w:tc>
          <w:tcPr>
            <w:tcW w:w="567" w:type="dxa"/>
          </w:tcPr>
          <w:p w14:paraId="48645428" w14:textId="77777777" w:rsidR="008D6608" w:rsidRPr="008D6608" w:rsidRDefault="008D6608" w:rsidP="008D6608">
            <w:pPr>
              <w:spacing w:line="240" w:lineRule="auto"/>
              <w:jc w:val="left"/>
              <w:rPr>
                <w:rStyle w:val="Hyperlink"/>
                <w:rtl/>
              </w:rPr>
            </w:pPr>
            <w:hyperlink w:anchor="Seif1" w:tooltip="הגדרות" w:history="1">
              <w:r w:rsidRPr="008D6608">
                <w:rPr>
                  <w:rStyle w:val="Hyperlink"/>
                </w:rPr>
                <w:t>Go</w:t>
              </w:r>
            </w:hyperlink>
          </w:p>
        </w:tc>
        <w:tc>
          <w:tcPr>
            <w:tcW w:w="850" w:type="dxa"/>
          </w:tcPr>
          <w:p w14:paraId="4BFD630A"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6E300B44" w14:textId="77777777">
        <w:tblPrEx>
          <w:tblCellMar>
            <w:top w:w="0" w:type="dxa"/>
            <w:bottom w:w="0" w:type="dxa"/>
          </w:tblCellMar>
        </w:tblPrEx>
        <w:tc>
          <w:tcPr>
            <w:tcW w:w="1247" w:type="dxa"/>
          </w:tcPr>
          <w:p w14:paraId="295006BC" w14:textId="77777777" w:rsidR="008D6608" w:rsidRPr="008D6608" w:rsidRDefault="008D6608" w:rsidP="008D6608">
            <w:pPr>
              <w:spacing w:line="240" w:lineRule="auto"/>
              <w:jc w:val="left"/>
              <w:rPr>
                <w:rFonts w:cs="Frankruhel"/>
                <w:sz w:val="24"/>
                <w:rtl/>
              </w:rPr>
            </w:pPr>
            <w:r>
              <w:rPr>
                <w:sz w:val="24"/>
                <w:rtl/>
              </w:rPr>
              <w:t xml:space="preserve">סעיף 2 </w:t>
            </w:r>
          </w:p>
        </w:tc>
        <w:tc>
          <w:tcPr>
            <w:tcW w:w="5669" w:type="dxa"/>
          </w:tcPr>
          <w:p w14:paraId="7E1F2380" w14:textId="77777777" w:rsidR="008D6608" w:rsidRPr="008D6608" w:rsidRDefault="008D6608" w:rsidP="008D6608">
            <w:pPr>
              <w:spacing w:line="240" w:lineRule="auto"/>
              <w:jc w:val="left"/>
              <w:rPr>
                <w:rFonts w:cs="Frankruhel"/>
                <w:sz w:val="24"/>
                <w:rtl/>
              </w:rPr>
            </w:pPr>
            <w:r>
              <w:rPr>
                <w:sz w:val="24"/>
                <w:rtl/>
              </w:rPr>
              <w:t>המצאת דרישת פינוי</w:t>
            </w:r>
          </w:p>
        </w:tc>
        <w:tc>
          <w:tcPr>
            <w:tcW w:w="567" w:type="dxa"/>
          </w:tcPr>
          <w:p w14:paraId="0BA1D11A" w14:textId="77777777" w:rsidR="008D6608" w:rsidRPr="008D6608" w:rsidRDefault="008D6608" w:rsidP="008D6608">
            <w:pPr>
              <w:spacing w:line="240" w:lineRule="auto"/>
              <w:jc w:val="left"/>
              <w:rPr>
                <w:rStyle w:val="Hyperlink"/>
                <w:rtl/>
              </w:rPr>
            </w:pPr>
            <w:hyperlink w:anchor="Seif2" w:tooltip="המצאת דרישת פינוי" w:history="1">
              <w:r w:rsidRPr="008D6608">
                <w:rPr>
                  <w:rStyle w:val="Hyperlink"/>
                </w:rPr>
                <w:t>Go</w:t>
              </w:r>
            </w:hyperlink>
          </w:p>
        </w:tc>
        <w:tc>
          <w:tcPr>
            <w:tcW w:w="850" w:type="dxa"/>
          </w:tcPr>
          <w:p w14:paraId="59DF7FA0"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53901F85" w14:textId="77777777">
        <w:tblPrEx>
          <w:tblCellMar>
            <w:top w:w="0" w:type="dxa"/>
            <w:bottom w:w="0" w:type="dxa"/>
          </w:tblCellMar>
        </w:tblPrEx>
        <w:tc>
          <w:tcPr>
            <w:tcW w:w="1247" w:type="dxa"/>
          </w:tcPr>
          <w:p w14:paraId="442D305B" w14:textId="77777777" w:rsidR="008D6608" w:rsidRPr="008D6608" w:rsidRDefault="008D6608" w:rsidP="008D6608">
            <w:pPr>
              <w:spacing w:line="240" w:lineRule="auto"/>
              <w:jc w:val="left"/>
              <w:rPr>
                <w:rFonts w:cs="Frankruhel"/>
                <w:sz w:val="24"/>
                <w:rtl/>
              </w:rPr>
            </w:pPr>
            <w:r>
              <w:rPr>
                <w:sz w:val="24"/>
                <w:rtl/>
              </w:rPr>
              <w:t xml:space="preserve">סעיף 3 </w:t>
            </w:r>
          </w:p>
        </w:tc>
        <w:tc>
          <w:tcPr>
            <w:tcW w:w="5669" w:type="dxa"/>
          </w:tcPr>
          <w:p w14:paraId="14A4E841" w14:textId="77777777" w:rsidR="008D6608" w:rsidRPr="008D6608" w:rsidRDefault="008D6608" w:rsidP="008D6608">
            <w:pPr>
              <w:spacing w:line="240" w:lineRule="auto"/>
              <w:jc w:val="left"/>
              <w:rPr>
                <w:rFonts w:cs="Frankruhel"/>
                <w:sz w:val="24"/>
                <w:rtl/>
              </w:rPr>
            </w:pPr>
            <w:r>
              <w:rPr>
                <w:sz w:val="24"/>
                <w:rtl/>
              </w:rPr>
              <w:t>המצאה לתאגיד</w:t>
            </w:r>
          </w:p>
        </w:tc>
        <w:tc>
          <w:tcPr>
            <w:tcW w:w="567" w:type="dxa"/>
          </w:tcPr>
          <w:p w14:paraId="156ECD3F" w14:textId="77777777" w:rsidR="008D6608" w:rsidRPr="008D6608" w:rsidRDefault="008D6608" w:rsidP="008D6608">
            <w:pPr>
              <w:spacing w:line="240" w:lineRule="auto"/>
              <w:jc w:val="left"/>
              <w:rPr>
                <w:rStyle w:val="Hyperlink"/>
                <w:rtl/>
              </w:rPr>
            </w:pPr>
            <w:hyperlink w:anchor="Seif3" w:tooltip="המצאה לתאגיד" w:history="1">
              <w:r w:rsidRPr="008D6608">
                <w:rPr>
                  <w:rStyle w:val="Hyperlink"/>
                </w:rPr>
                <w:t>Go</w:t>
              </w:r>
            </w:hyperlink>
          </w:p>
        </w:tc>
        <w:tc>
          <w:tcPr>
            <w:tcW w:w="850" w:type="dxa"/>
          </w:tcPr>
          <w:p w14:paraId="56C4B63D"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611F097A" w14:textId="77777777">
        <w:tblPrEx>
          <w:tblCellMar>
            <w:top w:w="0" w:type="dxa"/>
            <w:bottom w:w="0" w:type="dxa"/>
          </w:tblCellMar>
        </w:tblPrEx>
        <w:tc>
          <w:tcPr>
            <w:tcW w:w="1247" w:type="dxa"/>
          </w:tcPr>
          <w:p w14:paraId="5B161798" w14:textId="77777777" w:rsidR="008D6608" w:rsidRPr="008D6608" w:rsidRDefault="008D6608" w:rsidP="008D6608">
            <w:pPr>
              <w:spacing w:line="240" w:lineRule="auto"/>
              <w:jc w:val="left"/>
              <w:rPr>
                <w:rFonts w:cs="Frankruhel"/>
                <w:sz w:val="24"/>
                <w:rtl/>
              </w:rPr>
            </w:pPr>
            <w:r>
              <w:rPr>
                <w:sz w:val="24"/>
                <w:rtl/>
              </w:rPr>
              <w:t xml:space="preserve">סעיף 4 </w:t>
            </w:r>
          </w:p>
        </w:tc>
        <w:tc>
          <w:tcPr>
            <w:tcW w:w="5669" w:type="dxa"/>
          </w:tcPr>
          <w:p w14:paraId="7993F9BB" w14:textId="77777777" w:rsidR="008D6608" w:rsidRPr="008D6608" w:rsidRDefault="008D6608" w:rsidP="008D6608">
            <w:pPr>
              <w:spacing w:line="240" w:lineRule="auto"/>
              <w:jc w:val="left"/>
              <w:rPr>
                <w:rFonts w:cs="Frankruhel"/>
                <w:sz w:val="24"/>
                <w:rtl/>
              </w:rPr>
            </w:pPr>
            <w:r>
              <w:rPr>
                <w:sz w:val="24"/>
                <w:rtl/>
              </w:rPr>
              <w:t>המצאה לרשות מקומית</w:t>
            </w:r>
          </w:p>
        </w:tc>
        <w:tc>
          <w:tcPr>
            <w:tcW w:w="567" w:type="dxa"/>
          </w:tcPr>
          <w:p w14:paraId="3CE08121" w14:textId="77777777" w:rsidR="008D6608" w:rsidRPr="008D6608" w:rsidRDefault="008D6608" w:rsidP="008D6608">
            <w:pPr>
              <w:spacing w:line="240" w:lineRule="auto"/>
              <w:jc w:val="left"/>
              <w:rPr>
                <w:rStyle w:val="Hyperlink"/>
                <w:rtl/>
              </w:rPr>
            </w:pPr>
            <w:hyperlink w:anchor="Seif4" w:tooltip="המצאה לרשות מקומית" w:history="1">
              <w:r w:rsidRPr="008D6608">
                <w:rPr>
                  <w:rStyle w:val="Hyperlink"/>
                </w:rPr>
                <w:t>Go</w:t>
              </w:r>
            </w:hyperlink>
          </w:p>
        </w:tc>
        <w:tc>
          <w:tcPr>
            <w:tcW w:w="850" w:type="dxa"/>
          </w:tcPr>
          <w:p w14:paraId="0BC6B51E"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3AD7BE27" w14:textId="77777777">
        <w:tblPrEx>
          <w:tblCellMar>
            <w:top w:w="0" w:type="dxa"/>
            <w:bottom w:w="0" w:type="dxa"/>
          </w:tblCellMar>
        </w:tblPrEx>
        <w:tc>
          <w:tcPr>
            <w:tcW w:w="1247" w:type="dxa"/>
          </w:tcPr>
          <w:p w14:paraId="7EBB7564" w14:textId="77777777" w:rsidR="008D6608" w:rsidRPr="008D6608" w:rsidRDefault="008D6608" w:rsidP="008D6608">
            <w:pPr>
              <w:spacing w:line="240" w:lineRule="auto"/>
              <w:jc w:val="left"/>
              <w:rPr>
                <w:rFonts w:cs="Frankruhel"/>
                <w:sz w:val="24"/>
                <w:rtl/>
              </w:rPr>
            </w:pPr>
            <w:r>
              <w:rPr>
                <w:sz w:val="24"/>
                <w:rtl/>
              </w:rPr>
              <w:t xml:space="preserve">סעיף 5 </w:t>
            </w:r>
          </w:p>
        </w:tc>
        <w:tc>
          <w:tcPr>
            <w:tcW w:w="5669" w:type="dxa"/>
          </w:tcPr>
          <w:p w14:paraId="789388FE" w14:textId="77777777" w:rsidR="008D6608" w:rsidRPr="008D6608" w:rsidRDefault="008D6608" w:rsidP="008D6608">
            <w:pPr>
              <w:spacing w:line="240" w:lineRule="auto"/>
              <w:jc w:val="left"/>
              <w:rPr>
                <w:rFonts w:cs="Frankruhel"/>
                <w:sz w:val="24"/>
                <w:rtl/>
              </w:rPr>
            </w:pPr>
            <w:r>
              <w:rPr>
                <w:sz w:val="24"/>
                <w:rtl/>
              </w:rPr>
              <w:t>המצאה לפסול דין</w:t>
            </w:r>
          </w:p>
        </w:tc>
        <w:tc>
          <w:tcPr>
            <w:tcW w:w="567" w:type="dxa"/>
          </w:tcPr>
          <w:p w14:paraId="4EFB684A" w14:textId="77777777" w:rsidR="008D6608" w:rsidRPr="008D6608" w:rsidRDefault="008D6608" w:rsidP="008D6608">
            <w:pPr>
              <w:spacing w:line="240" w:lineRule="auto"/>
              <w:jc w:val="left"/>
              <w:rPr>
                <w:rStyle w:val="Hyperlink"/>
                <w:rtl/>
              </w:rPr>
            </w:pPr>
            <w:hyperlink w:anchor="Seif5" w:tooltip="המצאה לפסול דין" w:history="1">
              <w:r w:rsidRPr="008D6608">
                <w:rPr>
                  <w:rStyle w:val="Hyperlink"/>
                </w:rPr>
                <w:t>Go</w:t>
              </w:r>
            </w:hyperlink>
          </w:p>
        </w:tc>
        <w:tc>
          <w:tcPr>
            <w:tcW w:w="850" w:type="dxa"/>
          </w:tcPr>
          <w:p w14:paraId="1DDCCE01"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5D571A35" w14:textId="77777777">
        <w:tblPrEx>
          <w:tblCellMar>
            <w:top w:w="0" w:type="dxa"/>
            <w:bottom w:w="0" w:type="dxa"/>
          </w:tblCellMar>
        </w:tblPrEx>
        <w:tc>
          <w:tcPr>
            <w:tcW w:w="1247" w:type="dxa"/>
          </w:tcPr>
          <w:p w14:paraId="01A6A415" w14:textId="77777777" w:rsidR="008D6608" w:rsidRPr="008D6608" w:rsidRDefault="008D6608" w:rsidP="008D6608">
            <w:pPr>
              <w:spacing w:line="240" w:lineRule="auto"/>
              <w:jc w:val="left"/>
              <w:rPr>
                <w:rFonts w:cs="Frankruhel"/>
                <w:sz w:val="24"/>
                <w:rtl/>
              </w:rPr>
            </w:pPr>
            <w:r>
              <w:rPr>
                <w:sz w:val="24"/>
                <w:rtl/>
              </w:rPr>
              <w:t xml:space="preserve">סעיף 6 </w:t>
            </w:r>
          </w:p>
        </w:tc>
        <w:tc>
          <w:tcPr>
            <w:tcW w:w="5669" w:type="dxa"/>
          </w:tcPr>
          <w:p w14:paraId="70F158CC" w14:textId="77777777" w:rsidR="008D6608" w:rsidRPr="008D6608" w:rsidRDefault="008D6608" w:rsidP="008D6608">
            <w:pPr>
              <w:spacing w:line="240" w:lineRule="auto"/>
              <w:jc w:val="left"/>
              <w:rPr>
                <w:rFonts w:cs="Frankruhel"/>
                <w:sz w:val="24"/>
                <w:rtl/>
              </w:rPr>
            </w:pPr>
            <w:r>
              <w:rPr>
                <w:sz w:val="24"/>
                <w:rtl/>
              </w:rPr>
              <w:t>המצאה לחייל</w:t>
            </w:r>
          </w:p>
        </w:tc>
        <w:tc>
          <w:tcPr>
            <w:tcW w:w="567" w:type="dxa"/>
          </w:tcPr>
          <w:p w14:paraId="75E87987" w14:textId="77777777" w:rsidR="008D6608" w:rsidRPr="008D6608" w:rsidRDefault="008D6608" w:rsidP="008D6608">
            <w:pPr>
              <w:spacing w:line="240" w:lineRule="auto"/>
              <w:jc w:val="left"/>
              <w:rPr>
                <w:rStyle w:val="Hyperlink"/>
                <w:rtl/>
              </w:rPr>
            </w:pPr>
            <w:hyperlink w:anchor="Seif6" w:tooltip="המצאה לחייל" w:history="1">
              <w:r w:rsidRPr="008D6608">
                <w:rPr>
                  <w:rStyle w:val="Hyperlink"/>
                </w:rPr>
                <w:t>Go</w:t>
              </w:r>
            </w:hyperlink>
          </w:p>
        </w:tc>
        <w:tc>
          <w:tcPr>
            <w:tcW w:w="850" w:type="dxa"/>
          </w:tcPr>
          <w:p w14:paraId="728B1951"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67925968" w14:textId="77777777">
        <w:tblPrEx>
          <w:tblCellMar>
            <w:top w:w="0" w:type="dxa"/>
            <w:bottom w:w="0" w:type="dxa"/>
          </w:tblCellMar>
        </w:tblPrEx>
        <w:tc>
          <w:tcPr>
            <w:tcW w:w="1247" w:type="dxa"/>
          </w:tcPr>
          <w:p w14:paraId="71953EBD" w14:textId="77777777" w:rsidR="008D6608" w:rsidRPr="008D6608" w:rsidRDefault="008D6608" w:rsidP="008D6608">
            <w:pPr>
              <w:spacing w:line="240" w:lineRule="auto"/>
              <w:jc w:val="left"/>
              <w:rPr>
                <w:rFonts w:cs="Frankruhel"/>
                <w:sz w:val="24"/>
                <w:rtl/>
              </w:rPr>
            </w:pPr>
            <w:r>
              <w:rPr>
                <w:sz w:val="24"/>
                <w:rtl/>
              </w:rPr>
              <w:t xml:space="preserve">סעיף 7 </w:t>
            </w:r>
          </w:p>
        </w:tc>
        <w:tc>
          <w:tcPr>
            <w:tcW w:w="5669" w:type="dxa"/>
          </w:tcPr>
          <w:p w14:paraId="0594D08D" w14:textId="77777777" w:rsidR="008D6608" w:rsidRPr="008D6608" w:rsidRDefault="008D6608" w:rsidP="008D6608">
            <w:pPr>
              <w:spacing w:line="240" w:lineRule="auto"/>
              <w:jc w:val="left"/>
              <w:rPr>
                <w:rFonts w:cs="Frankruhel"/>
                <w:sz w:val="24"/>
                <w:rtl/>
              </w:rPr>
            </w:pPr>
            <w:r>
              <w:rPr>
                <w:sz w:val="24"/>
                <w:rtl/>
              </w:rPr>
              <w:t>מחזיק הכלוא  בבית סוהר</w:t>
            </w:r>
          </w:p>
        </w:tc>
        <w:tc>
          <w:tcPr>
            <w:tcW w:w="567" w:type="dxa"/>
          </w:tcPr>
          <w:p w14:paraId="39115650" w14:textId="77777777" w:rsidR="008D6608" w:rsidRPr="008D6608" w:rsidRDefault="008D6608" w:rsidP="008D6608">
            <w:pPr>
              <w:spacing w:line="240" w:lineRule="auto"/>
              <w:jc w:val="left"/>
              <w:rPr>
                <w:rStyle w:val="Hyperlink"/>
                <w:rtl/>
              </w:rPr>
            </w:pPr>
            <w:hyperlink w:anchor="Seif7" w:tooltip="מחזיק הכלוא  בבית סוהר" w:history="1">
              <w:r w:rsidRPr="008D6608">
                <w:rPr>
                  <w:rStyle w:val="Hyperlink"/>
                </w:rPr>
                <w:t>Go</w:t>
              </w:r>
            </w:hyperlink>
          </w:p>
        </w:tc>
        <w:tc>
          <w:tcPr>
            <w:tcW w:w="850" w:type="dxa"/>
          </w:tcPr>
          <w:p w14:paraId="69291187"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6608" w:rsidRPr="008D6608" w14:paraId="0D78459E" w14:textId="77777777">
        <w:tblPrEx>
          <w:tblCellMar>
            <w:top w:w="0" w:type="dxa"/>
            <w:bottom w:w="0" w:type="dxa"/>
          </w:tblCellMar>
        </w:tblPrEx>
        <w:tc>
          <w:tcPr>
            <w:tcW w:w="1247" w:type="dxa"/>
          </w:tcPr>
          <w:p w14:paraId="747CE42A" w14:textId="77777777" w:rsidR="008D6608" w:rsidRPr="008D6608" w:rsidRDefault="008D6608" w:rsidP="008D6608">
            <w:pPr>
              <w:spacing w:line="240" w:lineRule="auto"/>
              <w:jc w:val="left"/>
              <w:rPr>
                <w:rFonts w:cs="Frankruhel"/>
                <w:sz w:val="24"/>
                <w:rtl/>
              </w:rPr>
            </w:pPr>
            <w:r>
              <w:rPr>
                <w:sz w:val="24"/>
                <w:rtl/>
              </w:rPr>
              <w:t xml:space="preserve">סעיף 8 </w:t>
            </w:r>
          </w:p>
        </w:tc>
        <w:tc>
          <w:tcPr>
            <w:tcW w:w="5669" w:type="dxa"/>
          </w:tcPr>
          <w:p w14:paraId="764A02FC" w14:textId="77777777" w:rsidR="008D6608" w:rsidRPr="008D6608" w:rsidRDefault="008D6608" w:rsidP="008D6608">
            <w:pPr>
              <w:spacing w:line="240" w:lineRule="auto"/>
              <w:jc w:val="left"/>
              <w:rPr>
                <w:rFonts w:cs="Frankruhel"/>
                <w:sz w:val="24"/>
                <w:rtl/>
              </w:rPr>
            </w:pPr>
            <w:r>
              <w:rPr>
                <w:sz w:val="24"/>
                <w:rtl/>
              </w:rPr>
              <w:t>חובת מי שהומצאה לו דרישת פינוי</w:t>
            </w:r>
          </w:p>
        </w:tc>
        <w:tc>
          <w:tcPr>
            <w:tcW w:w="567" w:type="dxa"/>
          </w:tcPr>
          <w:p w14:paraId="106174C3" w14:textId="77777777" w:rsidR="008D6608" w:rsidRPr="008D6608" w:rsidRDefault="008D6608" w:rsidP="008D6608">
            <w:pPr>
              <w:spacing w:line="240" w:lineRule="auto"/>
              <w:jc w:val="left"/>
              <w:rPr>
                <w:rStyle w:val="Hyperlink"/>
                <w:rtl/>
              </w:rPr>
            </w:pPr>
            <w:hyperlink w:anchor="Seif8" w:tooltip="חובת מי שהומצאה לו דרישת פינוי" w:history="1">
              <w:r w:rsidRPr="008D6608">
                <w:rPr>
                  <w:rStyle w:val="Hyperlink"/>
                </w:rPr>
                <w:t>Go</w:t>
              </w:r>
            </w:hyperlink>
          </w:p>
        </w:tc>
        <w:tc>
          <w:tcPr>
            <w:tcW w:w="850" w:type="dxa"/>
          </w:tcPr>
          <w:p w14:paraId="05C91005"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6608" w:rsidRPr="008D6608" w14:paraId="33796FB0" w14:textId="77777777">
        <w:tblPrEx>
          <w:tblCellMar>
            <w:top w:w="0" w:type="dxa"/>
            <w:bottom w:w="0" w:type="dxa"/>
          </w:tblCellMar>
        </w:tblPrEx>
        <w:tc>
          <w:tcPr>
            <w:tcW w:w="1247" w:type="dxa"/>
          </w:tcPr>
          <w:p w14:paraId="5A1381E8" w14:textId="77777777" w:rsidR="008D6608" w:rsidRPr="008D6608" w:rsidRDefault="008D6608" w:rsidP="008D6608">
            <w:pPr>
              <w:spacing w:line="240" w:lineRule="auto"/>
              <w:jc w:val="left"/>
              <w:rPr>
                <w:rFonts w:cs="Frankruhel"/>
                <w:sz w:val="24"/>
                <w:rtl/>
              </w:rPr>
            </w:pPr>
            <w:r>
              <w:rPr>
                <w:sz w:val="24"/>
                <w:rtl/>
              </w:rPr>
              <w:t xml:space="preserve">סעיף 9 </w:t>
            </w:r>
          </w:p>
        </w:tc>
        <w:tc>
          <w:tcPr>
            <w:tcW w:w="5669" w:type="dxa"/>
          </w:tcPr>
          <w:p w14:paraId="396B945F" w14:textId="77777777" w:rsidR="008D6608" w:rsidRPr="008D6608" w:rsidRDefault="008D6608" w:rsidP="008D6608">
            <w:pPr>
              <w:spacing w:line="240" w:lineRule="auto"/>
              <w:jc w:val="left"/>
              <w:rPr>
                <w:rFonts w:cs="Frankruhel"/>
                <w:sz w:val="24"/>
                <w:rtl/>
              </w:rPr>
            </w:pPr>
            <w:r>
              <w:rPr>
                <w:sz w:val="24"/>
                <w:rtl/>
              </w:rPr>
              <w:t>מסירת דרישת פינוי שלא הומצאה למחזיק</w:t>
            </w:r>
          </w:p>
        </w:tc>
        <w:tc>
          <w:tcPr>
            <w:tcW w:w="567" w:type="dxa"/>
          </w:tcPr>
          <w:p w14:paraId="6F27DA59" w14:textId="77777777" w:rsidR="008D6608" w:rsidRPr="008D6608" w:rsidRDefault="008D6608" w:rsidP="008D6608">
            <w:pPr>
              <w:spacing w:line="240" w:lineRule="auto"/>
              <w:jc w:val="left"/>
              <w:rPr>
                <w:rStyle w:val="Hyperlink"/>
                <w:rtl/>
              </w:rPr>
            </w:pPr>
            <w:hyperlink w:anchor="Seif9" w:tooltip="מסירת דרישת פינוי שלא הומצאה למחזיק" w:history="1">
              <w:r w:rsidRPr="008D6608">
                <w:rPr>
                  <w:rStyle w:val="Hyperlink"/>
                </w:rPr>
                <w:t>Go</w:t>
              </w:r>
            </w:hyperlink>
          </w:p>
        </w:tc>
        <w:tc>
          <w:tcPr>
            <w:tcW w:w="850" w:type="dxa"/>
          </w:tcPr>
          <w:p w14:paraId="66F0805D"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6608" w:rsidRPr="008D6608" w14:paraId="6C636299" w14:textId="77777777">
        <w:tblPrEx>
          <w:tblCellMar>
            <w:top w:w="0" w:type="dxa"/>
            <w:bottom w:w="0" w:type="dxa"/>
          </w:tblCellMar>
        </w:tblPrEx>
        <w:tc>
          <w:tcPr>
            <w:tcW w:w="1247" w:type="dxa"/>
          </w:tcPr>
          <w:p w14:paraId="54BE8F19" w14:textId="77777777" w:rsidR="008D6608" w:rsidRPr="008D6608" w:rsidRDefault="008D6608" w:rsidP="008D6608">
            <w:pPr>
              <w:spacing w:line="240" w:lineRule="auto"/>
              <w:jc w:val="left"/>
              <w:rPr>
                <w:rFonts w:cs="Frankruhel"/>
                <w:sz w:val="24"/>
                <w:rtl/>
              </w:rPr>
            </w:pPr>
            <w:r>
              <w:rPr>
                <w:sz w:val="24"/>
                <w:rtl/>
              </w:rPr>
              <w:t xml:space="preserve">סעיף 10 </w:t>
            </w:r>
          </w:p>
        </w:tc>
        <w:tc>
          <w:tcPr>
            <w:tcW w:w="5669" w:type="dxa"/>
          </w:tcPr>
          <w:p w14:paraId="2D849BF5" w14:textId="77777777" w:rsidR="008D6608" w:rsidRPr="008D6608" w:rsidRDefault="008D6608" w:rsidP="008D6608">
            <w:pPr>
              <w:spacing w:line="240" w:lineRule="auto"/>
              <w:jc w:val="left"/>
              <w:rPr>
                <w:rFonts w:cs="Frankruhel"/>
                <w:sz w:val="24"/>
                <w:rtl/>
              </w:rPr>
            </w:pPr>
            <w:r>
              <w:rPr>
                <w:sz w:val="24"/>
                <w:rtl/>
              </w:rPr>
              <w:t>מסירה ומועדה</w:t>
            </w:r>
          </w:p>
        </w:tc>
        <w:tc>
          <w:tcPr>
            <w:tcW w:w="567" w:type="dxa"/>
          </w:tcPr>
          <w:p w14:paraId="535FD2BB" w14:textId="77777777" w:rsidR="008D6608" w:rsidRPr="008D6608" w:rsidRDefault="008D6608" w:rsidP="008D6608">
            <w:pPr>
              <w:spacing w:line="240" w:lineRule="auto"/>
              <w:jc w:val="left"/>
              <w:rPr>
                <w:rStyle w:val="Hyperlink"/>
                <w:rtl/>
              </w:rPr>
            </w:pPr>
            <w:hyperlink w:anchor="Seif10" w:tooltip="מסירה ומועדה" w:history="1">
              <w:r w:rsidRPr="008D6608">
                <w:rPr>
                  <w:rStyle w:val="Hyperlink"/>
                </w:rPr>
                <w:t>Go</w:t>
              </w:r>
            </w:hyperlink>
          </w:p>
        </w:tc>
        <w:tc>
          <w:tcPr>
            <w:tcW w:w="850" w:type="dxa"/>
          </w:tcPr>
          <w:p w14:paraId="1E2429C6"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6608" w:rsidRPr="008D6608" w14:paraId="7E764CDB" w14:textId="77777777">
        <w:tblPrEx>
          <w:tblCellMar>
            <w:top w:w="0" w:type="dxa"/>
            <w:bottom w:w="0" w:type="dxa"/>
          </w:tblCellMar>
        </w:tblPrEx>
        <w:tc>
          <w:tcPr>
            <w:tcW w:w="1247" w:type="dxa"/>
          </w:tcPr>
          <w:p w14:paraId="3BCA8756" w14:textId="77777777" w:rsidR="008D6608" w:rsidRPr="008D6608" w:rsidRDefault="008D6608" w:rsidP="008D6608">
            <w:pPr>
              <w:spacing w:line="240" w:lineRule="auto"/>
              <w:jc w:val="left"/>
              <w:rPr>
                <w:rFonts w:cs="Frankruhel"/>
                <w:sz w:val="24"/>
                <w:rtl/>
              </w:rPr>
            </w:pPr>
            <w:r>
              <w:rPr>
                <w:sz w:val="24"/>
                <w:rtl/>
              </w:rPr>
              <w:t xml:space="preserve">סעיף 11 </w:t>
            </w:r>
          </w:p>
        </w:tc>
        <w:tc>
          <w:tcPr>
            <w:tcW w:w="5669" w:type="dxa"/>
          </w:tcPr>
          <w:p w14:paraId="63B6BC8A" w14:textId="77777777" w:rsidR="008D6608" w:rsidRPr="008D6608" w:rsidRDefault="008D6608" w:rsidP="008D6608">
            <w:pPr>
              <w:spacing w:line="240" w:lineRule="auto"/>
              <w:jc w:val="left"/>
              <w:rPr>
                <w:rFonts w:cs="Frankruhel"/>
                <w:sz w:val="24"/>
                <w:rtl/>
              </w:rPr>
            </w:pPr>
            <w:r>
              <w:rPr>
                <w:sz w:val="24"/>
                <w:rtl/>
              </w:rPr>
              <w:t>השם</w:t>
            </w:r>
          </w:p>
        </w:tc>
        <w:tc>
          <w:tcPr>
            <w:tcW w:w="567" w:type="dxa"/>
          </w:tcPr>
          <w:p w14:paraId="746BF337" w14:textId="77777777" w:rsidR="008D6608" w:rsidRPr="008D6608" w:rsidRDefault="008D6608" w:rsidP="008D6608">
            <w:pPr>
              <w:spacing w:line="240" w:lineRule="auto"/>
              <w:jc w:val="left"/>
              <w:rPr>
                <w:rStyle w:val="Hyperlink"/>
                <w:rtl/>
              </w:rPr>
            </w:pPr>
            <w:hyperlink w:anchor="Seif11" w:tooltip="השם" w:history="1">
              <w:r w:rsidRPr="008D6608">
                <w:rPr>
                  <w:rStyle w:val="Hyperlink"/>
                </w:rPr>
                <w:t>Go</w:t>
              </w:r>
            </w:hyperlink>
          </w:p>
        </w:tc>
        <w:tc>
          <w:tcPr>
            <w:tcW w:w="850" w:type="dxa"/>
          </w:tcPr>
          <w:p w14:paraId="6C5E7333" w14:textId="77777777" w:rsidR="008D6608" w:rsidRPr="008D6608" w:rsidRDefault="008D6608" w:rsidP="008D66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B6F6BF7" w14:textId="77777777" w:rsidR="004B7FEE" w:rsidRDefault="004B7FEE">
      <w:pPr>
        <w:pStyle w:val="big-header"/>
        <w:ind w:left="0" w:right="1134"/>
        <w:rPr>
          <w:rFonts w:cs="FrankRuehl"/>
          <w:sz w:val="32"/>
          <w:rtl/>
        </w:rPr>
      </w:pPr>
    </w:p>
    <w:p w14:paraId="1C8DA6B1" w14:textId="77777777" w:rsidR="004B7FEE" w:rsidRDefault="004B7FEE" w:rsidP="00A259E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בינוי ופינוי של אזורי שיקום (מסירת </w:t>
      </w:r>
      <w:r w:rsidR="00897F9B">
        <w:rPr>
          <w:rFonts w:cs="FrankRuehl" w:hint="cs"/>
          <w:sz w:val="32"/>
          <w:rtl/>
        </w:rPr>
        <w:t>דרישת פינוי), תשכ"ח-</w:t>
      </w:r>
      <w:r>
        <w:rPr>
          <w:rFonts w:cs="FrankRuehl" w:hint="cs"/>
          <w:sz w:val="32"/>
          <w:rtl/>
        </w:rPr>
        <w:t>1968</w:t>
      </w:r>
      <w:r w:rsidR="00897F9B">
        <w:rPr>
          <w:rStyle w:val="a6"/>
          <w:rFonts w:cs="FrankRuehl"/>
          <w:sz w:val="32"/>
          <w:rtl/>
        </w:rPr>
        <w:footnoteReference w:customMarkFollows="1" w:id="1"/>
        <w:t>*</w:t>
      </w:r>
    </w:p>
    <w:p w14:paraId="0140A47A" w14:textId="77777777" w:rsidR="004B7FEE" w:rsidRDefault="004B7FEE" w:rsidP="00897F9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38 ו-63 לחוק בינו</w:t>
      </w:r>
      <w:r w:rsidR="00897F9B">
        <w:rPr>
          <w:rStyle w:val="default"/>
          <w:rFonts w:cs="FrankRuehl" w:hint="cs"/>
          <w:rtl/>
        </w:rPr>
        <w:t>י ופינוי של אזורי שיקום, תשכ"ה-</w:t>
      </w:r>
      <w:r>
        <w:rPr>
          <w:rStyle w:val="default"/>
          <w:rFonts w:cs="FrankRuehl" w:hint="cs"/>
          <w:rtl/>
        </w:rPr>
        <w:t>1965, אני מתקין תקנות אלה:</w:t>
      </w:r>
    </w:p>
    <w:p w14:paraId="27F29D6F" w14:textId="77777777" w:rsidR="004B7FEE" w:rsidRDefault="004B7FEE">
      <w:pPr>
        <w:pStyle w:val="P00"/>
        <w:spacing w:before="72"/>
        <w:ind w:left="0" w:right="1134"/>
        <w:rPr>
          <w:rStyle w:val="default"/>
          <w:rFonts w:cs="FrankRuehl" w:hint="cs"/>
          <w:rtl/>
        </w:rPr>
      </w:pPr>
      <w:bookmarkStart w:id="0" w:name="Seif1"/>
      <w:bookmarkEnd w:id="0"/>
      <w:r>
        <w:rPr>
          <w:lang w:val="he-IL"/>
        </w:rPr>
        <w:pict w14:anchorId="789A3659">
          <v:rect id="_x0000_s1026" style="position:absolute;left:0;text-align:left;margin-left:464.5pt;margin-top:8.05pt;width:75.05pt;height:10pt;z-index:251652608" o:allowincell="f" filled="f" stroked="f" strokecolor="lime" strokeweight=".25pt">
            <v:textbox inset="0,0,0,0">
              <w:txbxContent>
                <w:p w14:paraId="2B360594" w14:textId="77777777" w:rsidR="004B7FEE" w:rsidRDefault="004B7FE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218E7F3F"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רישת פינוי" - דרישת פינוי כ</w:t>
      </w:r>
      <w:r>
        <w:rPr>
          <w:rStyle w:val="default"/>
          <w:rFonts w:cs="FrankRuehl"/>
          <w:rtl/>
        </w:rPr>
        <w:t>אמ</w:t>
      </w:r>
      <w:r>
        <w:rPr>
          <w:rStyle w:val="default"/>
          <w:rFonts w:cs="FrankRuehl" w:hint="cs"/>
          <w:rtl/>
        </w:rPr>
        <w:t>ור בסעיף 38(א) לחוק;</w:t>
      </w:r>
    </w:p>
    <w:p w14:paraId="72B463A5"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וסר דרישה" - אדם שנתמנה על ידי מנהל הרשות לבינוי ופינוי של אזורי שיקום (להלן - הרשות) לשמש מוסר דרישת פינוי מטעם הרשות לצורך תקנות אלה.</w:t>
      </w:r>
    </w:p>
    <w:p w14:paraId="0D5FABA4" w14:textId="77777777" w:rsidR="004B7FEE" w:rsidRDefault="004B7FEE">
      <w:pPr>
        <w:pStyle w:val="P00"/>
        <w:spacing w:before="72"/>
        <w:ind w:left="0" w:right="1134"/>
        <w:rPr>
          <w:rStyle w:val="default"/>
          <w:rFonts w:cs="FrankRuehl"/>
          <w:rtl/>
        </w:rPr>
      </w:pPr>
      <w:bookmarkStart w:id="1" w:name="Seif2"/>
      <w:bookmarkEnd w:id="1"/>
      <w:r>
        <w:rPr>
          <w:lang w:val="he-IL"/>
        </w:rPr>
        <w:pict w14:anchorId="4F23DFB4">
          <v:rect id="_x0000_s1027" style="position:absolute;left:0;text-align:left;margin-left:464.5pt;margin-top:8.05pt;width:75.05pt;height:10pt;z-index:251653632" o:allowincell="f" filled="f" stroked="f" strokecolor="lime" strokeweight=".25pt">
            <v:textbox inset="0,0,0,0">
              <w:txbxContent>
                <w:p w14:paraId="33D4918D" w14:textId="77777777" w:rsidR="004B7FEE" w:rsidRDefault="004B7FEE">
                  <w:pPr>
                    <w:spacing w:line="160" w:lineRule="exact"/>
                    <w:jc w:val="left"/>
                    <w:rPr>
                      <w:rFonts w:cs="Miriam"/>
                      <w:noProof/>
                      <w:sz w:val="18"/>
                      <w:szCs w:val="18"/>
                      <w:rtl/>
                    </w:rPr>
                  </w:pPr>
                  <w:r>
                    <w:rPr>
                      <w:rFonts w:cs="Miriam"/>
                      <w:sz w:val="18"/>
                      <w:szCs w:val="18"/>
                      <w:rtl/>
                    </w:rPr>
                    <w:t>המ</w:t>
                  </w:r>
                  <w:r>
                    <w:rPr>
                      <w:rFonts w:cs="Miriam" w:hint="cs"/>
                      <w:sz w:val="18"/>
                      <w:szCs w:val="18"/>
                      <w:rtl/>
                    </w:rPr>
                    <w:t>צאת דרישת פינוי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רישת פינוי תומצא למחזיק </w:t>
      </w:r>
      <w:r>
        <w:rPr>
          <w:rStyle w:val="default"/>
          <w:rFonts w:cs="FrankRuehl"/>
          <w:rtl/>
        </w:rPr>
        <w:t>ש</w:t>
      </w:r>
      <w:r>
        <w:rPr>
          <w:rStyle w:val="default"/>
          <w:rFonts w:cs="FrankRuehl" w:hint="cs"/>
          <w:rtl/>
        </w:rPr>
        <w:t>איננו תאגיד בדואר רשום עם אישור מסירה לפי מען המקרקעין המופק</w:t>
      </w:r>
      <w:r>
        <w:rPr>
          <w:rStyle w:val="default"/>
          <w:rFonts w:cs="FrankRuehl"/>
          <w:rtl/>
        </w:rPr>
        <w:t>עי</w:t>
      </w:r>
      <w:r>
        <w:rPr>
          <w:rStyle w:val="default"/>
          <w:rFonts w:cs="FrankRuehl" w:hint="cs"/>
          <w:rtl/>
        </w:rPr>
        <w:t>ם.</w:t>
      </w:r>
    </w:p>
    <w:p w14:paraId="2A4863A8"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וכחה הרשות על פי אישור המסירה כי דרישת הפינוי שנשלחה לפי תקנת משנה (א) לא הומצאה למחזיק, תומצא דרישת הפינוי בדואר רשום עם אישור מסירה לפי המען שבו מתגורר או נמצא המחזיק או לפי מען מקום</w:t>
      </w:r>
      <w:r>
        <w:rPr>
          <w:rStyle w:val="default"/>
          <w:rFonts w:cs="FrankRuehl"/>
          <w:rtl/>
        </w:rPr>
        <w:t xml:space="preserve"> </w:t>
      </w:r>
      <w:r>
        <w:rPr>
          <w:rStyle w:val="default"/>
          <w:rFonts w:cs="FrankRuehl" w:hint="cs"/>
          <w:rtl/>
        </w:rPr>
        <w:t>עסקו או עבודתו, אם אין הם במקום המקרקעין המופקעים.</w:t>
      </w:r>
    </w:p>
    <w:p w14:paraId="3623FCE6" w14:textId="77777777" w:rsidR="004B7FEE" w:rsidRDefault="004B7FEE" w:rsidP="00897F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וכח</w:t>
      </w:r>
      <w:r>
        <w:rPr>
          <w:rStyle w:val="default"/>
          <w:rFonts w:cs="FrankRuehl"/>
          <w:rtl/>
        </w:rPr>
        <w:t xml:space="preserve">ה </w:t>
      </w:r>
      <w:r>
        <w:rPr>
          <w:rStyle w:val="default"/>
          <w:rFonts w:cs="FrankRuehl" w:hint="cs"/>
          <w:rtl/>
        </w:rPr>
        <w:t>הרשות, על פי אישור המסירה, כי דרישת הפינוי</w:t>
      </w:r>
      <w:r>
        <w:rPr>
          <w:rStyle w:val="default"/>
          <w:rFonts w:cs="FrankRuehl"/>
          <w:rtl/>
        </w:rPr>
        <w:t xml:space="preserve"> ש</w:t>
      </w:r>
      <w:r>
        <w:rPr>
          <w:rStyle w:val="default"/>
          <w:rFonts w:cs="FrankRuehl" w:hint="cs"/>
          <w:rtl/>
        </w:rPr>
        <w:t>נשלחה על פי תקנת משנה (ב) לא הומצאה למחזיק, תימסר דרישת הפינוי למחזיק גופו או לבא- כוחו אשר שמו ומענו נמסרו לרשות בהתאם לתקנות בינוי ופינוי של אזורי</w:t>
      </w:r>
      <w:r>
        <w:rPr>
          <w:rStyle w:val="default"/>
          <w:rFonts w:cs="FrankRuehl"/>
          <w:rtl/>
        </w:rPr>
        <w:t xml:space="preserve"> </w:t>
      </w:r>
      <w:r>
        <w:rPr>
          <w:rStyle w:val="default"/>
          <w:rFonts w:cs="FrankRuehl" w:hint="cs"/>
          <w:rtl/>
        </w:rPr>
        <w:t xml:space="preserve">שיקום (המצאת הודעות הפקעה), תשכ"ז-1967, על ידי מוסר דרישה; </w:t>
      </w:r>
      <w:r>
        <w:rPr>
          <w:rStyle w:val="default"/>
          <w:rFonts w:cs="FrankRuehl"/>
          <w:rtl/>
        </w:rPr>
        <w:t>לא</w:t>
      </w:r>
      <w:r>
        <w:rPr>
          <w:rStyle w:val="default"/>
          <w:rFonts w:cs="FrankRuehl" w:hint="cs"/>
          <w:rtl/>
        </w:rPr>
        <w:t xml:space="preserve"> מצא מוסר הדרישה את המחזיק גופו או את בא- כוחו במקום המקרקעין המופקעים, רשאי מוסר הדרישה למסור את דרישת הפינוי לאחד מבני משפחתו של המחזיק הנמצא עמו שם והנראה כבן 18 שנה לפחות.</w:t>
      </w:r>
    </w:p>
    <w:p w14:paraId="1DA9C75E"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וסר דרישת הפינוי יאשר לרשות את דבר מסירתה ויציין את שם האדם לו נמסרה דרישת הפינוי ואת תאריכה.</w:t>
      </w:r>
    </w:p>
    <w:p w14:paraId="15522363"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וסר דרישה אשר לא מצא את המחזיק או בא- כוחו או לא מצא אדם שלו אפשר למסור את דרישת הפינוי לפי תקנות אלה, או שהמחזיק או אדם כא</w:t>
      </w:r>
      <w:r>
        <w:rPr>
          <w:rStyle w:val="default"/>
          <w:rFonts w:cs="FrankRuehl"/>
          <w:rtl/>
        </w:rPr>
        <w:t>מו</w:t>
      </w:r>
      <w:r>
        <w:rPr>
          <w:rStyle w:val="default"/>
          <w:rFonts w:cs="FrankRuehl" w:hint="cs"/>
          <w:rtl/>
        </w:rPr>
        <w:t>ר סירב לקבל את דרישת הפינוי, ידביק את דרישת הפינוי על המקרקעין במקום הנראה לעין, ואם היו בנין - על דלת הבנין החיצונית, ויאשר על ההעתק שבידו כי עשה כן תוך ציון מקום ההדבקה ותאריכה.</w:t>
      </w:r>
    </w:p>
    <w:p w14:paraId="0B245653" w14:textId="77777777" w:rsidR="004B7FEE" w:rsidRDefault="004B7FE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ישור כא</w:t>
      </w:r>
      <w:r>
        <w:rPr>
          <w:rStyle w:val="default"/>
          <w:rFonts w:cs="FrankRuehl"/>
          <w:rtl/>
        </w:rPr>
        <w:t>מ</w:t>
      </w:r>
      <w:r>
        <w:rPr>
          <w:rStyle w:val="default"/>
          <w:rFonts w:cs="FrankRuehl" w:hint="cs"/>
          <w:rtl/>
        </w:rPr>
        <w:t>ור בתקנות משנה (ד) או (ה) ישמש ראיה לכאורה לתכנו.</w:t>
      </w:r>
    </w:p>
    <w:p w14:paraId="0C105AF7" w14:textId="77777777" w:rsidR="004B7FEE" w:rsidRDefault="004B7FEE">
      <w:pPr>
        <w:pStyle w:val="P00"/>
        <w:spacing w:before="72"/>
        <w:ind w:left="0" w:right="1134"/>
        <w:rPr>
          <w:rStyle w:val="default"/>
          <w:rFonts w:cs="FrankRuehl"/>
          <w:rtl/>
        </w:rPr>
      </w:pPr>
      <w:bookmarkStart w:id="2" w:name="Seif3"/>
      <w:bookmarkEnd w:id="2"/>
      <w:r>
        <w:rPr>
          <w:lang w:val="he-IL"/>
        </w:rPr>
        <w:pict w14:anchorId="2E49E178">
          <v:rect id="_x0000_s1028" style="position:absolute;left:0;text-align:left;margin-left:464.5pt;margin-top:8.05pt;width:75.05pt;height:10pt;z-index:251654656" o:allowincell="f" filled="f" stroked="f" strokecolor="lime" strokeweight=".25pt">
            <v:textbox inset="0,0,0,0">
              <w:txbxContent>
                <w:p w14:paraId="521D99AA" w14:textId="77777777" w:rsidR="004B7FEE" w:rsidRDefault="004B7FEE">
                  <w:pPr>
                    <w:spacing w:line="160" w:lineRule="exact"/>
                    <w:jc w:val="left"/>
                    <w:rPr>
                      <w:rFonts w:cs="Miriam"/>
                      <w:noProof/>
                      <w:sz w:val="18"/>
                      <w:szCs w:val="18"/>
                      <w:rtl/>
                    </w:rPr>
                  </w:pPr>
                  <w:r>
                    <w:rPr>
                      <w:rFonts w:cs="Miriam"/>
                      <w:sz w:val="18"/>
                      <w:szCs w:val="18"/>
                      <w:rtl/>
                    </w:rPr>
                    <w:t>המ</w:t>
                  </w:r>
                  <w:r>
                    <w:rPr>
                      <w:rFonts w:cs="Miriam" w:hint="cs"/>
                      <w:sz w:val="18"/>
                      <w:szCs w:val="18"/>
                      <w:rtl/>
                    </w:rPr>
                    <w:t>צאה לתאגיד</w:t>
                  </w:r>
                </w:p>
              </w:txbxContent>
            </v:textbox>
            <w10:anchorlock/>
          </v:rect>
        </w:pict>
      </w:r>
      <w:r>
        <w:rPr>
          <w:rStyle w:val="big-number"/>
          <w:rFonts w:cs="Miriam"/>
          <w:rtl/>
        </w:rPr>
        <w:t>3.</w:t>
      </w:r>
      <w:r>
        <w:rPr>
          <w:rStyle w:val="big-number"/>
          <w:rFonts w:cs="Miriam"/>
          <w:rtl/>
        </w:rPr>
        <w:tab/>
      </w:r>
      <w:r>
        <w:rPr>
          <w:rStyle w:val="default"/>
          <w:rFonts w:cs="FrankRuehl"/>
          <w:rtl/>
        </w:rPr>
        <w:t>הי</w:t>
      </w:r>
      <w:r>
        <w:rPr>
          <w:rStyle w:val="default"/>
          <w:rFonts w:cs="FrankRuehl" w:hint="cs"/>
          <w:rtl/>
        </w:rPr>
        <w:t>ה המ</w:t>
      </w:r>
      <w:r>
        <w:rPr>
          <w:rStyle w:val="default"/>
          <w:rFonts w:cs="FrankRuehl"/>
          <w:rtl/>
        </w:rPr>
        <w:t>חז</w:t>
      </w:r>
      <w:r>
        <w:rPr>
          <w:rStyle w:val="default"/>
          <w:rFonts w:cs="FrankRuehl" w:hint="cs"/>
          <w:rtl/>
        </w:rPr>
        <w:t>יק תאגיד, תומצא דרישת הפינוי בדואר רשום עם אישור מסירה, אם התאגיד הוא חברה - לפי מען המשרד הרשום של התאגיד, ובכל מקרה אחר - לפי המען הרשום.</w:t>
      </w:r>
    </w:p>
    <w:p w14:paraId="6A7E5AAB" w14:textId="77777777" w:rsidR="004B7FEE" w:rsidRDefault="004B7FEE">
      <w:pPr>
        <w:pStyle w:val="P00"/>
        <w:spacing w:before="72"/>
        <w:ind w:left="0" w:right="1134"/>
        <w:rPr>
          <w:rStyle w:val="default"/>
          <w:rFonts w:cs="FrankRuehl"/>
          <w:rtl/>
        </w:rPr>
      </w:pPr>
      <w:bookmarkStart w:id="3" w:name="Seif4"/>
      <w:bookmarkEnd w:id="3"/>
      <w:r>
        <w:rPr>
          <w:lang w:val="he-IL"/>
        </w:rPr>
        <w:pict w14:anchorId="635B93B4">
          <v:rect id="_x0000_s1029" style="position:absolute;left:0;text-align:left;margin-left:464.5pt;margin-top:8.05pt;width:75.05pt;height:20pt;z-index:251655680" o:allowincell="f" filled="f" stroked="f" strokecolor="lime" strokeweight=".25pt">
            <v:textbox inset="0,0,0,0">
              <w:txbxContent>
                <w:p w14:paraId="2379FCE9" w14:textId="77777777" w:rsidR="004B7FEE" w:rsidRDefault="004B7FEE">
                  <w:pPr>
                    <w:spacing w:line="160" w:lineRule="exact"/>
                    <w:jc w:val="left"/>
                    <w:rPr>
                      <w:rFonts w:cs="Miriam"/>
                      <w:noProof/>
                      <w:sz w:val="18"/>
                      <w:szCs w:val="18"/>
                      <w:rtl/>
                    </w:rPr>
                  </w:pPr>
                  <w:r>
                    <w:rPr>
                      <w:rFonts w:cs="Miriam"/>
                      <w:sz w:val="18"/>
                      <w:szCs w:val="18"/>
                      <w:rtl/>
                    </w:rPr>
                    <w:t>המ</w:t>
                  </w:r>
                  <w:r>
                    <w:rPr>
                      <w:rFonts w:cs="Miriam" w:hint="cs"/>
                      <w:sz w:val="18"/>
                      <w:szCs w:val="18"/>
                      <w:rtl/>
                    </w:rPr>
                    <w:t>צאה לרשות מקומית</w:t>
                  </w:r>
                </w:p>
              </w:txbxContent>
            </v:textbox>
            <w10:anchorlock/>
          </v:rect>
        </w:pict>
      </w:r>
      <w:r>
        <w:rPr>
          <w:rStyle w:val="big-number"/>
          <w:rFonts w:cs="Miriam"/>
          <w:rtl/>
        </w:rPr>
        <w:t>4.</w:t>
      </w:r>
      <w:r>
        <w:rPr>
          <w:rStyle w:val="big-number"/>
          <w:rFonts w:cs="Miriam"/>
          <w:rtl/>
        </w:rPr>
        <w:tab/>
      </w:r>
      <w:r>
        <w:rPr>
          <w:rStyle w:val="default"/>
          <w:rFonts w:cs="FrankRuehl"/>
          <w:rtl/>
        </w:rPr>
        <w:t>הי</w:t>
      </w:r>
      <w:r>
        <w:rPr>
          <w:rStyle w:val="default"/>
          <w:rFonts w:cs="FrankRuehl" w:hint="cs"/>
          <w:rtl/>
        </w:rPr>
        <w:t>ה המחזיק רש</w:t>
      </w:r>
      <w:r>
        <w:rPr>
          <w:rStyle w:val="default"/>
          <w:rFonts w:cs="FrankRuehl"/>
          <w:rtl/>
        </w:rPr>
        <w:t>ו</w:t>
      </w:r>
      <w:r>
        <w:rPr>
          <w:rStyle w:val="default"/>
          <w:rFonts w:cs="FrankRuehl" w:hint="cs"/>
          <w:rtl/>
        </w:rPr>
        <w:t>ת מקומית, תומצא דרישת הפינוי בדואר רשום עם אישור מסירה לראש הרשות, לסגן ראש הרשות שאליו הועברו ס</w:t>
      </w:r>
      <w:r>
        <w:rPr>
          <w:rStyle w:val="default"/>
          <w:rFonts w:cs="FrankRuehl"/>
          <w:rtl/>
        </w:rPr>
        <w:t>מכ</w:t>
      </w:r>
      <w:r>
        <w:rPr>
          <w:rStyle w:val="default"/>
          <w:rFonts w:cs="FrankRuehl" w:hint="cs"/>
          <w:rtl/>
        </w:rPr>
        <w:t>ויות ראש הרשות, למזכיר של הרשות או לפקיד אחר הממלא אותה שעה את תפקידיה של הרשות.</w:t>
      </w:r>
    </w:p>
    <w:p w14:paraId="0C694105" w14:textId="77777777" w:rsidR="004B7FEE" w:rsidRDefault="004B7FEE">
      <w:pPr>
        <w:pStyle w:val="P00"/>
        <w:spacing w:before="72"/>
        <w:ind w:left="0" w:right="1134"/>
        <w:rPr>
          <w:rStyle w:val="default"/>
          <w:rFonts w:cs="FrankRuehl"/>
          <w:rtl/>
        </w:rPr>
      </w:pPr>
      <w:bookmarkStart w:id="4" w:name="Seif5"/>
      <w:bookmarkEnd w:id="4"/>
      <w:r>
        <w:rPr>
          <w:lang w:val="he-IL"/>
        </w:rPr>
        <w:pict w14:anchorId="4B3E5BCC">
          <v:rect id="_x0000_s1030" style="position:absolute;left:0;text-align:left;margin-left:464.5pt;margin-top:8.05pt;width:75.05pt;height:14.7pt;z-index:251656704" o:allowincell="f" filled="f" stroked="f" strokecolor="lime" strokeweight=".25pt">
            <v:textbox inset="0,0,0,0">
              <w:txbxContent>
                <w:p w14:paraId="7CE95ECE" w14:textId="77777777" w:rsidR="004B7FEE" w:rsidRDefault="004B7FEE" w:rsidP="00897F9B">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צאה </w:t>
                  </w:r>
                  <w:r>
                    <w:rPr>
                      <w:rFonts w:cs="Miriam"/>
                      <w:sz w:val="18"/>
                      <w:szCs w:val="18"/>
                      <w:rtl/>
                    </w:rPr>
                    <w:t>לפ</w:t>
                  </w:r>
                  <w:r>
                    <w:rPr>
                      <w:rFonts w:cs="Miriam" w:hint="cs"/>
                      <w:sz w:val="18"/>
                      <w:szCs w:val="18"/>
                      <w:rtl/>
                    </w:rPr>
                    <w:t>סול דין</w:t>
                  </w:r>
                </w:p>
              </w:txbxContent>
            </v:textbox>
            <w10:anchorlock/>
          </v:rect>
        </w:pict>
      </w:r>
      <w:r>
        <w:rPr>
          <w:rStyle w:val="big-number"/>
          <w:rFonts w:cs="Miriam"/>
          <w:rtl/>
        </w:rPr>
        <w:t>5.</w:t>
      </w:r>
      <w:r>
        <w:rPr>
          <w:rStyle w:val="big-number"/>
          <w:rFonts w:cs="Miriam"/>
          <w:rtl/>
        </w:rPr>
        <w:tab/>
      </w:r>
      <w:r>
        <w:rPr>
          <w:rStyle w:val="default"/>
          <w:rFonts w:cs="FrankRuehl"/>
          <w:rtl/>
        </w:rPr>
        <w:t>הי</w:t>
      </w:r>
      <w:r>
        <w:rPr>
          <w:rStyle w:val="default"/>
          <w:rFonts w:cs="FrankRuehl" w:hint="cs"/>
          <w:rtl/>
        </w:rPr>
        <w:t>ה המחזיק קטין או פסול דין אחר, תומצא דרישת הפינוי ב</w:t>
      </w:r>
      <w:r>
        <w:rPr>
          <w:rStyle w:val="default"/>
          <w:rFonts w:cs="FrankRuehl"/>
          <w:rtl/>
        </w:rPr>
        <w:t>ד</w:t>
      </w:r>
      <w:r>
        <w:rPr>
          <w:rStyle w:val="default"/>
          <w:rFonts w:cs="FrankRuehl" w:hint="cs"/>
          <w:rtl/>
        </w:rPr>
        <w:t xml:space="preserve">ואר רשום עם אישור מסירה לאחד מהוריו או לאפוטרופסו, ובאין לו הורים או אפוטרופוס - למי שהקטין או פסול הדין גר עמו או </w:t>
      </w:r>
      <w:r>
        <w:rPr>
          <w:rStyle w:val="default"/>
          <w:rFonts w:cs="FrankRuehl"/>
          <w:rtl/>
        </w:rPr>
        <w:t>נת</w:t>
      </w:r>
      <w:r>
        <w:rPr>
          <w:rStyle w:val="default"/>
          <w:rFonts w:cs="FrankRuehl" w:hint="cs"/>
          <w:rtl/>
        </w:rPr>
        <w:t>ון להשגחתו.</w:t>
      </w:r>
    </w:p>
    <w:p w14:paraId="3CF009B3" w14:textId="77777777" w:rsidR="004B7FEE" w:rsidRDefault="004B7FEE">
      <w:pPr>
        <w:pStyle w:val="P00"/>
        <w:spacing w:before="72"/>
        <w:ind w:left="0" w:right="1134"/>
        <w:rPr>
          <w:rStyle w:val="default"/>
          <w:rFonts w:cs="FrankRuehl"/>
          <w:rtl/>
        </w:rPr>
      </w:pPr>
      <w:bookmarkStart w:id="5" w:name="Seif6"/>
      <w:bookmarkEnd w:id="5"/>
      <w:r>
        <w:rPr>
          <w:lang w:val="he-IL"/>
        </w:rPr>
        <w:pict w14:anchorId="3254812B">
          <v:rect id="_x0000_s1031" style="position:absolute;left:0;text-align:left;margin-left:464.5pt;margin-top:8.05pt;width:75.05pt;height:10pt;z-index:251657728" o:allowincell="f" filled="f" stroked="f" strokecolor="lime" strokeweight=".25pt">
            <v:textbox inset="0,0,0,0">
              <w:txbxContent>
                <w:p w14:paraId="7E628F3C" w14:textId="77777777" w:rsidR="004B7FEE" w:rsidRDefault="004B7FEE">
                  <w:pPr>
                    <w:spacing w:line="160" w:lineRule="exact"/>
                    <w:jc w:val="left"/>
                    <w:rPr>
                      <w:rFonts w:cs="Miriam"/>
                      <w:noProof/>
                      <w:sz w:val="18"/>
                      <w:szCs w:val="18"/>
                      <w:rtl/>
                    </w:rPr>
                  </w:pPr>
                  <w:r>
                    <w:rPr>
                      <w:rFonts w:cs="Miriam"/>
                      <w:sz w:val="18"/>
                      <w:szCs w:val="18"/>
                      <w:rtl/>
                    </w:rPr>
                    <w:t>המ</w:t>
                  </w:r>
                  <w:r>
                    <w:rPr>
                      <w:rFonts w:cs="Miriam" w:hint="cs"/>
                      <w:sz w:val="18"/>
                      <w:szCs w:val="18"/>
                      <w:rtl/>
                    </w:rPr>
                    <w:t>צאה לחייל</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ה המחזיק חייל המשרת שירות פעיל בצבא- הגנה לישראל ודרישת הפינוי שנשלחה לפי תקנה 2 לא הומצאה לו, תומצא דרישת הפינוי בדואר רשום עם אישור מסירה לשלישות הראשית לשם המצאה למחזיק.</w:t>
      </w:r>
    </w:p>
    <w:p w14:paraId="5FB0EA4C" w14:textId="77777777" w:rsidR="004B7FEE" w:rsidRDefault="004B7FEE">
      <w:pPr>
        <w:pStyle w:val="P00"/>
        <w:spacing w:before="72"/>
        <w:ind w:left="0" w:right="1134"/>
        <w:rPr>
          <w:rStyle w:val="default"/>
          <w:rFonts w:cs="FrankRuehl"/>
          <w:rtl/>
        </w:rPr>
      </w:pPr>
      <w:bookmarkStart w:id="6" w:name="Seif7"/>
      <w:bookmarkEnd w:id="6"/>
      <w:r>
        <w:rPr>
          <w:lang w:val="he-IL"/>
        </w:rPr>
        <w:pict w14:anchorId="6EEC2336">
          <v:rect id="_x0000_s1032" style="position:absolute;left:0;text-align:left;margin-left:464.5pt;margin-top:8.05pt;width:75.05pt;height:20pt;z-index:251658752" o:allowincell="f" filled="f" stroked="f" strokecolor="lime" strokeweight=".25pt">
            <v:textbox inset="0,0,0,0">
              <w:txbxContent>
                <w:p w14:paraId="6742ECD8" w14:textId="77777777" w:rsidR="004B7FEE" w:rsidRDefault="004B7FEE" w:rsidP="00897F9B">
                  <w:pPr>
                    <w:spacing w:line="160" w:lineRule="exact"/>
                    <w:jc w:val="left"/>
                    <w:rPr>
                      <w:rFonts w:cs="Miriam"/>
                      <w:noProof/>
                      <w:sz w:val="18"/>
                      <w:szCs w:val="18"/>
                      <w:rtl/>
                    </w:rPr>
                  </w:pPr>
                  <w:r>
                    <w:rPr>
                      <w:rFonts w:cs="Miriam"/>
                      <w:sz w:val="18"/>
                      <w:szCs w:val="18"/>
                      <w:rtl/>
                    </w:rPr>
                    <w:t>מח</w:t>
                  </w:r>
                  <w:r>
                    <w:rPr>
                      <w:rFonts w:cs="Miriam" w:hint="cs"/>
                      <w:sz w:val="18"/>
                      <w:szCs w:val="18"/>
                      <w:rtl/>
                    </w:rPr>
                    <w:t>זיק הכלוא</w:t>
                  </w:r>
                  <w:r w:rsidR="00897F9B">
                    <w:rPr>
                      <w:rFonts w:cs="Miriam" w:hint="cs"/>
                      <w:sz w:val="18"/>
                      <w:szCs w:val="18"/>
                      <w:rtl/>
                    </w:rPr>
                    <w:t xml:space="preserve"> </w:t>
                  </w:r>
                  <w:r w:rsidR="00897F9B">
                    <w:rPr>
                      <w:rFonts w:cs="Miriam"/>
                      <w:sz w:val="18"/>
                      <w:szCs w:val="18"/>
                      <w:rtl/>
                    </w:rPr>
                    <w:br/>
                  </w:r>
                  <w:r>
                    <w:rPr>
                      <w:rFonts w:cs="Miriam"/>
                      <w:sz w:val="18"/>
                      <w:szCs w:val="18"/>
                      <w:rtl/>
                    </w:rPr>
                    <w:t>בב</w:t>
                  </w:r>
                  <w:r>
                    <w:rPr>
                      <w:rFonts w:cs="Miriam" w:hint="cs"/>
                      <w:sz w:val="18"/>
                      <w:szCs w:val="18"/>
                      <w:rtl/>
                    </w:rPr>
                    <w:t>ית-סוהר</w:t>
                  </w:r>
                </w:p>
              </w:txbxContent>
            </v:textbox>
            <w10:anchorlock/>
          </v:rect>
        </w:pict>
      </w:r>
      <w:r>
        <w:rPr>
          <w:rStyle w:val="big-number"/>
          <w:rFonts w:cs="Miriam"/>
          <w:rtl/>
        </w:rPr>
        <w:t>7.</w:t>
      </w:r>
      <w:r>
        <w:rPr>
          <w:rStyle w:val="big-number"/>
          <w:rFonts w:cs="Miriam"/>
          <w:rtl/>
        </w:rPr>
        <w:tab/>
      </w:r>
      <w:r>
        <w:rPr>
          <w:rStyle w:val="default"/>
          <w:rFonts w:cs="FrankRuehl"/>
          <w:rtl/>
        </w:rPr>
        <w:t>הי</w:t>
      </w:r>
      <w:r>
        <w:rPr>
          <w:rStyle w:val="default"/>
          <w:rFonts w:cs="FrankRuehl" w:hint="cs"/>
          <w:rtl/>
        </w:rPr>
        <w:t>ה המחזיק כלוא בבית סוהר ודרישת הפינוי שנשלחה לפי תקנה 2 ל</w:t>
      </w:r>
      <w:r>
        <w:rPr>
          <w:rStyle w:val="default"/>
          <w:rFonts w:cs="FrankRuehl"/>
          <w:rtl/>
        </w:rPr>
        <w:t xml:space="preserve">א </w:t>
      </w:r>
      <w:r>
        <w:rPr>
          <w:rStyle w:val="default"/>
          <w:rFonts w:cs="FrankRuehl" w:hint="cs"/>
          <w:rtl/>
        </w:rPr>
        <w:t>הומצאה לו, תומצא דרישת הפינוי בדואר רשום עם אישור מסירה לנציב שירות בתי הסוהר לשם המצאה למחזיק.</w:t>
      </w:r>
    </w:p>
    <w:p w14:paraId="21195062" w14:textId="77777777" w:rsidR="004B7FEE" w:rsidRDefault="004B7FEE">
      <w:pPr>
        <w:pStyle w:val="P00"/>
        <w:spacing w:before="72"/>
        <w:ind w:left="0" w:right="1134"/>
        <w:rPr>
          <w:rStyle w:val="default"/>
          <w:rFonts w:cs="FrankRuehl"/>
          <w:rtl/>
        </w:rPr>
      </w:pPr>
      <w:bookmarkStart w:id="7" w:name="Seif8"/>
      <w:bookmarkEnd w:id="7"/>
      <w:r>
        <w:rPr>
          <w:lang w:val="he-IL"/>
        </w:rPr>
        <w:pict w14:anchorId="740FD197">
          <v:rect id="_x0000_s1033" style="position:absolute;left:0;text-align:left;margin-left:464.5pt;margin-top:8.05pt;width:75.05pt;height:20pt;z-index:251659776" o:allowincell="f" filled="f" stroked="f" strokecolor="lime" strokeweight=".25pt">
            <v:textbox inset="0,0,0,0">
              <w:txbxContent>
                <w:p w14:paraId="43075091" w14:textId="77777777" w:rsidR="004B7FEE" w:rsidRDefault="004B7FEE">
                  <w:pPr>
                    <w:spacing w:line="160" w:lineRule="exact"/>
                    <w:jc w:val="left"/>
                    <w:rPr>
                      <w:rFonts w:cs="Miriam"/>
                      <w:noProof/>
                      <w:sz w:val="18"/>
                      <w:szCs w:val="18"/>
                      <w:rtl/>
                    </w:rPr>
                  </w:pPr>
                  <w:r>
                    <w:rPr>
                      <w:rFonts w:cs="Miriam"/>
                      <w:sz w:val="18"/>
                      <w:szCs w:val="18"/>
                      <w:rtl/>
                    </w:rPr>
                    <w:t>חו</w:t>
                  </w:r>
                  <w:r>
                    <w:rPr>
                      <w:rFonts w:cs="Miriam" w:hint="cs"/>
                      <w:sz w:val="18"/>
                      <w:szCs w:val="18"/>
                      <w:rtl/>
                    </w:rPr>
                    <w:t>בת מי שהומצאה לו דרישת פינוי</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מצאה דרישת פינוי לאדם לשם המצאה למחזיק, חייב הוא להמציאה למחזיק בהקדם.</w:t>
      </w:r>
    </w:p>
    <w:p w14:paraId="632D9338" w14:textId="77777777" w:rsidR="004B7FEE" w:rsidRDefault="004B7FEE" w:rsidP="00897F9B">
      <w:pPr>
        <w:pStyle w:val="P00"/>
        <w:spacing w:before="72"/>
        <w:ind w:left="0" w:right="1134"/>
        <w:rPr>
          <w:rStyle w:val="default"/>
          <w:rFonts w:cs="FrankRuehl"/>
          <w:rtl/>
        </w:rPr>
      </w:pPr>
      <w:bookmarkStart w:id="8" w:name="Seif9"/>
      <w:bookmarkEnd w:id="8"/>
      <w:r>
        <w:rPr>
          <w:lang w:val="he-IL"/>
        </w:rPr>
        <w:pict w14:anchorId="1DE87B2E">
          <v:rect id="_x0000_s1034" style="position:absolute;left:0;text-align:left;margin-left:464.5pt;margin-top:8.05pt;width:75.05pt;height:20pt;z-index:251660800" o:allowincell="f" filled="f" stroked="f" strokecolor="lime" strokeweight=".25pt">
            <v:textbox inset="0,0,0,0">
              <w:txbxContent>
                <w:p w14:paraId="4ED814BD" w14:textId="77777777" w:rsidR="004B7FEE" w:rsidRDefault="004B7FEE">
                  <w:pPr>
                    <w:spacing w:line="160" w:lineRule="exact"/>
                    <w:jc w:val="left"/>
                    <w:rPr>
                      <w:rFonts w:cs="Miriam"/>
                      <w:noProof/>
                      <w:sz w:val="18"/>
                      <w:szCs w:val="18"/>
                      <w:rtl/>
                    </w:rPr>
                  </w:pPr>
                  <w:r>
                    <w:rPr>
                      <w:rFonts w:cs="Miriam"/>
                      <w:sz w:val="18"/>
                      <w:szCs w:val="18"/>
                      <w:rtl/>
                    </w:rPr>
                    <w:t>מס</w:t>
                  </w:r>
                  <w:r>
                    <w:rPr>
                      <w:rFonts w:cs="Miriam" w:hint="cs"/>
                      <w:sz w:val="18"/>
                      <w:szCs w:val="18"/>
                      <w:rtl/>
                    </w:rPr>
                    <w:t>ירת דרישת פינוי שלא הומצאה למחזיק</w:t>
                  </w:r>
                </w:p>
              </w:txbxContent>
            </v:textbox>
            <w10:anchorlock/>
          </v:rect>
        </w:pict>
      </w:r>
      <w:r>
        <w:rPr>
          <w:rStyle w:val="big-number"/>
          <w:rFonts w:cs="Miriam"/>
          <w:rtl/>
        </w:rPr>
        <w:t>9.</w:t>
      </w:r>
      <w:r>
        <w:rPr>
          <w:rStyle w:val="big-number"/>
          <w:rFonts w:cs="Miriam"/>
          <w:rtl/>
        </w:rPr>
        <w:tab/>
      </w:r>
      <w:r>
        <w:rPr>
          <w:rStyle w:val="default"/>
          <w:rFonts w:cs="FrankRuehl"/>
          <w:rtl/>
        </w:rPr>
        <w:t>נו</w:t>
      </w:r>
      <w:r>
        <w:rPr>
          <w:rStyle w:val="default"/>
          <w:rFonts w:cs="FrankRuehl" w:hint="cs"/>
          <w:rtl/>
        </w:rPr>
        <w:t>כחה הרשות על פי אישור המסירה כי דרישת פינוי שנשלח</w:t>
      </w:r>
      <w:r>
        <w:rPr>
          <w:rStyle w:val="default"/>
          <w:rFonts w:cs="FrankRuehl"/>
          <w:rtl/>
        </w:rPr>
        <w:t xml:space="preserve">ה </w:t>
      </w:r>
      <w:r>
        <w:rPr>
          <w:rStyle w:val="default"/>
          <w:rFonts w:cs="FrankRuehl" w:hint="cs"/>
          <w:rtl/>
        </w:rPr>
        <w:t xml:space="preserve">כאמור בתקנות 3 עד 7 לא </w:t>
      </w:r>
      <w:r>
        <w:rPr>
          <w:rStyle w:val="default"/>
          <w:rFonts w:cs="FrankRuehl" w:hint="cs"/>
          <w:rtl/>
        </w:rPr>
        <w:lastRenderedPageBreak/>
        <w:t>הו</w:t>
      </w:r>
      <w:r>
        <w:rPr>
          <w:rStyle w:val="default"/>
          <w:rFonts w:cs="FrankRuehl"/>
          <w:rtl/>
        </w:rPr>
        <w:t>מ</w:t>
      </w:r>
      <w:r>
        <w:rPr>
          <w:rStyle w:val="default"/>
          <w:rFonts w:cs="FrankRuehl" w:hint="cs"/>
          <w:rtl/>
        </w:rPr>
        <w:t>צאה למחזיק, תומצא דרישת הפינוי בדרך הקבועה בתקנות משנה (ב) ו-(ג) לתקנה 2 ויחולו עליה הוראות תקנות משנה (ד) עד (ו) לאותה תקנה.</w:t>
      </w:r>
    </w:p>
    <w:p w14:paraId="6675C074" w14:textId="77777777" w:rsidR="004B7FEE" w:rsidRDefault="004B7FEE">
      <w:pPr>
        <w:pStyle w:val="P00"/>
        <w:spacing w:before="72"/>
        <w:ind w:left="0" w:right="1134"/>
        <w:rPr>
          <w:rStyle w:val="default"/>
          <w:rFonts w:cs="FrankRuehl"/>
          <w:rtl/>
        </w:rPr>
      </w:pPr>
      <w:bookmarkStart w:id="9" w:name="Seif10"/>
      <w:bookmarkEnd w:id="9"/>
      <w:r>
        <w:rPr>
          <w:lang w:val="he-IL"/>
        </w:rPr>
        <w:pict w14:anchorId="7ACA47C8">
          <v:rect id="_x0000_s1035" style="position:absolute;left:0;text-align:left;margin-left:464.5pt;margin-top:8.05pt;width:75.05pt;height:10pt;z-index:251661824" o:allowincell="f" filled="f" stroked="f" strokecolor="lime" strokeweight=".25pt">
            <v:textbox inset="0,0,0,0">
              <w:txbxContent>
                <w:p w14:paraId="6F705706" w14:textId="77777777" w:rsidR="004B7FEE" w:rsidRDefault="004B7FEE">
                  <w:pPr>
                    <w:spacing w:line="160" w:lineRule="exact"/>
                    <w:jc w:val="left"/>
                    <w:rPr>
                      <w:rFonts w:cs="Miriam"/>
                      <w:noProof/>
                      <w:sz w:val="18"/>
                      <w:szCs w:val="18"/>
                      <w:rtl/>
                    </w:rPr>
                  </w:pPr>
                  <w:r>
                    <w:rPr>
                      <w:rFonts w:cs="Miriam"/>
                      <w:sz w:val="18"/>
                      <w:szCs w:val="18"/>
                      <w:rtl/>
                    </w:rPr>
                    <w:t>מס</w:t>
                  </w:r>
                  <w:r>
                    <w:rPr>
                      <w:rFonts w:cs="Miriam" w:hint="cs"/>
                      <w:sz w:val="18"/>
                      <w:szCs w:val="18"/>
                      <w:rtl/>
                    </w:rPr>
                    <w:t>ירה ומועדה</w:t>
                  </w:r>
                </w:p>
              </w:txbxContent>
            </v:textbox>
            <w10:anchorlock/>
          </v:rect>
        </w:pict>
      </w:r>
      <w:r>
        <w:rPr>
          <w:rStyle w:val="big-number"/>
          <w:rFonts w:cs="Miriam"/>
          <w:rtl/>
        </w:rPr>
        <w:t>10.</w:t>
      </w:r>
      <w:r>
        <w:rPr>
          <w:rStyle w:val="big-number"/>
          <w:rFonts w:cs="Miriam"/>
          <w:rtl/>
        </w:rPr>
        <w:tab/>
      </w:r>
      <w:r>
        <w:rPr>
          <w:rStyle w:val="default"/>
          <w:rFonts w:cs="FrankRuehl"/>
          <w:rtl/>
        </w:rPr>
        <w:t>דר</w:t>
      </w:r>
      <w:r>
        <w:rPr>
          <w:rStyle w:val="default"/>
          <w:rFonts w:cs="FrankRuehl" w:hint="cs"/>
          <w:rtl/>
        </w:rPr>
        <w:t xml:space="preserve">ישת הפינוי שנשלחה בדואר רשום כאמור בתקנות 2 עד 9, דינה כדרישת פינוי שנמסרה למחזיק יומיים לאחר </w:t>
      </w:r>
      <w:r>
        <w:rPr>
          <w:rStyle w:val="default"/>
          <w:rFonts w:cs="FrankRuehl"/>
          <w:rtl/>
        </w:rPr>
        <w:t>הת</w:t>
      </w:r>
      <w:r>
        <w:rPr>
          <w:rStyle w:val="default"/>
          <w:rFonts w:cs="FrankRuehl" w:hint="cs"/>
          <w:rtl/>
        </w:rPr>
        <w:t>אריך הרשום באישור המסירה.</w:t>
      </w:r>
    </w:p>
    <w:p w14:paraId="4E651EAC" w14:textId="77777777" w:rsidR="004B7FEE" w:rsidRDefault="004B7FEE" w:rsidP="00897F9B">
      <w:pPr>
        <w:pStyle w:val="P00"/>
        <w:spacing w:before="72"/>
        <w:ind w:left="0" w:right="1134"/>
        <w:rPr>
          <w:rStyle w:val="default"/>
          <w:rFonts w:cs="FrankRuehl"/>
          <w:rtl/>
        </w:rPr>
      </w:pPr>
      <w:bookmarkStart w:id="10" w:name="Seif11"/>
      <w:bookmarkEnd w:id="10"/>
      <w:r>
        <w:rPr>
          <w:lang w:val="he-IL"/>
        </w:rPr>
        <w:pict w14:anchorId="3D30CD13">
          <v:rect id="_x0000_s1036" style="position:absolute;left:0;text-align:left;margin-left:464.5pt;margin-top:8.05pt;width:75.05pt;height:10pt;z-index:251662848" o:allowincell="f" filled="f" stroked="f" strokecolor="lime" strokeweight=".25pt">
            <v:textbox inset="0,0,0,0">
              <w:txbxContent>
                <w:p w14:paraId="55E6D35A" w14:textId="77777777" w:rsidR="004B7FEE" w:rsidRDefault="004B7FE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ייקרא "תקנות בינוי ופינוי של אזורי שיקום (מסירת דרישת פינוי), תשכ"ח-1968".</w:t>
      </w:r>
    </w:p>
    <w:p w14:paraId="185681FB" w14:textId="77777777" w:rsidR="004B7FEE" w:rsidRDefault="004B7FEE">
      <w:pPr>
        <w:pStyle w:val="P00"/>
        <w:spacing w:before="72"/>
        <w:ind w:left="0" w:right="1134"/>
        <w:rPr>
          <w:rStyle w:val="default"/>
          <w:rFonts w:cs="FrankRuehl" w:hint="cs"/>
          <w:rtl/>
        </w:rPr>
      </w:pPr>
    </w:p>
    <w:p w14:paraId="49C53753" w14:textId="77777777" w:rsidR="00897F9B" w:rsidRDefault="00897F9B">
      <w:pPr>
        <w:pStyle w:val="P00"/>
        <w:spacing w:before="72"/>
        <w:ind w:left="0" w:right="1134"/>
        <w:rPr>
          <w:rStyle w:val="default"/>
          <w:rFonts w:cs="FrankRuehl" w:hint="cs"/>
          <w:rtl/>
        </w:rPr>
      </w:pPr>
    </w:p>
    <w:p w14:paraId="2DE84D62" w14:textId="77777777" w:rsidR="004B7FEE" w:rsidRDefault="004B7FEE">
      <w:pPr>
        <w:pStyle w:val="sig-0"/>
        <w:ind w:left="0" w:right="1134"/>
        <w:rPr>
          <w:rFonts w:cs="FrankRuehl"/>
          <w:sz w:val="26"/>
          <w:rtl/>
        </w:rPr>
      </w:pPr>
      <w:r>
        <w:rPr>
          <w:rFonts w:cs="FrankRuehl"/>
          <w:sz w:val="26"/>
          <w:rtl/>
        </w:rPr>
        <w:t>י"</w:t>
      </w:r>
      <w:r>
        <w:rPr>
          <w:rFonts w:cs="FrankRuehl" w:hint="cs"/>
          <w:sz w:val="26"/>
          <w:rtl/>
        </w:rPr>
        <w:t>ג בטבת תשכ"ח (14 בינואר 1968)</w:t>
      </w:r>
      <w:r>
        <w:rPr>
          <w:rFonts w:cs="FrankRuehl"/>
          <w:sz w:val="26"/>
          <w:rtl/>
        </w:rPr>
        <w:tab/>
        <w:t>מ</w:t>
      </w:r>
      <w:r>
        <w:rPr>
          <w:rFonts w:cs="FrankRuehl" w:hint="cs"/>
          <w:sz w:val="26"/>
          <w:rtl/>
        </w:rPr>
        <w:t>רדכי בנטוב</w:t>
      </w:r>
    </w:p>
    <w:p w14:paraId="43ED8776" w14:textId="77777777" w:rsidR="004B7FEE" w:rsidRDefault="004B7FE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השיכון</w:t>
      </w:r>
    </w:p>
    <w:p w14:paraId="0A729210" w14:textId="77777777" w:rsidR="00897F9B" w:rsidRPr="00897F9B" w:rsidRDefault="00897F9B" w:rsidP="00897F9B">
      <w:pPr>
        <w:pStyle w:val="P00"/>
        <w:spacing w:before="72"/>
        <w:ind w:left="0" w:right="1134"/>
        <w:rPr>
          <w:rStyle w:val="default"/>
          <w:rFonts w:cs="FrankRuehl" w:hint="cs"/>
          <w:rtl/>
        </w:rPr>
      </w:pPr>
    </w:p>
    <w:p w14:paraId="685A1B45" w14:textId="77777777" w:rsidR="00897F9B" w:rsidRPr="00897F9B" w:rsidRDefault="00897F9B" w:rsidP="00897F9B">
      <w:pPr>
        <w:pStyle w:val="P00"/>
        <w:spacing w:before="72"/>
        <w:ind w:left="0" w:right="1134"/>
        <w:rPr>
          <w:rStyle w:val="default"/>
          <w:rFonts w:cs="FrankRuehl"/>
          <w:rtl/>
        </w:rPr>
      </w:pPr>
    </w:p>
    <w:p w14:paraId="63D50D64" w14:textId="77777777" w:rsidR="004B7FEE" w:rsidRPr="00897F9B" w:rsidRDefault="004B7FEE" w:rsidP="00897F9B">
      <w:pPr>
        <w:pStyle w:val="P00"/>
        <w:spacing w:before="72"/>
        <w:ind w:left="0" w:right="1134"/>
        <w:rPr>
          <w:rStyle w:val="default"/>
          <w:rFonts w:cs="FrankRuehl"/>
          <w:rtl/>
        </w:rPr>
      </w:pPr>
      <w:bookmarkStart w:id="11" w:name="LawPartEnd"/>
    </w:p>
    <w:bookmarkEnd w:id="11"/>
    <w:p w14:paraId="7F6FA1AC" w14:textId="77777777" w:rsidR="004B7FEE" w:rsidRPr="00897F9B" w:rsidRDefault="004B7FEE" w:rsidP="00897F9B">
      <w:pPr>
        <w:pStyle w:val="P00"/>
        <w:spacing w:before="72"/>
        <w:ind w:left="0" w:right="1134"/>
        <w:rPr>
          <w:rStyle w:val="default"/>
          <w:rFonts w:cs="FrankRuehl"/>
          <w:rtl/>
        </w:rPr>
      </w:pPr>
    </w:p>
    <w:sectPr w:rsidR="004B7FEE" w:rsidRPr="00897F9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ABE9" w14:textId="77777777" w:rsidR="00280872" w:rsidRDefault="00280872">
      <w:r>
        <w:separator/>
      </w:r>
    </w:p>
  </w:endnote>
  <w:endnote w:type="continuationSeparator" w:id="0">
    <w:p w14:paraId="1C15982D" w14:textId="77777777" w:rsidR="00280872" w:rsidRDefault="0028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F20C" w14:textId="77777777" w:rsidR="004B7FEE" w:rsidRDefault="004B7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29A64E" w14:textId="77777777" w:rsidR="004B7FEE" w:rsidRDefault="004B7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DDC034" w14:textId="77777777" w:rsidR="004B7FEE" w:rsidRDefault="004B7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6608">
      <w:rPr>
        <w:rFonts w:cs="TopType Jerushalmi"/>
        <w:noProof/>
        <w:color w:val="000000"/>
        <w:sz w:val="14"/>
        <w:szCs w:val="14"/>
      </w:rPr>
      <w:t>Z:\000000000000-law\yael\revadim\08-11-27\040_007.doc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2431" w14:textId="77777777" w:rsidR="004B7FEE" w:rsidRDefault="004B7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60F0">
      <w:rPr>
        <w:rFonts w:hAnsi="FrankRuehl" w:cs="FrankRuehl"/>
        <w:noProof/>
        <w:sz w:val="24"/>
        <w:szCs w:val="24"/>
        <w:rtl/>
      </w:rPr>
      <w:t>1</w:t>
    </w:r>
    <w:r>
      <w:rPr>
        <w:rFonts w:hAnsi="FrankRuehl" w:cs="FrankRuehl"/>
        <w:sz w:val="24"/>
        <w:szCs w:val="24"/>
        <w:rtl/>
      </w:rPr>
      <w:fldChar w:fldCharType="end"/>
    </w:r>
  </w:p>
  <w:p w14:paraId="64185BAB" w14:textId="77777777" w:rsidR="004B7FEE" w:rsidRDefault="004B7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81904E" w14:textId="77777777" w:rsidR="004B7FEE" w:rsidRDefault="004B7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6608">
      <w:rPr>
        <w:rFonts w:cs="TopType Jerushalmi"/>
        <w:noProof/>
        <w:color w:val="000000"/>
        <w:sz w:val="14"/>
        <w:szCs w:val="14"/>
      </w:rPr>
      <w:t>Z:\000000000000-law\yael\revadim\08-11-27\040_007.doc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30D7" w14:textId="77777777" w:rsidR="00280872" w:rsidRDefault="00280872" w:rsidP="00897F9B">
      <w:pPr>
        <w:spacing w:before="60" w:line="240" w:lineRule="auto"/>
        <w:ind w:right="1134"/>
      </w:pPr>
      <w:r>
        <w:separator/>
      </w:r>
    </w:p>
  </w:footnote>
  <w:footnote w:type="continuationSeparator" w:id="0">
    <w:p w14:paraId="51B04B9E" w14:textId="77777777" w:rsidR="00280872" w:rsidRDefault="00280872">
      <w:r>
        <w:continuationSeparator/>
      </w:r>
    </w:p>
  </w:footnote>
  <w:footnote w:id="1">
    <w:p w14:paraId="22ADCC47" w14:textId="77777777" w:rsidR="00897F9B" w:rsidRPr="00897F9B" w:rsidRDefault="00897F9B" w:rsidP="00897F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97F9B">
        <w:rPr>
          <w:rFonts w:cs="FrankRuehl"/>
          <w:rtl/>
        </w:rPr>
        <w:t xml:space="preserve">* </w:t>
      </w:r>
      <w:r>
        <w:rPr>
          <w:rFonts w:cs="FrankRuehl"/>
          <w:rtl/>
        </w:rPr>
        <w:t>פו</w:t>
      </w:r>
      <w:r>
        <w:rPr>
          <w:rFonts w:cs="FrankRuehl" w:hint="cs"/>
          <w:rtl/>
        </w:rPr>
        <w:t xml:space="preserve">רסמו </w:t>
      </w:r>
      <w:hyperlink r:id="rId1" w:history="1">
        <w:r w:rsidRPr="007B3BCA">
          <w:rPr>
            <w:rStyle w:val="Hyperlink"/>
            <w:rFonts w:cs="FrankRuehl" w:hint="cs"/>
            <w:rtl/>
          </w:rPr>
          <w:t>ק"ת תשכ"ח מס' 2175</w:t>
        </w:r>
      </w:hyperlink>
      <w:r>
        <w:rPr>
          <w:rFonts w:cs="FrankRuehl" w:hint="cs"/>
          <w:rtl/>
        </w:rPr>
        <w:t xml:space="preserve"> מיום 25.1.1968 עמ' 723.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F15F" w14:textId="77777777" w:rsidR="004B7FEE" w:rsidRDefault="004B7F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(מסירת דרישת פינוי), תשכ"ח- 1968</w:t>
    </w:r>
  </w:p>
  <w:p w14:paraId="7231A825" w14:textId="77777777" w:rsidR="004B7FEE" w:rsidRDefault="004B7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0C7D16" w14:textId="77777777" w:rsidR="004B7FEE" w:rsidRDefault="004B7FE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8928" w14:textId="77777777" w:rsidR="004B7FEE" w:rsidRDefault="004B7FEE" w:rsidP="00897F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(מסירת דרישת פינוי), תשכ"ח-1968</w:t>
    </w:r>
  </w:p>
  <w:p w14:paraId="60996C71" w14:textId="77777777" w:rsidR="004B7FEE" w:rsidRDefault="004B7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E20BA1" w14:textId="77777777" w:rsidR="004B7FEE" w:rsidRDefault="004B7FE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3BCA"/>
    <w:rsid w:val="0010204B"/>
    <w:rsid w:val="002360F0"/>
    <w:rsid w:val="00280872"/>
    <w:rsid w:val="003E5412"/>
    <w:rsid w:val="004B7FEE"/>
    <w:rsid w:val="005D00CD"/>
    <w:rsid w:val="007B3BCA"/>
    <w:rsid w:val="00897F9B"/>
    <w:rsid w:val="008D6608"/>
    <w:rsid w:val="009369EC"/>
    <w:rsid w:val="00A259E8"/>
    <w:rsid w:val="00A64383"/>
    <w:rsid w:val="00C37B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921AFB"/>
  <w15:chartTrackingRefBased/>
  <w15:docId w15:val="{D0503978-11CE-4F9A-9604-814F5B68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97F9B"/>
    <w:rPr>
      <w:sz w:val="20"/>
      <w:szCs w:val="20"/>
    </w:rPr>
  </w:style>
  <w:style w:type="character" w:styleId="a6">
    <w:name w:val="footnote reference"/>
    <w:basedOn w:val="a0"/>
    <w:semiHidden/>
    <w:rsid w:val="00897F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1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40</vt:lpstr>
    </vt:vector>
  </TitlesOfParts>
  <Company/>
  <LinksUpToDate>false</LinksUpToDate>
  <CharactersWithSpaces>4361</CharactersWithSpaces>
  <SharedDoc>false</SharedDoc>
  <HLinks>
    <vt:vector size="72" baseType="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0</vt:i4>
      </vt:variant>
      <vt:variant>
        <vt:i4>0</vt:i4>
      </vt:variant>
      <vt:variant>
        <vt:i4>5</vt:i4>
      </vt:variant>
      <vt:variant>
        <vt:lpwstr>http://www.nevo.co.il/Law_word/law06/TAK-2175.pdf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40</dc:title>
  <dc:subject/>
  <dc:creator>comp99</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0040</vt:lpwstr>
  </property>
  <property fmtid="{D5CDD505-2E9C-101B-9397-08002B2CF9AE}" pid="3" name="CHNAME">
    <vt:lpwstr>בינוי ופינוי של אזורי שיקום</vt:lpwstr>
  </property>
  <property fmtid="{D5CDD505-2E9C-101B-9397-08002B2CF9AE}" pid="4" name="LAWNAME">
    <vt:lpwstr>תקנות בינוי ופינוי של אזורי שיקום (מסירת דרישת פינוי), תשכ"ח-1968</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בינוי ופינוי של אזורי שיקום</vt:lpwstr>
  </property>
  <property fmtid="{D5CDD505-2E9C-101B-9397-08002B2CF9AE}" pid="8" name="MEKOR_SAIF1">
    <vt:lpwstr>38X;63X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בינוי ופינוי </vt:lpwstr>
  </property>
  <property fmtid="{D5CDD505-2E9C-101B-9397-08002B2CF9AE}" pid="12" name="NOSE41">
    <vt:lpwstr>אזורי שיקום</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פינוי והפקעה</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