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C44B1" w14:textId="77777777" w:rsidR="005A2C3E" w:rsidRDefault="005A2C3E">
      <w:pPr>
        <w:pStyle w:val="big-header"/>
        <w:ind w:left="0" w:right="1134"/>
        <w:rPr>
          <w:rFonts w:cs="FrankRuehl" w:hint="cs"/>
          <w:sz w:val="32"/>
          <w:rtl/>
        </w:rPr>
      </w:pPr>
      <w:r>
        <w:rPr>
          <w:rFonts w:cs="FrankRuehl"/>
          <w:sz w:val="32"/>
          <w:rtl/>
        </w:rPr>
        <w:t>תקנות בית דין לעניני אניות בנידון פיצויים (הגנה), 1941</w:t>
      </w:r>
    </w:p>
    <w:p w14:paraId="69C406E0" w14:textId="77777777" w:rsidR="00B05C5E" w:rsidRPr="00B05C5E" w:rsidRDefault="00B05C5E" w:rsidP="00B05C5E">
      <w:pPr>
        <w:spacing w:line="320" w:lineRule="auto"/>
        <w:jc w:val="left"/>
        <w:rPr>
          <w:rFonts w:cs="FrankRuehl"/>
          <w:szCs w:val="26"/>
          <w:rtl/>
        </w:rPr>
      </w:pPr>
    </w:p>
    <w:p w14:paraId="2048B1A5" w14:textId="77777777" w:rsidR="00B05C5E" w:rsidRPr="00B05C5E" w:rsidRDefault="00B05C5E" w:rsidP="00B05C5E">
      <w:pPr>
        <w:spacing w:line="320" w:lineRule="auto"/>
        <w:jc w:val="left"/>
        <w:rPr>
          <w:rFonts w:cs="Miriam" w:hint="cs"/>
          <w:szCs w:val="22"/>
          <w:rtl/>
        </w:rPr>
      </w:pPr>
      <w:r w:rsidRPr="00B05C5E">
        <w:rPr>
          <w:rFonts w:cs="Miriam"/>
          <w:szCs w:val="22"/>
          <w:rtl/>
        </w:rPr>
        <w:t>בתי משפט וסדרי דין</w:t>
      </w:r>
      <w:r w:rsidRPr="00B05C5E">
        <w:rPr>
          <w:rFonts w:cs="FrankRuehl"/>
          <w:szCs w:val="26"/>
          <w:rtl/>
        </w:rPr>
        <w:t xml:space="preserve"> – בתי משפט ובתי דין</w:t>
      </w:r>
    </w:p>
    <w:p w14:paraId="1FD3BA7F" w14:textId="77777777" w:rsidR="005A2C3E" w:rsidRDefault="005A2C3E">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5A2C3E" w14:paraId="796660F7" w14:textId="77777777">
        <w:tblPrEx>
          <w:tblCellMar>
            <w:top w:w="0" w:type="dxa"/>
            <w:bottom w:w="0" w:type="dxa"/>
          </w:tblCellMar>
        </w:tblPrEx>
        <w:tc>
          <w:tcPr>
            <w:tcW w:w="850" w:type="dxa"/>
          </w:tcPr>
          <w:p w14:paraId="18A64C6B" w14:textId="77777777" w:rsidR="005A2C3E" w:rsidRDefault="005A2C3E">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3ECE53C7" w14:textId="77777777" w:rsidR="005A2C3E" w:rsidRDefault="005A2C3E">
            <w:pPr>
              <w:spacing w:line="240" w:lineRule="auto"/>
              <w:rPr>
                <w:sz w:val="24"/>
              </w:rPr>
            </w:pPr>
            <w:hyperlink w:anchor="Seif0" w:tooltip="השם הקצר" w:history="1">
              <w:r>
                <w:rPr>
                  <w:rStyle w:val="Hyperlink"/>
                </w:rPr>
                <w:t>Go</w:t>
              </w:r>
            </w:hyperlink>
          </w:p>
        </w:tc>
        <w:tc>
          <w:tcPr>
            <w:tcW w:w="5669" w:type="dxa"/>
          </w:tcPr>
          <w:p w14:paraId="0C70C7E5" w14:textId="77777777" w:rsidR="005A2C3E" w:rsidRDefault="005A2C3E">
            <w:pPr>
              <w:spacing w:line="240" w:lineRule="auto"/>
              <w:rPr>
                <w:sz w:val="24"/>
                <w:rtl/>
              </w:rPr>
            </w:pPr>
            <w:r>
              <w:rPr>
                <w:sz w:val="24"/>
                <w:rtl/>
              </w:rPr>
              <w:t>השם הקצר</w:t>
            </w:r>
          </w:p>
        </w:tc>
        <w:tc>
          <w:tcPr>
            <w:tcW w:w="1247" w:type="dxa"/>
          </w:tcPr>
          <w:p w14:paraId="5DB1646C" w14:textId="77777777" w:rsidR="005A2C3E" w:rsidRDefault="005A2C3E">
            <w:pPr>
              <w:spacing w:line="240" w:lineRule="auto"/>
              <w:rPr>
                <w:sz w:val="24"/>
              </w:rPr>
            </w:pPr>
            <w:r>
              <w:rPr>
                <w:sz w:val="24"/>
                <w:rtl/>
              </w:rPr>
              <w:t xml:space="preserve">סעיף 1 </w:t>
            </w:r>
          </w:p>
        </w:tc>
      </w:tr>
      <w:tr w:rsidR="005A2C3E" w14:paraId="3EC80AF4" w14:textId="77777777">
        <w:tblPrEx>
          <w:tblCellMar>
            <w:top w:w="0" w:type="dxa"/>
            <w:bottom w:w="0" w:type="dxa"/>
          </w:tblCellMar>
        </w:tblPrEx>
        <w:tc>
          <w:tcPr>
            <w:tcW w:w="850" w:type="dxa"/>
          </w:tcPr>
          <w:p w14:paraId="67A2ECD9" w14:textId="77777777" w:rsidR="005A2C3E" w:rsidRDefault="005A2C3E">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0652A41" w14:textId="77777777" w:rsidR="005A2C3E" w:rsidRDefault="005A2C3E">
            <w:pPr>
              <w:spacing w:line="240" w:lineRule="auto"/>
              <w:rPr>
                <w:sz w:val="24"/>
              </w:rPr>
            </w:pPr>
            <w:hyperlink w:anchor="Seif1" w:tooltip="הודעה על תביעות לפיצויים וסדר הגשתן" w:history="1">
              <w:r>
                <w:rPr>
                  <w:rStyle w:val="Hyperlink"/>
                </w:rPr>
                <w:t>Go</w:t>
              </w:r>
            </w:hyperlink>
          </w:p>
        </w:tc>
        <w:tc>
          <w:tcPr>
            <w:tcW w:w="5669" w:type="dxa"/>
          </w:tcPr>
          <w:p w14:paraId="7412EF41" w14:textId="77777777" w:rsidR="005A2C3E" w:rsidRDefault="005A2C3E">
            <w:pPr>
              <w:spacing w:line="240" w:lineRule="auto"/>
              <w:rPr>
                <w:sz w:val="24"/>
                <w:rtl/>
              </w:rPr>
            </w:pPr>
            <w:r>
              <w:rPr>
                <w:sz w:val="24"/>
                <w:rtl/>
              </w:rPr>
              <w:t>הודעה על תביעות לפיצויים וסדר הגשתן</w:t>
            </w:r>
          </w:p>
        </w:tc>
        <w:tc>
          <w:tcPr>
            <w:tcW w:w="1247" w:type="dxa"/>
          </w:tcPr>
          <w:p w14:paraId="15718355" w14:textId="77777777" w:rsidR="005A2C3E" w:rsidRDefault="005A2C3E">
            <w:pPr>
              <w:spacing w:line="240" w:lineRule="auto"/>
              <w:rPr>
                <w:sz w:val="24"/>
              </w:rPr>
            </w:pPr>
            <w:r>
              <w:rPr>
                <w:sz w:val="24"/>
                <w:rtl/>
              </w:rPr>
              <w:t xml:space="preserve">סעיף 3 </w:t>
            </w:r>
          </w:p>
        </w:tc>
      </w:tr>
      <w:tr w:rsidR="005A2C3E" w14:paraId="0FF823C3" w14:textId="77777777">
        <w:tblPrEx>
          <w:tblCellMar>
            <w:top w:w="0" w:type="dxa"/>
            <w:bottom w:w="0" w:type="dxa"/>
          </w:tblCellMar>
        </w:tblPrEx>
        <w:tc>
          <w:tcPr>
            <w:tcW w:w="850" w:type="dxa"/>
          </w:tcPr>
          <w:p w14:paraId="1B58F986" w14:textId="77777777" w:rsidR="005A2C3E" w:rsidRDefault="005A2C3E">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3F695D13" w14:textId="77777777" w:rsidR="005A2C3E" w:rsidRDefault="005A2C3E">
            <w:pPr>
              <w:spacing w:line="240" w:lineRule="auto"/>
              <w:rPr>
                <w:sz w:val="24"/>
              </w:rPr>
            </w:pPr>
            <w:hyperlink w:anchor="Seif2" w:tooltip="כתובת למסירת מסמכים" w:history="1">
              <w:r>
                <w:rPr>
                  <w:rStyle w:val="Hyperlink"/>
                </w:rPr>
                <w:t>Go</w:t>
              </w:r>
            </w:hyperlink>
          </w:p>
        </w:tc>
        <w:tc>
          <w:tcPr>
            <w:tcW w:w="5669" w:type="dxa"/>
          </w:tcPr>
          <w:p w14:paraId="4824821C" w14:textId="77777777" w:rsidR="005A2C3E" w:rsidRDefault="005A2C3E">
            <w:pPr>
              <w:spacing w:line="240" w:lineRule="auto"/>
              <w:rPr>
                <w:sz w:val="24"/>
                <w:rtl/>
              </w:rPr>
            </w:pPr>
            <w:r>
              <w:rPr>
                <w:sz w:val="24"/>
                <w:rtl/>
              </w:rPr>
              <w:t>כתובת למסירת מסמכים</w:t>
            </w:r>
          </w:p>
        </w:tc>
        <w:tc>
          <w:tcPr>
            <w:tcW w:w="1247" w:type="dxa"/>
          </w:tcPr>
          <w:p w14:paraId="3BA04EB4" w14:textId="77777777" w:rsidR="005A2C3E" w:rsidRDefault="005A2C3E">
            <w:pPr>
              <w:spacing w:line="240" w:lineRule="auto"/>
              <w:rPr>
                <w:sz w:val="24"/>
              </w:rPr>
            </w:pPr>
            <w:r>
              <w:rPr>
                <w:sz w:val="24"/>
                <w:rtl/>
              </w:rPr>
              <w:t xml:space="preserve">סעיף 4 </w:t>
            </w:r>
          </w:p>
        </w:tc>
      </w:tr>
      <w:tr w:rsidR="005A2C3E" w14:paraId="40526075" w14:textId="77777777">
        <w:tblPrEx>
          <w:tblCellMar>
            <w:top w:w="0" w:type="dxa"/>
            <w:bottom w:w="0" w:type="dxa"/>
          </w:tblCellMar>
        </w:tblPrEx>
        <w:tc>
          <w:tcPr>
            <w:tcW w:w="850" w:type="dxa"/>
          </w:tcPr>
          <w:p w14:paraId="3D80B78C" w14:textId="77777777" w:rsidR="005A2C3E" w:rsidRDefault="005A2C3E">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0E0E492F" w14:textId="77777777" w:rsidR="005A2C3E" w:rsidRDefault="005A2C3E">
            <w:pPr>
              <w:spacing w:line="240" w:lineRule="auto"/>
              <w:rPr>
                <w:sz w:val="24"/>
              </w:rPr>
            </w:pPr>
            <w:hyperlink w:anchor="Seif3" w:tooltip="פרטים" w:history="1">
              <w:r>
                <w:rPr>
                  <w:rStyle w:val="Hyperlink"/>
                </w:rPr>
                <w:t>Go</w:t>
              </w:r>
            </w:hyperlink>
          </w:p>
        </w:tc>
        <w:tc>
          <w:tcPr>
            <w:tcW w:w="5669" w:type="dxa"/>
          </w:tcPr>
          <w:p w14:paraId="551A42F3" w14:textId="77777777" w:rsidR="005A2C3E" w:rsidRDefault="005A2C3E">
            <w:pPr>
              <w:spacing w:line="240" w:lineRule="auto"/>
              <w:rPr>
                <w:sz w:val="24"/>
                <w:rtl/>
              </w:rPr>
            </w:pPr>
            <w:r>
              <w:rPr>
                <w:sz w:val="24"/>
                <w:rtl/>
              </w:rPr>
              <w:t>פרטים</w:t>
            </w:r>
          </w:p>
        </w:tc>
        <w:tc>
          <w:tcPr>
            <w:tcW w:w="1247" w:type="dxa"/>
          </w:tcPr>
          <w:p w14:paraId="6B874AED" w14:textId="77777777" w:rsidR="005A2C3E" w:rsidRDefault="005A2C3E">
            <w:pPr>
              <w:spacing w:line="240" w:lineRule="auto"/>
              <w:rPr>
                <w:sz w:val="24"/>
              </w:rPr>
            </w:pPr>
            <w:r>
              <w:rPr>
                <w:sz w:val="24"/>
                <w:rtl/>
              </w:rPr>
              <w:t xml:space="preserve">סעיף 5 </w:t>
            </w:r>
          </w:p>
        </w:tc>
      </w:tr>
      <w:tr w:rsidR="005A2C3E" w14:paraId="7993AAF4" w14:textId="77777777">
        <w:tblPrEx>
          <w:tblCellMar>
            <w:top w:w="0" w:type="dxa"/>
            <w:bottom w:w="0" w:type="dxa"/>
          </w:tblCellMar>
        </w:tblPrEx>
        <w:tc>
          <w:tcPr>
            <w:tcW w:w="850" w:type="dxa"/>
          </w:tcPr>
          <w:p w14:paraId="334B33CF" w14:textId="77777777" w:rsidR="005A2C3E" w:rsidRDefault="005A2C3E">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670F54BA" w14:textId="77777777" w:rsidR="005A2C3E" w:rsidRDefault="005A2C3E">
            <w:pPr>
              <w:spacing w:line="240" w:lineRule="auto"/>
              <w:rPr>
                <w:sz w:val="24"/>
              </w:rPr>
            </w:pPr>
            <w:hyperlink w:anchor="Seif4" w:tooltip="תיקון" w:history="1">
              <w:r>
                <w:rPr>
                  <w:rStyle w:val="Hyperlink"/>
                </w:rPr>
                <w:t>Go</w:t>
              </w:r>
            </w:hyperlink>
          </w:p>
        </w:tc>
        <w:tc>
          <w:tcPr>
            <w:tcW w:w="5669" w:type="dxa"/>
          </w:tcPr>
          <w:p w14:paraId="52325D2E" w14:textId="77777777" w:rsidR="005A2C3E" w:rsidRDefault="005A2C3E">
            <w:pPr>
              <w:spacing w:line="240" w:lineRule="auto"/>
              <w:rPr>
                <w:sz w:val="24"/>
                <w:rtl/>
              </w:rPr>
            </w:pPr>
            <w:r>
              <w:rPr>
                <w:sz w:val="24"/>
                <w:rtl/>
              </w:rPr>
              <w:t>תיקון</w:t>
            </w:r>
          </w:p>
        </w:tc>
        <w:tc>
          <w:tcPr>
            <w:tcW w:w="1247" w:type="dxa"/>
          </w:tcPr>
          <w:p w14:paraId="712D7FFB" w14:textId="77777777" w:rsidR="005A2C3E" w:rsidRDefault="005A2C3E">
            <w:pPr>
              <w:spacing w:line="240" w:lineRule="auto"/>
              <w:rPr>
                <w:sz w:val="24"/>
              </w:rPr>
            </w:pPr>
            <w:r>
              <w:rPr>
                <w:sz w:val="24"/>
                <w:rtl/>
              </w:rPr>
              <w:t xml:space="preserve">סעיף 6 </w:t>
            </w:r>
          </w:p>
        </w:tc>
      </w:tr>
      <w:tr w:rsidR="005A2C3E" w14:paraId="7A662CFC" w14:textId="77777777">
        <w:tblPrEx>
          <w:tblCellMar>
            <w:top w:w="0" w:type="dxa"/>
            <w:bottom w:w="0" w:type="dxa"/>
          </w:tblCellMar>
        </w:tblPrEx>
        <w:tc>
          <w:tcPr>
            <w:tcW w:w="850" w:type="dxa"/>
          </w:tcPr>
          <w:p w14:paraId="31124CB3" w14:textId="77777777" w:rsidR="005A2C3E" w:rsidRDefault="005A2C3E">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261544D2" w14:textId="77777777" w:rsidR="005A2C3E" w:rsidRDefault="005A2C3E">
            <w:pPr>
              <w:spacing w:line="240" w:lineRule="auto"/>
              <w:rPr>
                <w:sz w:val="24"/>
              </w:rPr>
            </w:pPr>
            <w:hyperlink w:anchor="Seif5" w:tooltip="החלפת צדדים" w:history="1">
              <w:r>
                <w:rPr>
                  <w:rStyle w:val="Hyperlink"/>
                </w:rPr>
                <w:t>Go</w:t>
              </w:r>
            </w:hyperlink>
          </w:p>
        </w:tc>
        <w:tc>
          <w:tcPr>
            <w:tcW w:w="5669" w:type="dxa"/>
          </w:tcPr>
          <w:p w14:paraId="18FE054E" w14:textId="77777777" w:rsidR="005A2C3E" w:rsidRDefault="005A2C3E">
            <w:pPr>
              <w:spacing w:line="240" w:lineRule="auto"/>
              <w:rPr>
                <w:sz w:val="24"/>
                <w:rtl/>
              </w:rPr>
            </w:pPr>
            <w:r>
              <w:rPr>
                <w:sz w:val="24"/>
                <w:rtl/>
              </w:rPr>
              <w:t>החלפת צדדים</w:t>
            </w:r>
          </w:p>
        </w:tc>
        <w:tc>
          <w:tcPr>
            <w:tcW w:w="1247" w:type="dxa"/>
          </w:tcPr>
          <w:p w14:paraId="641E5315" w14:textId="77777777" w:rsidR="005A2C3E" w:rsidRDefault="005A2C3E">
            <w:pPr>
              <w:spacing w:line="240" w:lineRule="auto"/>
              <w:rPr>
                <w:sz w:val="24"/>
              </w:rPr>
            </w:pPr>
            <w:r>
              <w:rPr>
                <w:sz w:val="24"/>
                <w:rtl/>
              </w:rPr>
              <w:t xml:space="preserve">סעיף 7 </w:t>
            </w:r>
          </w:p>
        </w:tc>
      </w:tr>
      <w:tr w:rsidR="005A2C3E" w14:paraId="6DCABF3C" w14:textId="77777777">
        <w:tblPrEx>
          <w:tblCellMar>
            <w:top w:w="0" w:type="dxa"/>
            <w:bottom w:w="0" w:type="dxa"/>
          </w:tblCellMar>
        </w:tblPrEx>
        <w:tc>
          <w:tcPr>
            <w:tcW w:w="850" w:type="dxa"/>
          </w:tcPr>
          <w:p w14:paraId="3CD8B004" w14:textId="77777777" w:rsidR="005A2C3E" w:rsidRDefault="005A2C3E">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14:paraId="5FE555A7" w14:textId="77777777" w:rsidR="005A2C3E" w:rsidRDefault="005A2C3E">
            <w:pPr>
              <w:spacing w:line="240" w:lineRule="auto"/>
              <w:rPr>
                <w:sz w:val="24"/>
              </w:rPr>
            </w:pPr>
            <w:hyperlink w:anchor="Seif6" w:tooltip="צירוף סכסוכים לבירור" w:history="1">
              <w:r>
                <w:rPr>
                  <w:rStyle w:val="Hyperlink"/>
                </w:rPr>
                <w:t>Go</w:t>
              </w:r>
            </w:hyperlink>
          </w:p>
        </w:tc>
        <w:tc>
          <w:tcPr>
            <w:tcW w:w="5669" w:type="dxa"/>
          </w:tcPr>
          <w:p w14:paraId="7C13DD74" w14:textId="77777777" w:rsidR="005A2C3E" w:rsidRDefault="005A2C3E">
            <w:pPr>
              <w:spacing w:line="240" w:lineRule="auto"/>
              <w:rPr>
                <w:sz w:val="24"/>
                <w:rtl/>
              </w:rPr>
            </w:pPr>
            <w:r>
              <w:rPr>
                <w:sz w:val="24"/>
                <w:rtl/>
              </w:rPr>
              <w:t>צירוף סכסוכים לבירור</w:t>
            </w:r>
          </w:p>
        </w:tc>
        <w:tc>
          <w:tcPr>
            <w:tcW w:w="1247" w:type="dxa"/>
          </w:tcPr>
          <w:p w14:paraId="212399A9" w14:textId="77777777" w:rsidR="005A2C3E" w:rsidRDefault="005A2C3E">
            <w:pPr>
              <w:spacing w:line="240" w:lineRule="auto"/>
              <w:rPr>
                <w:sz w:val="24"/>
              </w:rPr>
            </w:pPr>
            <w:r>
              <w:rPr>
                <w:sz w:val="24"/>
                <w:rtl/>
              </w:rPr>
              <w:t xml:space="preserve">סעיף 8 </w:t>
            </w:r>
          </w:p>
        </w:tc>
      </w:tr>
      <w:tr w:rsidR="005A2C3E" w14:paraId="601C02B3" w14:textId="77777777">
        <w:tblPrEx>
          <w:tblCellMar>
            <w:top w:w="0" w:type="dxa"/>
            <w:bottom w:w="0" w:type="dxa"/>
          </w:tblCellMar>
        </w:tblPrEx>
        <w:tc>
          <w:tcPr>
            <w:tcW w:w="850" w:type="dxa"/>
          </w:tcPr>
          <w:p w14:paraId="16174EA5" w14:textId="77777777" w:rsidR="005A2C3E" w:rsidRDefault="005A2C3E">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1730CE82" w14:textId="77777777" w:rsidR="005A2C3E" w:rsidRDefault="005A2C3E">
            <w:pPr>
              <w:spacing w:line="240" w:lineRule="auto"/>
              <w:rPr>
                <w:sz w:val="24"/>
              </w:rPr>
            </w:pPr>
            <w:hyperlink w:anchor="Seif7" w:tooltip="בקשת ביניים" w:history="1">
              <w:r>
                <w:rPr>
                  <w:rStyle w:val="Hyperlink"/>
                </w:rPr>
                <w:t>Go</w:t>
              </w:r>
            </w:hyperlink>
          </w:p>
        </w:tc>
        <w:tc>
          <w:tcPr>
            <w:tcW w:w="5669" w:type="dxa"/>
          </w:tcPr>
          <w:p w14:paraId="466F1E67" w14:textId="77777777" w:rsidR="005A2C3E" w:rsidRDefault="005A2C3E">
            <w:pPr>
              <w:spacing w:line="240" w:lineRule="auto"/>
              <w:rPr>
                <w:sz w:val="24"/>
                <w:rtl/>
              </w:rPr>
            </w:pPr>
            <w:r>
              <w:rPr>
                <w:sz w:val="24"/>
                <w:rtl/>
              </w:rPr>
              <w:t>בקשת ביניים</w:t>
            </w:r>
          </w:p>
        </w:tc>
        <w:tc>
          <w:tcPr>
            <w:tcW w:w="1247" w:type="dxa"/>
          </w:tcPr>
          <w:p w14:paraId="2FEE32B4" w14:textId="77777777" w:rsidR="005A2C3E" w:rsidRDefault="005A2C3E">
            <w:pPr>
              <w:spacing w:line="240" w:lineRule="auto"/>
              <w:rPr>
                <w:sz w:val="24"/>
              </w:rPr>
            </w:pPr>
            <w:r>
              <w:rPr>
                <w:sz w:val="24"/>
                <w:rtl/>
              </w:rPr>
              <w:t xml:space="preserve">סעיף 9 </w:t>
            </w:r>
          </w:p>
        </w:tc>
      </w:tr>
      <w:tr w:rsidR="005A2C3E" w14:paraId="2382ACAB" w14:textId="77777777">
        <w:tblPrEx>
          <w:tblCellMar>
            <w:top w:w="0" w:type="dxa"/>
            <w:bottom w:w="0" w:type="dxa"/>
          </w:tblCellMar>
        </w:tblPrEx>
        <w:tc>
          <w:tcPr>
            <w:tcW w:w="850" w:type="dxa"/>
          </w:tcPr>
          <w:p w14:paraId="2DA068AB" w14:textId="77777777" w:rsidR="005A2C3E" w:rsidRDefault="005A2C3E">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7DDC2137" w14:textId="77777777" w:rsidR="005A2C3E" w:rsidRDefault="005A2C3E">
            <w:pPr>
              <w:spacing w:line="240" w:lineRule="auto"/>
              <w:rPr>
                <w:sz w:val="24"/>
              </w:rPr>
            </w:pPr>
            <w:hyperlink w:anchor="Seif8" w:tooltip="תאריך הבירור ומקום הבירור" w:history="1">
              <w:r>
                <w:rPr>
                  <w:rStyle w:val="Hyperlink"/>
                </w:rPr>
                <w:t>Go</w:t>
              </w:r>
            </w:hyperlink>
          </w:p>
        </w:tc>
        <w:tc>
          <w:tcPr>
            <w:tcW w:w="5669" w:type="dxa"/>
          </w:tcPr>
          <w:p w14:paraId="00F3248F" w14:textId="77777777" w:rsidR="005A2C3E" w:rsidRDefault="005A2C3E">
            <w:pPr>
              <w:spacing w:line="240" w:lineRule="auto"/>
              <w:rPr>
                <w:sz w:val="24"/>
                <w:rtl/>
              </w:rPr>
            </w:pPr>
            <w:r>
              <w:rPr>
                <w:sz w:val="24"/>
                <w:rtl/>
              </w:rPr>
              <w:t>תאריך הבירור ומקום הבירור</w:t>
            </w:r>
          </w:p>
        </w:tc>
        <w:tc>
          <w:tcPr>
            <w:tcW w:w="1247" w:type="dxa"/>
          </w:tcPr>
          <w:p w14:paraId="0ACE32E2" w14:textId="77777777" w:rsidR="005A2C3E" w:rsidRDefault="005A2C3E">
            <w:pPr>
              <w:spacing w:line="240" w:lineRule="auto"/>
              <w:rPr>
                <w:sz w:val="24"/>
              </w:rPr>
            </w:pPr>
            <w:r>
              <w:rPr>
                <w:sz w:val="24"/>
                <w:rtl/>
              </w:rPr>
              <w:t xml:space="preserve">סעיף 10 </w:t>
            </w:r>
          </w:p>
        </w:tc>
      </w:tr>
      <w:tr w:rsidR="005A2C3E" w14:paraId="4C8C38D5" w14:textId="77777777">
        <w:tblPrEx>
          <w:tblCellMar>
            <w:top w:w="0" w:type="dxa"/>
            <w:bottom w:w="0" w:type="dxa"/>
          </w:tblCellMar>
        </w:tblPrEx>
        <w:tc>
          <w:tcPr>
            <w:tcW w:w="850" w:type="dxa"/>
          </w:tcPr>
          <w:p w14:paraId="6726F3AC" w14:textId="77777777" w:rsidR="005A2C3E" w:rsidRDefault="005A2C3E">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5C5F03FB" w14:textId="77777777" w:rsidR="005A2C3E" w:rsidRDefault="005A2C3E">
            <w:pPr>
              <w:spacing w:line="240" w:lineRule="auto"/>
              <w:rPr>
                <w:sz w:val="24"/>
              </w:rPr>
            </w:pPr>
            <w:hyperlink w:anchor="Seif9" w:tooltip="הודעה על הודאה במסמכים" w:history="1">
              <w:r>
                <w:rPr>
                  <w:rStyle w:val="Hyperlink"/>
                </w:rPr>
                <w:t>Go</w:t>
              </w:r>
            </w:hyperlink>
          </w:p>
        </w:tc>
        <w:tc>
          <w:tcPr>
            <w:tcW w:w="5669" w:type="dxa"/>
          </w:tcPr>
          <w:p w14:paraId="4428AB52" w14:textId="77777777" w:rsidR="005A2C3E" w:rsidRDefault="005A2C3E">
            <w:pPr>
              <w:spacing w:line="240" w:lineRule="auto"/>
              <w:rPr>
                <w:sz w:val="24"/>
                <w:rtl/>
              </w:rPr>
            </w:pPr>
            <w:r>
              <w:rPr>
                <w:sz w:val="24"/>
                <w:rtl/>
              </w:rPr>
              <w:t>הודעה על הודאה במסמכים</w:t>
            </w:r>
          </w:p>
        </w:tc>
        <w:tc>
          <w:tcPr>
            <w:tcW w:w="1247" w:type="dxa"/>
          </w:tcPr>
          <w:p w14:paraId="67413B48" w14:textId="77777777" w:rsidR="005A2C3E" w:rsidRDefault="005A2C3E">
            <w:pPr>
              <w:spacing w:line="240" w:lineRule="auto"/>
              <w:rPr>
                <w:sz w:val="24"/>
              </w:rPr>
            </w:pPr>
            <w:r>
              <w:rPr>
                <w:sz w:val="24"/>
                <w:rtl/>
              </w:rPr>
              <w:t xml:space="preserve">סעיף 11 </w:t>
            </w:r>
          </w:p>
        </w:tc>
      </w:tr>
      <w:tr w:rsidR="005A2C3E" w14:paraId="1308CAD6" w14:textId="77777777">
        <w:tblPrEx>
          <w:tblCellMar>
            <w:top w:w="0" w:type="dxa"/>
            <w:bottom w:w="0" w:type="dxa"/>
          </w:tblCellMar>
        </w:tblPrEx>
        <w:tc>
          <w:tcPr>
            <w:tcW w:w="850" w:type="dxa"/>
          </w:tcPr>
          <w:p w14:paraId="3A6D3100" w14:textId="77777777" w:rsidR="005A2C3E" w:rsidRDefault="005A2C3E">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09FD9CE1" w14:textId="77777777" w:rsidR="005A2C3E" w:rsidRDefault="005A2C3E">
            <w:pPr>
              <w:spacing w:line="240" w:lineRule="auto"/>
              <w:rPr>
                <w:sz w:val="24"/>
              </w:rPr>
            </w:pPr>
            <w:hyperlink w:anchor="Seif10" w:tooltip="עדות שנמסרה בהצהרה בשבועה בפני חוקר" w:history="1">
              <w:r>
                <w:rPr>
                  <w:rStyle w:val="Hyperlink"/>
                </w:rPr>
                <w:t>Go</w:t>
              </w:r>
            </w:hyperlink>
          </w:p>
        </w:tc>
        <w:tc>
          <w:tcPr>
            <w:tcW w:w="5669" w:type="dxa"/>
          </w:tcPr>
          <w:p w14:paraId="617808FA" w14:textId="77777777" w:rsidR="005A2C3E" w:rsidRDefault="005A2C3E">
            <w:pPr>
              <w:spacing w:line="240" w:lineRule="auto"/>
              <w:rPr>
                <w:sz w:val="24"/>
                <w:rtl/>
              </w:rPr>
            </w:pPr>
            <w:r>
              <w:rPr>
                <w:sz w:val="24"/>
                <w:rtl/>
              </w:rPr>
              <w:t>עדות שנמסרה בהצהרה בשבועה בפני חוקר</w:t>
            </w:r>
          </w:p>
        </w:tc>
        <w:tc>
          <w:tcPr>
            <w:tcW w:w="1247" w:type="dxa"/>
          </w:tcPr>
          <w:p w14:paraId="54FD4339" w14:textId="77777777" w:rsidR="005A2C3E" w:rsidRDefault="005A2C3E">
            <w:pPr>
              <w:spacing w:line="240" w:lineRule="auto"/>
              <w:rPr>
                <w:sz w:val="24"/>
              </w:rPr>
            </w:pPr>
            <w:r>
              <w:rPr>
                <w:sz w:val="24"/>
                <w:rtl/>
              </w:rPr>
              <w:t xml:space="preserve">סעיף 12 </w:t>
            </w:r>
          </w:p>
        </w:tc>
      </w:tr>
      <w:tr w:rsidR="005A2C3E" w14:paraId="1CD1B688" w14:textId="77777777">
        <w:tblPrEx>
          <w:tblCellMar>
            <w:top w:w="0" w:type="dxa"/>
            <w:bottom w:w="0" w:type="dxa"/>
          </w:tblCellMar>
        </w:tblPrEx>
        <w:tc>
          <w:tcPr>
            <w:tcW w:w="850" w:type="dxa"/>
          </w:tcPr>
          <w:p w14:paraId="535A2126" w14:textId="77777777" w:rsidR="005A2C3E" w:rsidRDefault="005A2C3E">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43B68B7E" w14:textId="77777777" w:rsidR="005A2C3E" w:rsidRDefault="005A2C3E">
            <w:pPr>
              <w:spacing w:line="240" w:lineRule="auto"/>
              <w:rPr>
                <w:sz w:val="24"/>
              </w:rPr>
            </w:pPr>
            <w:hyperlink w:anchor="Seif11" w:tooltip="הוכחת עובדות מסויימות" w:history="1">
              <w:r>
                <w:rPr>
                  <w:rStyle w:val="Hyperlink"/>
                </w:rPr>
                <w:t>Go</w:t>
              </w:r>
            </w:hyperlink>
          </w:p>
        </w:tc>
        <w:tc>
          <w:tcPr>
            <w:tcW w:w="5669" w:type="dxa"/>
          </w:tcPr>
          <w:p w14:paraId="4D122EB3" w14:textId="77777777" w:rsidR="005A2C3E" w:rsidRDefault="005A2C3E">
            <w:pPr>
              <w:spacing w:line="240" w:lineRule="auto"/>
              <w:rPr>
                <w:sz w:val="24"/>
                <w:rtl/>
              </w:rPr>
            </w:pPr>
            <w:r>
              <w:rPr>
                <w:sz w:val="24"/>
                <w:rtl/>
              </w:rPr>
              <w:t>הוכחת עובדות מסויימות</w:t>
            </w:r>
          </w:p>
        </w:tc>
        <w:tc>
          <w:tcPr>
            <w:tcW w:w="1247" w:type="dxa"/>
          </w:tcPr>
          <w:p w14:paraId="4D965F45" w14:textId="77777777" w:rsidR="005A2C3E" w:rsidRDefault="005A2C3E">
            <w:pPr>
              <w:spacing w:line="240" w:lineRule="auto"/>
              <w:rPr>
                <w:sz w:val="24"/>
              </w:rPr>
            </w:pPr>
            <w:r>
              <w:rPr>
                <w:sz w:val="24"/>
                <w:rtl/>
              </w:rPr>
              <w:t xml:space="preserve">סעיף 13 </w:t>
            </w:r>
          </w:p>
        </w:tc>
      </w:tr>
      <w:tr w:rsidR="005A2C3E" w14:paraId="21490883" w14:textId="77777777">
        <w:tblPrEx>
          <w:tblCellMar>
            <w:top w:w="0" w:type="dxa"/>
            <w:bottom w:w="0" w:type="dxa"/>
          </w:tblCellMar>
        </w:tblPrEx>
        <w:tc>
          <w:tcPr>
            <w:tcW w:w="850" w:type="dxa"/>
          </w:tcPr>
          <w:p w14:paraId="3454386D" w14:textId="77777777" w:rsidR="005A2C3E" w:rsidRDefault="005A2C3E">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1E059035" w14:textId="77777777" w:rsidR="005A2C3E" w:rsidRDefault="005A2C3E">
            <w:pPr>
              <w:spacing w:line="240" w:lineRule="auto"/>
              <w:rPr>
                <w:sz w:val="24"/>
              </w:rPr>
            </w:pPr>
            <w:hyperlink w:anchor="Seif12" w:tooltip="ענין שקבלתו אינה מותרת לפי דיני הראיות" w:history="1">
              <w:r>
                <w:rPr>
                  <w:rStyle w:val="Hyperlink"/>
                </w:rPr>
                <w:t>Go</w:t>
              </w:r>
            </w:hyperlink>
          </w:p>
        </w:tc>
        <w:tc>
          <w:tcPr>
            <w:tcW w:w="5669" w:type="dxa"/>
          </w:tcPr>
          <w:p w14:paraId="5679F63A" w14:textId="77777777" w:rsidR="005A2C3E" w:rsidRDefault="005A2C3E">
            <w:pPr>
              <w:spacing w:line="240" w:lineRule="auto"/>
              <w:rPr>
                <w:sz w:val="24"/>
                <w:rtl/>
              </w:rPr>
            </w:pPr>
            <w:r>
              <w:rPr>
                <w:sz w:val="24"/>
                <w:rtl/>
              </w:rPr>
              <w:t>ענין שקבלתו אינה מותרת לפי דיני הראיות</w:t>
            </w:r>
          </w:p>
        </w:tc>
        <w:tc>
          <w:tcPr>
            <w:tcW w:w="1247" w:type="dxa"/>
          </w:tcPr>
          <w:p w14:paraId="1FE7F905" w14:textId="77777777" w:rsidR="005A2C3E" w:rsidRDefault="005A2C3E">
            <w:pPr>
              <w:spacing w:line="240" w:lineRule="auto"/>
              <w:rPr>
                <w:sz w:val="24"/>
              </w:rPr>
            </w:pPr>
            <w:r>
              <w:rPr>
                <w:sz w:val="24"/>
                <w:rtl/>
              </w:rPr>
              <w:t xml:space="preserve">סעיף 14 </w:t>
            </w:r>
          </w:p>
        </w:tc>
      </w:tr>
      <w:tr w:rsidR="005A2C3E" w14:paraId="42307848" w14:textId="77777777">
        <w:tblPrEx>
          <w:tblCellMar>
            <w:top w:w="0" w:type="dxa"/>
            <w:bottom w:w="0" w:type="dxa"/>
          </w:tblCellMar>
        </w:tblPrEx>
        <w:tc>
          <w:tcPr>
            <w:tcW w:w="850" w:type="dxa"/>
          </w:tcPr>
          <w:p w14:paraId="09D85F50" w14:textId="77777777" w:rsidR="005A2C3E" w:rsidRDefault="005A2C3E">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4CCD2BBF" w14:textId="77777777" w:rsidR="005A2C3E" w:rsidRDefault="005A2C3E">
            <w:pPr>
              <w:spacing w:line="240" w:lineRule="auto"/>
              <w:rPr>
                <w:sz w:val="24"/>
              </w:rPr>
            </w:pPr>
            <w:hyperlink w:anchor="Seif13" w:tooltip="הפקדת מסמכים לשמוש בית הדין" w:history="1">
              <w:r>
                <w:rPr>
                  <w:rStyle w:val="Hyperlink"/>
                </w:rPr>
                <w:t>Go</w:t>
              </w:r>
            </w:hyperlink>
          </w:p>
        </w:tc>
        <w:tc>
          <w:tcPr>
            <w:tcW w:w="5669" w:type="dxa"/>
          </w:tcPr>
          <w:p w14:paraId="76141440" w14:textId="77777777" w:rsidR="005A2C3E" w:rsidRDefault="005A2C3E">
            <w:pPr>
              <w:spacing w:line="240" w:lineRule="auto"/>
              <w:rPr>
                <w:sz w:val="24"/>
                <w:rtl/>
              </w:rPr>
            </w:pPr>
            <w:r>
              <w:rPr>
                <w:sz w:val="24"/>
                <w:rtl/>
              </w:rPr>
              <w:t>הפקדת מסמכים לשמוש בית הדין</w:t>
            </w:r>
          </w:p>
        </w:tc>
        <w:tc>
          <w:tcPr>
            <w:tcW w:w="1247" w:type="dxa"/>
          </w:tcPr>
          <w:p w14:paraId="7B59E198" w14:textId="77777777" w:rsidR="005A2C3E" w:rsidRDefault="005A2C3E">
            <w:pPr>
              <w:spacing w:line="240" w:lineRule="auto"/>
              <w:rPr>
                <w:sz w:val="24"/>
              </w:rPr>
            </w:pPr>
            <w:r>
              <w:rPr>
                <w:sz w:val="24"/>
                <w:rtl/>
              </w:rPr>
              <w:t xml:space="preserve">סעיף 15 </w:t>
            </w:r>
          </w:p>
        </w:tc>
      </w:tr>
      <w:tr w:rsidR="005A2C3E" w14:paraId="68D85D83" w14:textId="77777777">
        <w:tblPrEx>
          <w:tblCellMar>
            <w:top w:w="0" w:type="dxa"/>
            <w:bottom w:w="0" w:type="dxa"/>
          </w:tblCellMar>
        </w:tblPrEx>
        <w:tc>
          <w:tcPr>
            <w:tcW w:w="850" w:type="dxa"/>
          </w:tcPr>
          <w:p w14:paraId="588349EE" w14:textId="77777777" w:rsidR="005A2C3E" w:rsidRDefault="005A2C3E">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3FB81F41" w14:textId="77777777" w:rsidR="005A2C3E" w:rsidRDefault="005A2C3E">
            <w:pPr>
              <w:spacing w:line="240" w:lineRule="auto"/>
              <w:rPr>
                <w:sz w:val="24"/>
              </w:rPr>
            </w:pPr>
            <w:hyperlink w:anchor="Seif14" w:tooltip="עדים מומחים" w:history="1">
              <w:r>
                <w:rPr>
                  <w:rStyle w:val="Hyperlink"/>
                </w:rPr>
                <w:t>Go</w:t>
              </w:r>
            </w:hyperlink>
          </w:p>
        </w:tc>
        <w:tc>
          <w:tcPr>
            <w:tcW w:w="5669" w:type="dxa"/>
          </w:tcPr>
          <w:p w14:paraId="1593DAC1" w14:textId="77777777" w:rsidR="005A2C3E" w:rsidRDefault="005A2C3E">
            <w:pPr>
              <w:spacing w:line="240" w:lineRule="auto"/>
              <w:rPr>
                <w:sz w:val="24"/>
                <w:rtl/>
              </w:rPr>
            </w:pPr>
            <w:r>
              <w:rPr>
                <w:sz w:val="24"/>
                <w:rtl/>
              </w:rPr>
              <w:t>עדים מומחים</w:t>
            </w:r>
          </w:p>
        </w:tc>
        <w:tc>
          <w:tcPr>
            <w:tcW w:w="1247" w:type="dxa"/>
          </w:tcPr>
          <w:p w14:paraId="643BE54B" w14:textId="77777777" w:rsidR="005A2C3E" w:rsidRDefault="005A2C3E">
            <w:pPr>
              <w:spacing w:line="240" w:lineRule="auto"/>
              <w:rPr>
                <w:sz w:val="24"/>
              </w:rPr>
            </w:pPr>
            <w:r>
              <w:rPr>
                <w:sz w:val="24"/>
                <w:rtl/>
              </w:rPr>
              <w:t xml:space="preserve">סעיף 16 </w:t>
            </w:r>
          </w:p>
        </w:tc>
      </w:tr>
      <w:tr w:rsidR="005A2C3E" w14:paraId="39B998B1" w14:textId="77777777">
        <w:tblPrEx>
          <w:tblCellMar>
            <w:top w:w="0" w:type="dxa"/>
            <w:bottom w:w="0" w:type="dxa"/>
          </w:tblCellMar>
        </w:tblPrEx>
        <w:tc>
          <w:tcPr>
            <w:tcW w:w="850" w:type="dxa"/>
          </w:tcPr>
          <w:p w14:paraId="4F8860AD" w14:textId="77777777" w:rsidR="005A2C3E" w:rsidRDefault="005A2C3E">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3DF1B0E1" w14:textId="77777777" w:rsidR="005A2C3E" w:rsidRDefault="005A2C3E">
            <w:pPr>
              <w:spacing w:line="240" w:lineRule="auto"/>
              <w:rPr>
                <w:sz w:val="24"/>
              </w:rPr>
            </w:pPr>
            <w:hyperlink w:anchor="Seif15" w:tooltip="צווים להופיע ולהעיד ולהמציא מסמכים" w:history="1">
              <w:r>
                <w:rPr>
                  <w:rStyle w:val="Hyperlink"/>
                </w:rPr>
                <w:t>Go</w:t>
              </w:r>
            </w:hyperlink>
          </w:p>
        </w:tc>
        <w:tc>
          <w:tcPr>
            <w:tcW w:w="5669" w:type="dxa"/>
          </w:tcPr>
          <w:p w14:paraId="7C1B6E05" w14:textId="77777777" w:rsidR="005A2C3E" w:rsidRDefault="005A2C3E">
            <w:pPr>
              <w:spacing w:line="240" w:lineRule="auto"/>
              <w:rPr>
                <w:sz w:val="24"/>
                <w:rtl/>
              </w:rPr>
            </w:pPr>
            <w:r>
              <w:rPr>
                <w:sz w:val="24"/>
                <w:rtl/>
              </w:rPr>
              <w:t>צווים להופיע ולהעיד ולהמציא מסמכים</w:t>
            </w:r>
          </w:p>
        </w:tc>
        <w:tc>
          <w:tcPr>
            <w:tcW w:w="1247" w:type="dxa"/>
          </w:tcPr>
          <w:p w14:paraId="43589E31" w14:textId="77777777" w:rsidR="005A2C3E" w:rsidRDefault="005A2C3E">
            <w:pPr>
              <w:spacing w:line="240" w:lineRule="auto"/>
              <w:rPr>
                <w:sz w:val="24"/>
              </w:rPr>
            </w:pPr>
            <w:r>
              <w:rPr>
                <w:sz w:val="24"/>
                <w:rtl/>
              </w:rPr>
              <w:t xml:space="preserve">סעיף 17 </w:t>
            </w:r>
          </w:p>
        </w:tc>
      </w:tr>
      <w:tr w:rsidR="005A2C3E" w14:paraId="44997086" w14:textId="77777777">
        <w:tblPrEx>
          <w:tblCellMar>
            <w:top w:w="0" w:type="dxa"/>
            <w:bottom w:w="0" w:type="dxa"/>
          </w:tblCellMar>
        </w:tblPrEx>
        <w:tc>
          <w:tcPr>
            <w:tcW w:w="850" w:type="dxa"/>
          </w:tcPr>
          <w:p w14:paraId="20237E71" w14:textId="77777777" w:rsidR="005A2C3E" w:rsidRDefault="005A2C3E">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0CB67B1D" w14:textId="77777777" w:rsidR="005A2C3E" w:rsidRDefault="005A2C3E">
            <w:pPr>
              <w:spacing w:line="240" w:lineRule="auto"/>
              <w:rPr>
                <w:sz w:val="24"/>
              </w:rPr>
            </w:pPr>
            <w:hyperlink w:anchor="Seif16" w:tooltip="חברים יועצים" w:history="1">
              <w:r>
                <w:rPr>
                  <w:rStyle w:val="Hyperlink"/>
                </w:rPr>
                <w:t>Go</w:t>
              </w:r>
            </w:hyperlink>
          </w:p>
        </w:tc>
        <w:tc>
          <w:tcPr>
            <w:tcW w:w="5669" w:type="dxa"/>
          </w:tcPr>
          <w:p w14:paraId="4F9DB4A4" w14:textId="77777777" w:rsidR="005A2C3E" w:rsidRDefault="005A2C3E">
            <w:pPr>
              <w:spacing w:line="240" w:lineRule="auto"/>
              <w:rPr>
                <w:sz w:val="24"/>
                <w:rtl/>
              </w:rPr>
            </w:pPr>
            <w:r>
              <w:rPr>
                <w:sz w:val="24"/>
                <w:rtl/>
              </w:rPr>
              <w:t>חברים יועצים</w:t>
            </w:r>
          </w:p>
        </w:tc>
        <w:tc>
          <w:tcPr>
            <w:tcW w:w="1247" w:type="dxa"/>
          </w:tcPr>
          <w:p w14:paraId="7027DEC0" w14:textId="77777777" w:rsidR="005A2C3E" w:rsidRDefault="005A2C3E">
            <w:pPr>
              <w:spacing w:line="240" w:lineRule="auto"/>
              <w:rPr>
                <w:sz w:val="24"/>
              </w:rPr>
            </w:pPr>
            <w:r>
              <w:rPr>
                <w:sz w:val="24"/>
                <w:rtl/>
              </w:rPr>
              <w:t xml:space="preserve">סעיף 18 </w:t>
            </w:r>
          </w:p>
        </w:tc>
      </w:tr>
      <w:tr w:rsidR="005A2C3E" w14:paraId="1EE20731" w14:textId="77777777">
        <w:tblPrEx>
          <w:tblCellMar>
            <w:top w:w="0" w:type="dxa"/>
            <w:bottom w:w="0" w:type="dxa"/>
          </w:tblCellMar>
        </w:tblPrEx>
        <w:tc>
          <w:tcPr>
            <w:tcW w:w="850" w:type="dxa"/>
          </w:tcPr>
          <w:p w14:paraId="4D7E996C" w14:textId="77777777" w:rsidR="005A2C3E" w:rsidRDefault="005A2C3E">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0CD0AEC9" w14:textId="77777777" w:rsidR="005A2C3E" w:rsidRDefault="005A2C3E">
            <w:pPr>
              <w:spacing w:line="240" w:lineRule="auto"/>
              <w:rPr>
                <w:sz w:val="24"/>
              </w:rPr>
            </w:pPr>
            <w:hyperlink w:anchor="Seif17" w:tooltip="דוח של מומחה" w:history="1">
              <w:r>
                <w:rPr>
                  <w:rStyle w:val="Hyperlink"/>
                </w:rPr>
                <w:t>Go</w:t>
              </w:r>
            </w:hyperlink>
          </w:p>
        </w:tc>
        <w:tc>
          <w:tcPr>
            <w:tcW w:w="5669" w:type="dxa"/>
          </w:tcPr>
          <w:p w14:paraId="3CCE13BC" w14:textId="77777777" w:rsidR="005A2C3E" w:rsidRDefault="005A2C3E">
            <w:pPr>
              <w:spacing w:line="240" w:lineRule="auto"/>
              <w:rPr>
                <w:sz w:val="24"/>
                <w:rtl/>
              </w:rPr>
            </w:pPr>
            <w:r>
              <w:rPr>
                <w:sz w:val="24"/>
                <w:rtl/>
              </w:rPr>
              <w:t>דוח של מומחה</w:t>
            </w:r>
          </w:p>
        </w:tc>
        <w:tc>
          <w:tcPr>
            <w:tcW w:w="1247" w:type="dxa"/>
          </w:tcPr>
          <w:p w14:paraId="48D7EE69" w14:textId="77777777" w:rsidR="005A2C3E" w:rsidRDefault="005A2C3E">
            <w:pPr>
              <w:spacing w:line="240" w:lineRule="auto"/>
              <w:rPr>
                <w:sz w:val="24"/>
              </w:rPr>
            </w:pPr>
            <w:r>
              <w:rPr>
                <w:sz w:val="24"/>
                <w:rtl/>
              </w:rPr>
              <w:t xml:space="preserve">סעיף 19 </w:t>
            </w:r>
          </w:p>
        </w:tc>
      </w:tr>
      <w:tr w:rsidR="005A2C3E" w14:paraId="7D256349" w14:textId="77777777">
        <w:tblPrEx>
          <w:tblCellMar>
            <w:top w:w="0" w:type="dxa"/>
            <w:bottom w:w="0" w:type="dxa"/>
          </w:tblCellMar>
        </w:tblPrEx>
        <w:tc>
          <w:tcPr>
            <w:tcW w:w="850" w:type="dxa"/>
          </w:tcPr>
          <w:p w14:paraId="603A9C7E" w14:textId="77777777" w:rsidR="005A2C3E" w:rsidRDefault="005A2C3E">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439288BB" w14:textId="77777777" w:rsidR="005A2C3E" w:rsidRDefault="005A2C3E">
            <w:pPr>
              <w:spacing w:line="240" w:lineRule="auto"/>
              <w:rPr>
                <w:sz w:val="24"/>
              </w:rPr>
            </w:pPr>
            <w:hyperlink w:anchor="Seif18" w:tooltip="דחיות ובירורים נפרדים" w:history="1">
              <w:r>
                <w:rPr>
                  <w:rStyle w:val="Hyperlink"/>
                </w:rPr>
                <w:t>Go</w:t>
              </w:r>
            </w:hyperlink>
          </w:p>
        </w:tc>
        <w:tc>
          <w:tcPr>
            <w:tcW w:w="5669" w:type="dxa"/>
          </w:tcPr>
          <w:p w14:paraId="67944A8B" w14:textId="77777777" w:rsidR="005A2C3E" w:rsidRDefault="005A2C3E">
            <w:pPr>
              <w:spacing w:line="240" w:lineRule="auto"/>
              <w:rPr>
                <w:sz w:val="24"/>
                <w:rtl/>
              </w:rPr>
            </w:pPr>
            <w:r>
              <w:rPr>
                <w:sz w:val="24"/>
                <w:rtl/>
              </w:rPr>
              <w:t>דחיות ובירורים נפרדים</w:t>
            </w:r>
          </w:p>
        </w:tc>
        <w:tc>
          <w:tcPr>
            <w:tcW w:w="1247" w:type="dxa"/>
          </w:tcPr>
          <w:p w14:paraId="3EFCA3D1" w14:textId="77777777" w:rsidR="005A2C3E" w:rsidRDefault="005A2C3E">
            <w:pPr>
              <w:spacing w:line="240" w:lineRule="auto"/>
              <w:rPr>
                <w:sz w:val="24"/>
              </w:rPr>
            </w:pPr>
            <w:r>
              <w:rPr>
                <w:sz w:val="24"/>
                <w:rtl/>
              </w:rPr>
              <w:t xml:space="preserve">סעיף 20 </w:t>
            </w:r>
          </w:p>
        </w:tc>
      </w:tr>
      <w:tr w:rsidR="005A2C3E" w14:paraId="10D07902" w14:textId="77777777">
        <w:tblPrEx>
          <w:tblCellMar>
            <w:top w:w="0" w:type="dxa"/>
            <w:bottom w:w="0" w:type="dxa"/>
          </w:tblCellMar>
        </w:tblPrEx>
        <w:tc>
          <w:tcPr>
            <w:tcW w:w="850" w:type="dxa"/>
          </w:tcPr>
          <w:p w14:paraId="1E5EE9F9" w14:textId="77777777" w:rsidR="005A2C3E" w:rsidRDefault="005A2C3E">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3A42B213" w14:textId="77777777" w:rsidR="005A2C3E" w:rsidRDefault="005A2C3E">
            <w:pPr>
              <w:spacing w:line="240" w:lineRule="auto"/>
              <w:rPr>
                <w:sz w:val="24"/>
              </w:rPr>
            </w:pPr>
            <w:hyperlink w:anchor="Seif19" w:tooltip="הצעה חתומה" w:history="1">
              <w:r>
                <w:rPr>
                  <w:rStyle w:val="Hyperlink"/>
                </w:rPr>
                <w:t>Go</w:t>
              </w:r>
            </w:hyperlink>
          </w:p>
        </w:tc>
        <w:tc>
          <w:tcPr>
            <w:tcW w:w="5669" w:type="dxa"/>
          </w:tcPr>
          <w:p w14:paraId="2BB65AB8" w14:textId="77777777" w:rsidR="005A2C3E" w:rsidRDefault="005A2C3E">
            <w:pPr>
              <w:spacing w:line="240" w:lineRule="auto"/>
              <w:rPr>
                <w:sz w:val="24"/>
                <w:rtl/>
              </w:rPr>
            </w:pPr>
            <w:r>
              <w:rPr>
                <w:sz w:val="24"/>
                <w:rtl/>
              </w:rPr>
              <w:t>הצעה חתומה</w:t>
            </w:r>
          </w:p>
        </w:tc>
        <w:tc>
          <w:tcPr>
            <w:tcW w:w="1247" w:type="dxa"/>
          </w:tcPr>
          <w:p w14:paraId="0DC31A31" w14:textId="77777777" w:rsidR="005A2C3E" w:rsidRDefault="005A2C3E">
            <w:pPr>
              <w:spacing w:line="240" w:lineRule="auto"/>
              <w:rPr>
                <w:sz w:val="24"/>
              </w:rPr>
            </w:pPr>
            <w:r>
              <w:rPr>
                <w:sz w:val="24"/>
                <w:rtl/>
              </w:rPr>
              <w:t xml:space="preserve">סעיף 21 </w:t>
            </w:r>
          </w:p>
        </w:tc>
      </w:tr>
      <w:tr w:rsidR="005A2C3E" w14:paraId="18DD2E12" w14:textId="77777777">
        <w:tblPrEx>
          <w:tblCellMar>
            <w:top w:w="0" w:type="dxa"/>
            <w:bottom w:w="0" w:type="dxa"/>
          </w:tblCellMar>
        </w:tblPrEx>
        <w:tc>
          <w:tcPr>
            <w:tcW w:w="850" w:type="dxa"/>
          </w:tcPr>
          <w:p w14:paraId="28BF05D7" w14:textId="77777777" w:rsidR="005A2C3E" w:rsidRDefault="005A2C3E">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434FC0DA" w14:textId="77777777" w:rsidR="005A2C3E" w:rsidRDefault="005A2C3E">
            <w:pPr>
              <w:spacing w:line="240" w:lineRule="auto"/>
              <w:rPr>
                <w:sz w:val="24"/>
              </w:rPr>
            </w:pPr>
            <w:hyperlink w:anchor="Seif20" w:tooltip="הזכות להופיע בפני בית הדין" w:history="1">
              <w:r>
                <w:rPr>
                  <w:rStyle w:val="Hyperlink"/>
                </w:rPr>
                <w:t>Go</w:t>
              </w:r>
            </w:hyperlink>
          </w:p>
        </w:tc>
        <w:tc>
          <w:tcPr>
            <w:tcW w:w="5669" w:type="dxa"/>
          </w:tcPr>
          <w:p w14:paraId="65A64A6D" w14:textId="77777777" w:rsidR="005A2C3E" w:rsidRDefault="005A2C3E">
            <w:pPr>
              <w:spacing w:line="240" w:lineRule="auto"/>
              <w:rPr>
                <w:sz w:val="24"/>
                <w:rtl/>
              </w:rPr>
            </w:pPr>
            <w:r>
              <w:rPr>
                <w:sz w:val="24"/>
                <w:rtl/>
              </w:rPr>
              <w:t>הזכות להופיע בפני בית הדין</w:t>
            </w:r>
          </w:p>
        </w:tc>
        <w:tc>
          <w:tcPr>
            <w:tcW w:w="1247" w:type="dxa"/>
          </w:tcPr>
          <w:p w14:paraId="378232A1" w14:textId="77777777" w:rsidR="005A2C3E" w:rsidRDefault="005A2C3E">
            <w:pPr>
              <w:spacing w:line="240" w:lineRule="auto"/>
              <w:rPr>
                <w:sz w:val="24"/>
              </w:rPr>
            </w:pPr>
            <w:r>
              <w:rPr>
                <w:sz w:val="24"/>
                <w:rtl/>
              </w:rPr>
              <w:t xml:space="preserve">סעיף 22 </w:t>
            </w:r>
          </w:p>
        </w:tc>
      </w:tr>
      <w:tr w:rsidR="005A2C3E" w14:paraId="0010AA81" w14:textId="77777777">
        <w:tblPrEx>
          <w:tblCellMar>
            <w:top w:w="0" w:type="dxa"/>
            <w:bottom w:w="0" w:type="dxa"/>
          </w:tblCellMar>
        </w:tblPrEx>
        <w:tc>
          <w:tcPr>
            <w:tcW w:w="850" w:type="dxa"/>
          </w:tcPr>
          <w:p w14:paraId="783D2B5F" w14:textId="77777777" w:rsidR="005A2C3E" w:rsidRDefault="005A2C3E">
            <w:pPr>
              <w:spacing w:line="240" w:lineRule="auto"/>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5DB5DC9D" w14:textId="77777777" w:rsidR="005A2C3E" w:rsidRDefault="005A2C3E">
            <w:pPr>
              <w:spacing w:line="240" w:lineRule="auto"/>
              <w:rPr>
                <w:sz w:val="24"/>
              </w:rPr>
            </w:pPr>
            <w:hyperlink w:anchor="Seif21" w:tooltip="פסק דין" w:history="1">
              <w:r>
                <w:rPr>
                  <w:rStyle w:val="Hyperlink"/>
                </w:rPr>
                <w:t>Go</w:t>
              </w:r>
            </w:hyperlink>
          </w:p>
        </w:tc>
        <w:tc>
          <w:tcPr>
            <w:tcW w:w="5669" w:type="dxa"/>
          </w:tcPr>
          <w:p w14:paraId="24DD4BAD" w14:textId="77777777" w:rsidR="005A2C3E" w:rsidRDefault="005A2C3E">
            <w:pPr>
              <w:spacing w:line="240" w:lineRule="auto"/>
              <w:rPr>
                <w:sz w:val="24"/>
                <w:rtl/>
              </w:rPr>
            </w:pPr>
            <w:r>
              <w:rPr>
                <w:sz w:val="24"/>
                <w:rtl/>
              </w:rPr>
              <w:t>פסק דין</w:t>
            </w:r>
          </w:p>
        </w:tc>
        <w:tc>
          <w:tcPr>
            <w:tcW w:w="1247" w:type="dxa"/>
          </w:tcPr>
          <w:p w14:paraId="58AD011D" w14:textId="77777777" w:rsidR="005A2C3E" w:rsidRDefault="005A2C3E">
            <w:pPr>
              <w:spacing w:line="240" w:lineRule="auto"/>
              <w:rPr>
                <w:sz w:val="24"/>
              </w:rPr>
            </w:pPr>
            <w:r>
              <w:rPr>
                <w:sz w:val="24"/>
                <w:rtl/>
              </w:rPr>
              <w:t xml:space="preserve">סעיף 23 </w:t>
            </w:r>
          </w:p>
        </w:tc>
      </w:tr>
      <w:tr w:rsidR="005A2C3E" w14:paraId="4B75F79E" w14:textId="77777777">
        <w:tblPrEx>
          <w:tblCellMar>
            <w:top w:w="0" w:type="dxa"/>
            <w:bottom w:w="0" w:type="dxa"/>
          </w:tblCellMar>
        </w:tblPrEx>
        <w:tc>
          <w:tcPr>
            <w:tcW w:w="850" w:type="dxa"/>
          </w:tcPr>
          <w:p w14:paraId="1A69B8BC" w14:textId="77777777" w:rsidR="005A2C3E" w:rsidRDefault="005A2C3E">
            <w:pPr>
              <w:spacing w:line="240" w:lineRule="auto"/>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14:paraId="64E0BBAB" w14:textId="77777777" w:rsidR="005A2C3E" w:rsidRDefault="005A2C3E">
            <w:pPr>
              <w:spacing w:line="240" w:lineRule="auto"/>
              <w:rPr>
                <w:sz w:val="24"/>
              </w:rPr>
            </w:pPr>
            <w:hyperlink w:anchor="Seif22" w:tooltip="הוצאות" w:history="1">
              <w:r>
                <w:rPr>
                  <w:rStyle w:val="Hyperlink"/>
                </w:rPr>
                <w:t>Go</w:t>
              </w:r>
            </w:hyperlink>
          </w:p>
        </w:tc>
        <w:tc>
          <w:tcPr>
            <w:tcW w:w="5669" w:type="dxa"/>
          </w:tcPr>
          <w:p w14:paraId="1C8C7F89" w14:textId="77777777" w:rsidR="005A2C3E" w:rsidRDefault="005A2C3E">
            <w:pPr>
              <w:spacing w:line="240" w:lineRule="auto"/>
              <w:rPr>
                <w:sz w:val="24"/>
                <w:rtl/>
              </w:rPr>
            </w:pPr>
            <w:r>
              <w:rPr>
                <w:sz w:val="24"/>
                <w:rtl/>
              </w:rPr>
              <w:t>הוצאות</w:t>
            </w:r>
          </w:p>
        </w:tc>
        <w:tc>
          <w:tcPr>
            <w:tcW w:w="1247" w:type="dxa"/>
          </w:tcPr>
          <w:p w14:paraId="5505680F" w14:textId="77777777" w:rsidR="005A2C3E" w:rsidRDefault="005A2C3E">
            <w:pPr>
              <w:spacing w:line="240" w:lineRule="auto"/>
              <w:rPr>
                <w:sz w:val="24"/>
              </w:rPr>
            </w:pPr>
            <w:r>
              <w:rPr>
                <w:sz w:val="24"/>
                <w:rtl/>
              </w:rPr>
              <w:t xml:space="preserve">סעיף 24 </w:t>
            </w:r>
          </w:p>
        </w:tc>
      </w:tr>
      <w:tr w:rsidR="005A2C3E" w14:paraId="7C45D7A2" w14:textId="77777777">
        <w:tblPrEx>
          <w:tblCellMar>
            <w:top w:w="0" w:type="dxa"/>
            <w:bottom w:w="0" w:type="dxa"/>
          </w:tblCellMar>
        </w:tblPrEx>
        <w:tc>
          <w:tcPr>
            <w:tcW w:w="850" w:type="dxa"/>
          </w:tcPr>
          <w:p w14:paraId="07A93F05" w14:textId="77777777" w:rsidR="005A2C3E" w:rsidRDefault="005A2C3E">
            <w:pPr>
              <w:spacing w:line="240" w:lineRule="auto"/>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02E35566" w14:textId="77777777" w:rsidR="005A2C3E" w:rsidRDefault="005A2C3E">
            <w:pPr>
              <w:spacing w:line="240" w:lineRule="auto"/>
              <w:rPr>
                <w:sz w:val="24"/>
              </w:rPr>
            </w:pPr>
            <w:hyperlink w:anchor="Seif23" w:tooltip="הזמן" w:history="1">
              <w:r>
                <w:rPr>
                  <w:rStyle w:val="Hyperlink"/>
                </w:rPr>
                <w:t>Go</w:t>
              </w:r>
            </w:hyperlink>
          </w:p>
        </w:tc>
        <w:tc>
          <w:tcPr>
            <w:tcW w:w="5669" w:type="dxa"/>
          </w:tcPr>
          <w:p w14:paraId="664FCE78" w14:textId="77777777" w:rsidR="005A2C3E" w:rsidRDefault="005A2C3E">
            <w:pPr>
              <w:spacing w:line="240" w:lineRule="auto"/>
              <w:rPr>
                <w:sz w:val="24"/>
                <w:rtl/>
              </w:rPr>
            </w:pPr>
            <w:r>
              <w:rPr>
                <w:sz w:val="24"/>
                <w:rtl/>
              </w:rPr>
              <w:t>הזמן</w:t>
            </w:r>
          </w:p>
        </w:tc>
        <w:tc>
          <w:tcPr>
            <w:tcW w:w="1247" w:type="dxa"/>
          </w:tcPr>
          <w:p w14:paraId="1EB0B614" w14:textId="77777777" w:rsidR="005A2C3E" w:rsidRDefault="005A2C3E">
            <w:pPr>
              <w:spacing w:line="240" w:lineRule="auto"/>
              <w:rPr>
                <w:sz w:val="24"/>
              </w:rPr>
            </w:pPr>
            <w:r>
              <w:rPr>
                <w:sz w:val="24"/>
                <w:rtl/>
              </w:rPr>
              <w:t xml:space="preserve">סעיף 25 </w:t>
            </w:r>
          </w:p>
        </w:tc>
      </w:tr>
      <w:tr w:rsidR="005A2C3E" w14:paraId="59C668C6" w14:textId="77777777">
        <w:tblPrEx>
          <w:tblCellMar>
            <w:top w:w="0" w:type="dxa"/>
            <w:bottom w:w="0" w:type="dxa"/>
          </w:tblCellMar>
        </w:tblPrEx>
        <w:tc>
          <w:tcPr>
            <w:tcW w:w="850" w:type="dxa"/>
          </w:tcPr>
          <w:p w14:paraId="1E6E4ECD" w14:textId="77777777" w:rsidR="005A2C3E" w:rsidRDefault="005A2C3E">
            <w:pPr>
              <w:spacing w:line="240" w:lineRule="auto"/>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08D1C626" w14:textId="77777777" w:rsidR="005A2C3E" w:rsidRDefault="005A2C3E">
            <w:pPr>
              <w:spacing w:line="240" w:lineRule="auto"/>
              <w:rPr>
                <w:sz w:val="24"/>
              </w:rPr>
            </w:pPr>
            <w:hyperlink w:anchor="Seif24" w:tooltip="השמוש בדואר" w:history="1">
              <w:r>
                <w:rPr>
                  <w:rStyle w:val="Hyperlink"/>
                </w:rPr>
                <w:t>Go</w:t>
              </w:r>
            </w:hyperlink>
          </w:p>
        </w:tc>
        <w:tc>
          <w:tcPr>
            <w:tcW w:w="5669" w:type="dxa"/>
          </w:tcPr>
          <w:p w14:paraId="72AB51B4" w14:textId="77777777" w:rsidR="005A2C3E" w:rsidRDefault="005A2C3E">
            <w:pPr>
              <w:spacing w:line="240" w:lineRule="auto"/>
              <w:rPr>
                <w:sz w:val="24"/>
                <w:rtl/>
              </w:rPr>
            </w:pPr>
            <w:r>
              <w:rPr>
                <w:sz w:val="24"/>
                <w:rtl/>
              </w:rPr>
              <w:t>השמוש בדואר</w:t>
            </w:r>
          </w:p>
        </w:tc>
        <w:tc>
          <w:tcPr>
            <w:tcW w:w="1247" w:type="dxa"/>
          </w:tcPr>
          <w:p w14:paraId="316A658C" w14:textId="77777777" w:rsidR="005A2C3E" w:rsidRDefault="005A2C3E">
            <w:pPr>
              <w:spacing w:line="240" w:lineRule="auto"/>
              <w:rPr>
                <w:sz w:val="24"/>
              </w:rPr>
            </w:pPr>
            <w:r>
              <w:rPr>
                <w:sz w:val="24"/>
                <w:rtl/>
              </w:rPr>
              <w:t xml:space="preserve">סעיף 26 </w:t>
            </w:r>
          </w:p>
        </w:tc>
      </w:tr>
      <w:tr w:rsidR="005A2C3E" w14:paraId="6CCE4DD5" w14:textId="77777777">
        <w:tblPrEx>
          <w:tblCellMar>
            <w:top w:w="0" w:type="dxa"/>
            <w:bottom w:w="0" w:type="dxa"/>
          </w:tblCellMar>
        </w:tblPrEx>
        <w:tc>
          <w:tcPr>
            <w:tcW w:w="850" w:type="dxa"/>
          </w:tcPr>
          <w:p w14:paraId="2BAE679F" w14:textId="77777777" w:rsidR="005A2C3E" w:rsidRDefault="005A2C3E">
            <w:pPr>
              <w:spacing w:line="240" w:lineRule="auto"/>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5CCA039F" w14:textId="77777777" w:rsidR="005A2C3E" w:rsidRDefault="005A2C3E">
            <w:pPr>
              <w:spacing w:line="240" w:lineRule="auto"/>
              <w:rPr>
                <w:sz w:val="24"/>
              </w:rPr>
            </w:pPr>
            <w:hyperlink w:anchor="Seif25" w:tooltip="אי מילוי אחרי התקנות" w:history="1">
              <w:r>
                <w:rPr>
                  <w:rStyle w:val="Hyperlink"/>
                </w:rPr>
                <w:t>Go</w:t>
              </w:r>
            </w:hyperlink>
          </w:p>
        </w:tc>
        <w:tc>
          <w:tcPr>
            <w:tcW w:w="5669" w:type="dxa"/>
          </w:tcPr>
          <w:p w14:paraId="4CF9C1D4" w14:textId="77777777" w:rsidR="005A2C3E" w:rsidRDefault="005A2C3E">
            <w:pPr>
              <w:spacing w:line="240" w:lineRule="auto"/>
              <w:rPr>
                <w:sz w:val="24"/>
                <w:rtl/>
              </w:rPr>
            </w:pPr>
            <w:r>
              <w:rPr>
                <w:sz w:val="24"/>
                <w:rtl/>
              </w:rPr>
              <w:t>אי מילוי אחרי התקנות</w:t>
            </w:r>
          </w:p>
        </w:tc>
        <w:tc>
          <w:tcPr>
            <w:tcW w:w="1247" w:type="dxa"/>
          </w:tcPr>
          <w:p w14:paraId="248DBE67" w14:textId="77777777" w:rsidR="005A2C3E" w:rsidRDefault="005A2C3E">
            <w:pPr>
              <w:spacing w:line="240" w:lineRule="auto"/>
              <w:rPr>
                <w:sz w:val="24"/>
              </w:rPr>
            </w:pPr>
            <w:r>
              <w:rPr>
                <w:sz w:val="24"/>
                <w:rtl/>
              </w:rPr>
              <w:t xml:space="preserve">סעיף 27 </w:t>
            </w:r>
          </w:p>
        </w:tc>
      </w:tr>
      <w:tr w:rsidR="005A2C3E" w14:paraId="5F212616" w14:textId="77777777">
        <w:tblPrEx>
          <w:tblCellMar>
            <w:top w:w="0" w:type="dxa"/>
            <w:bottom w:w="0" w:type="dxa"/>
          </w:tblCellMar>
        </w:tblPrEx>
        <w:tc>
          <w:tcPr>
            <w:tcW w:w="850" w:type="dxa"/>
          </w:tcPr>
          <w:p w14:paraId="418CCB1B" w14:textId="77777777" w:rsidR="005A2C3E" w:rsidRDefault="005A2C3E">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14:paraId="5158A5D9" w14:textId="77777777" w:rsidR="005A2C3E" w:rsidRDefault="005A2C3E">
            <w:pPr>
              <w:spacing w:line="240" w:lineRule="auto"/>
              <w:rPr>
                <w:sz w:val="24"/>
              </w:rPr>
            </w:pPr>
            <w:hyperlink w:anchor="med0" w:tooltip="תוספת" w:history="1">
              <w:r>
                <w:rPr>
                  <w:rStyle w:val="Hyperlink"/>
                </w:rPr>
                <w:t>Go</w:t>
              </w:r>
            </w:hyperlink>
          </w:p>
        </w:tc>
        <w:tc>
          <w:tcPr>
            <w:tcW w:w="5669" w:type="dxa"/>
          </w:tcPr>
          <w:p w14:paraId="50DF43E8" w14:textId="77777777" w:rsidR="005A2C3E" w:rsidRDefault="005A2C3E">
            <w:pPr>
              <w:spacing w:line="240" w:lineRule="auto"/>
              <w:rPr>
                <w:sz w:val="24"/>
              </w:rPr>
            </w:pPr>
            <w:r>
              <w:rPr>
                <w:sz w:val="24"/>
                <w:rtl/>
              </w:rPr>
              <w:t>תוספת</w:t>
            </w:r>
          </w:p>
        </w:tc>
        <w:tc>
          <w:tcPr>
            <w:tcW w:w="1247" w:type="dxa"/>
          </w:tcPr>
          <w:p w14:paraId="203CFF76" w14:textId="77777777" w:rsidR="005A2C3E" w:rsidRDefault="005A2C3E">
            <w:pPr>
              <w:spacing w:line="240" w:lineRule="auto"/>
              <w:rPr>
                <w:sz w:val="24"/>
              </w:rPr>
            </w:pPr>
          </w:p>
        </w:tc>
      </w:tr>
    </w:tbl>
    <w:p w14:paraId="15BEFA21" w14:textId="77777777" w:rsidR="005A2C3E" w:rsidRDefault="005A2C3E">
      <w:pPr>
        <w:pStyle w:val="big-header"/>
        <w:ind w:left="0" w:right="1134"/>
        <w:rPr>
          <w:rFonts w:cs="FrankRuehl"/>
          <w:sz w:val="32"/>
          <w:rtl/>
        </w:rPr>
      </w:pPr>
    </w:p>
    <w:p w14:paraId="5A8E7930" w14:textId="77777777" w:rsidR="005A2C3E" w:rsidRDefault="005A2C3E">
      <w:pPr>
        <w:pStyle w:val="big-header"/>
        <w:ind w:left="0" w:right="1134"/>
        <w:rPr>
          <w:rStyle w:val="default"/>
          <w:rFonts w:cs="FrankRuehl"/>
          <w:rtl/>
        </w:rPr>
      </w:pPr>
      <w:r>
        <w:rPr>
          <w:rFonts w:cs="FrankRuehl"/>
          <w:sz w:val="32"/>
          <w:rtl/>
        </w:rPr>
        <w:br w:type="page"/>
      </w:r>
      <w:r w:rsidR="00B05C5E">
        <w:rPr>
          <w:rFonts w:cs="FrankRuehl"/>
          <w:sz w:val="32"/>
          <w:rtl/>
        </w:rPr>
        <w:lastRenderedPageBreak/>
        <w:t xml:space="preserve"> </w:t>
      </w:r>
      <w:r>
        <w:rPr>
          <w:rFonts w:cs="FrankRuehl"/>
          <w:sz w:val="32"/>
          <w:rtl/>
        </w:rPr>
        <w:t>תק</w:t>
      </w:r>
      <w:r>
        <w:rPr>
          <w:rFonts w:cs="FrankRuehl" w:hint="cs"/>
          <w:sz w:val="32"/>
          <w:rtl/>
        </w:rPr>
        <w:t>נות בית דין לעניני אניות בנידון פיצויים (הגנה), 1941</w:t>
      </w:r>
      <w:r>
        <w:rPr>
          <w:rStyle w:val="super"/>
          <w:rFonts w:cs="Miriam"/>
          <w:noProof w:val="0"/>
          <w:rtl/>
          <w:lang w:eastAsia="he-IL"/>
        </w:rPr>
        <w:t>(10)</w:t>
      </w:r>
    </w:p>
    <w:p w14:paraId="26CBFEEE" w14:textId="77777777" w:rsidR="005A2C3E" w:rsidRDefault="005A2C3E">
      <w:pPr>
        <w:pStyle w:val="medium-header"/>
        <w:keepNext w:val="0"/>
        <w:keepLines w:val="0"/>
        <w:ind w:left="0" w:right="1134"/>
        <w:rPr>
          <w:rFonts w:cs="FrankRuehl"/>
          <w:sz w:val="26"/>
          <w:rtl/>
        </w:rPr>
      </w:pPr>
      <w:r>
        <w:rPr>
          <w:rFonts w:cs="FrankRuehl"/>
          <w:sz w:val="26"/>
          <w:rtl/>
        </w:rPr>
        <w:t>(ע</w:t>
      </w:r>
      <w:r>
        <w:rPr>
          <w:rFonts w:cs="FrankRuehl" w:hint="cs"/>
          <w:sz w:val="26"/>
          <w:rtl/>
        </w:rPr>
        <w:t>פ"י סעיף 11 (1) (א))</w:t>
      </w:r>
    </w:p>
    <w:p w14:paraId="7AFFB7CA" w14:textId="77777777" w:rsidR="005A2C3E" w:rsidRDefault="005A2C3E">
      <w:pPr>
        <w:pStyle w:val="P00"/>
        <w:spacing w:before="72"/>
        <w:ind w:left="0" w:right="1134"/>
        <w:rPr>
          <w:rStyle w:val="default"/>
          <w:rFonts w:cs="FrankRuehl"/>
          <w:rtl/>
        </w:rPr>
      </w:pPr>
      <w:bookmarkStart w:id="0" w:name="Seif0"/>
      <w:bookmarkEnd w:id="0"/>
      <w:r>
        <w:rPr>
          <w:lang w:val="he-IL"/>
        </w:rPr>
        <w:pict w14:anchorId="094A38BF">
          <v:rect id="_x0000_s1026" style="position:absolute;left:0;text-align:left;margin-left:464.5pt;margin-top:8.05pt;width:75.05pt;height:8pt;z-index:251644928" o:allowincell="f" filled="f" stroked="f" strokecolor="lime" strokeweight=".25pt">
            <v:textbox inset="0,0,0,0">
              <w:txbxContent>
                <w:p w14:paraId="69E150A1" w14:textId="77777777" w:rsidR="005A2C3E" w:rsidRDefault="005A2C3E">
                  <w:pPr>
                    <w:spacing w:line="160" w:lineRule="exact"/>
                    <w:jc w:val="left"/>
                    <w:rPr>
                      <w:rFonts w:cs="Miriam"/>
                      <w:noProof/>
                      <w:sz w:val="18"/>
                      <w:szCs w:val="18"/>
                      <w:rtl/>
                    </w:rPr>
                  </w:pPr>
                  <w:r>
                    <w:rPr>
                      <w:rFonts w:cs="Miriam"/>
                      <w:sz w:val="18"/>
                      <w:szCs w:val="18"/>
                      <w:rtl/>
                    </w:rPr>
                    <w:t>הש</w:t>
                  </w:r>
                  <w:r>
                    <w:rPr>
                      <w:rFonts w:cs="Miriam" w:hint="cs"/>
                      <w:sz w:val="18"/>
                      <w:szCs w:val="18"/>
                      <w:rtl/>
                    </w:rPr>
                    <w:t>ם הקצר</w:t>
                  </w:r>
                </w:p>
              </w:txbxContent>
            </v:textbox>
            <w10:anchorlock/>
          </v:rect>
        </w:pict>
      </w:r>
      <w:r>
        <w:rPr>
          <w:rStyle w:val="big-number"/>
          <w:rFonts w:cs="Miriam"/>
          <w:rtl/>
        </w:rPr>
        <w:t>1.</w:t>
      </w:r>
      <w:r>
        <w:rPr>
          <w:rStyle w:val="big-number"/>
          <w:rFonts w:cs="Miriam"/>
          <w:rtl/>
        </w:rPr>
        <w:tab/>
      </w:r>
      <w:r>
        <w:rPr>
          <w:rStyle w:val="default"/>
          <w:rFonts w:cs="FrankRuehl"/>
          <w:rtl/>
        </w:rPr>
        <w:t>תק</w:t>
      </w:r>
      <w:r>
        <w:rPr>
          <w:rStyle w:val="default"/>
          <w:rFonts w:cs="FrankRuehl" w:hint="cs"/>
          <w:rtl/>
        </w:rPr>
        <w:t>נות אלה תיקראנה תקנות בית הדין לעניני אניות בנידון פיצויים (הגנה), 1941.</w:t>
      </w:r>
    </w:p>
    <w:p w14:paraId="3F3ABD97" w14:textId="77777777" w:rsidR="005A2C3E" w:rsidRDefault="005A2C3E">
      <w:pPr>
        <w:pStyle w:val="P00"/>
        <w:spacing w:before="72"/>
        <w:ind w:left="0" w:right="1134"/>
        <w:rPr>
          <w:rStyle w:val="default"/>
          <w:rFonts w:cs="FrankRuehl"/>
          <w:rtl/>
        </w:rPr>
      </w:pPr>
      <w:r>
        <w:rPr>
          <w:rStyle w:val="big-number"/>
          <w:rFonts w:cs="Miriam"/>
          <w:rtl/>
        </w:rPr>
        <w:t>2.</w:t>
      </w:r>
      <w:r>
        <w:rPr>
          <w:rStyle w:val="big-number"/>
          <w:rFonts w:cs="Miriam"/>
          <w:rtl/>
        </w:rPr>
        <w:tab/>
      </w:r>
      <w:r>
        <w:rPr>
          <w:rStyle w:val="default"/>
          <w:rFonts w:cs="FrankRuehl"/>
          <w:rtl/>
        </w:rPr>
        <w:t>בת</w:t>
      </w:r>
      <w:r>
        <w:rPr>
          <w:rStyle w:val="default"/>
          <w:rFonts w:cs="FrankRuehl" w:hint="cs"/>
          <w:rtl/>
        </w:rPr>
        <w:t>קנות אלה, יהיו למונחים דלקמן הפירושים שבצדם חוץ אם ענין הכתוב יחיי</w:t>
      </w:r>
      <w:r>
        <w:rPr>
          <w:rStyle w:val="default"/>
          <w:rFonts w:cs="FrankRuehl"/>
          <w:rtl/>
        </w:rPr>
        <w:t xml:space="preserve">ב </w:t>
      </w:r>
      <w:r>
        <w:rPr>
          <w:rStyle w:val="default"/>
          <w:rFonts w:cs="FrankRuehl" w:hint="cs"/>
          <w:rtl/>
        </w:rPr>
        <w:t xml:space="preserve">פירוש אחר, דהיינו: </w:t>
      </w:r>
      <w:r>
        <w:rPr>
          <w:rStyle w:val="default"/>
          <w:rFonts w:cs="FrankRuehl"/>
          <w:rtl/>
        </w:rPr>
        <w:t>—</w:t>
      </w:r>
    </w:p>
    <w:p w14:paraId="4B881169" w14:textId="77777777" w:rsidR="005A2C3E" w:rsidRDefault="005A2C3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פקודה" פירושה פקודת הפיצויים (הגנה), 1940.</w:t>
      </w:r>
    </w:p>
    <w:p w14:paraId="3E10D4E4" w14:textId="77777777" w:rsidR="005A2C3E" w:rsidRDefault="005A2C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ית הדין" פירושו בית הדין לעניני אניות שהורכב בהתאם לפקודה.</w:t>
      </w:r>
    </w:p>
    <w:p w14:paraId="26C41050" w14:textId="77777777" w:rsidR="005A2C3E" w:rsidRDefault="005A2C3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רשם" פירושו רשם בית הדין, וכולל גם את העוזר לרשם.</w:t>
      </w:r>
    </w:p>
    <w:p w14:paraId="4AB28C9A" w14:textId="77777777" w:rsidR="005A2C3E" w:rsidRDefault="005A2C3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שרד הרישום" פירושו משרד הרישום של בית הדין.</w:t>
      </w:r>
    </w:p>
    <w:p w14:paraId="3EC8CAFC" w14:textId="77777777" w:rsidR="005A2C3E" w:rsidRDefault="005A2C3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בירור" פירושו בירור מש</w:t>
      </w:r>
      <w:r>
        <w:rPr>
          <w:rStyle w:val="default"/>
          <w:rFonts w:cs="FrankRuehl"/>
          <w:rtl/>
        </w:rPr>
        <w:t>פט</w:t>
      </w:r>
      <w:r>
        <w:rPr>
          <w:rStyle w:val="default"/>
          <w:rFonts w:cs="FrankRuehl" w:hint="cs"/>
          <w:rtl/>
        </w:rPr>
        <w:t>י כדי לפסוק בסכסוך או בתביעה שהועברו לבית הדין עפ"י התקנות הנ"ל.</w:t>
      </w:r>
    </w:p>
    <w:p w14:paraId="381FF39F" w14:textId="77777777" w:rsidR="005A2C3E" w:rsidRDefault="005A2C3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רשות" פירושה המחלקה הממשלתית המורשה מטעם שר המשפטים לטפל ביישוב סכסוך או תביעה שהוגשו לבית הדין כדי שיפסוק בהם.</w:t>
      </w:r>
    </w:p>
    <w:p w14:paraId="3CD1FEF1" w14:textId="77777777" w:rsidR="005A2C3E" w:rsidRDefault="005A2C3E">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פ</w:t>
      </w:r>
      <w:r>
        <w:rPr>
          <w:rStyle w:val="default"/>
          <w:rFonts w:cs="FrankRuehl" w:hint="cs"/>
          <w:rtl/>
        </w:rPr>
        <w:t>קודת הפירושים</w:t>
      </w:r>
      <w:r>
        <w:rPr>
          <w:rStyle w:val="super"/>
          <w:rFonts w:cs="Miriam"/>
          <w:noProof w:val="0"/>
          <w:rtl/>
          <w:lang w:eastAsia="he-IL"/>
        </w:rPr>
        <w:t>(11)</w:t>
      </w:r>
      <w:r>
        <w:rPr>
          <w:rStyle w:val="default"/>
          <w:rFonts w:cs="FrankRuehl"/>
          <w:rtl/>
        </w:rPr>
        <w:t>תח</w:t>
      </w:r>
      <w:r>
        <w:rPr>
          <w:rStyle w:val="default"/>
          <w:rFonts w:cs="FrankRuehl" w:hint="cs"/>
          <w:rtl/>
        </w:rPr>
        <w:t>ול לצורך פירושן של תקנות אלה כדרך שהיא חלה על פיר</w:t>
      </w:r>
      <w:r>
        <w:rPr>
          <w:rStyle w:val="default"/>
          <w:rFonts w:cs="FrankRuehl"/>
          <w:rtl/>
        </w:rPr>
        <w:t>וש</w:t>
      </w:r>
      <w:r>
        <w:rPr>
          <w:rStyle w:val="default"/>
          <w:rFonts w:cs="FrankRuehl" w:hint="cs"/>
          <w:rtl/>
        </w:rPr>
        <w:t>י פקודה.</w:t>
      </w:r>
    </w:p>
    <w:p w14:paraId="5F2E37C5" w14:textId="77777777" w:rsidR="005A2C3E" w:rsidRDefault="005A2C3E">
      <w:pPr>
        <w:pStyle w:val="P00"/>
        <w:spacing w:before="72"/>
        <w:ind w:left="0" w:right="1134"/>
        <w:rPr>
          <w:rStyle w:val="default"/>
          <w:rFonts w:cs="FrankRuehl"/>
          <w:rtl/>
        </w:rPr>
      </w:pPr>
      <w:bookmarkStart w:id="1" w:name="Seif1"/>
      <w:bookmarkEnd w:id="1"/>
      <w:r>
        <w:rPr>
          <w:lang w:val="he-IL"/>
        </w:rPr>
        <w:pict w14:anchorId="7F6F9A26">
          <v:rect id="_x0000_s1027" style="position:absolute;left:0;text-align:left;margin-left:464.5pt;margin-top:8.05pt;width:75.05pt;height:16pt;z-index:251645952" o:allowincell="f" filled="f" stroked="f" strokecolor="lime" strokeweight=".25pt">
            <v:textbox inset="0,0,0,0">
              <w:txbxContent>
                <w:p w14:paraId="1F51220B" w14:textId="77777777" w:rsidR="005A2C3E" w:rsidRDefault="005A2C3E">
                  <w:pPr>
                    <w:spacing w:line="160" w:lineRule="exact"/>
                    <w:jc w:val="left"/>
                    <w:rPr>
                      <w:rFonts w:cs="Miriam"/>
                      <w:noProof/>
                      <w:sz w:val="18"/>
                      <w:szCs w:val="18"/>
                      <w:rtl/>
                    </w:rPr>
                  </w:pPr>
                  <w:r>
                    <w:rPr>
                      <w:rFonts w:cs="Miriam"/>
                      <w:sz w:val="18"/>
                      <w:szCs w:val="18"/>
                      <w:rtl/>
                    </w:rPr>
                    <w:t>הו</w:t>
                  </w:r>
                  <w:r>
                    <w:rPr>
                      <w:rFonts w:cs="Miriam" w:hint="cs"/>
                      <w:sz w:val="18"/>
                      <w:szCs w:val="18"/>
                      <w:rtl/>
                    </w:rPr>
                    <w:t>דעה על תביעות לפיצויים וסדר הגשת</w:t>
                  </w:r>
                  <w:r>
                    <w:rPr>
                      <w:rFonts w:cs="Miriam"/>
                      <w:sz w:val="18"/>
                      <w:szCs w:val="18"/>
                      <w:rtl/>
                    </w:rPr>
                    <w:t>ן</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מקום שה</w:t>
      </w:r>
      <w:r>
        <w:rPr>
          <w:rStyle w:val="default"/>
          <w:rFonts w:cs="FrankRuehl"/>
          <w:rtl/>
        </w:rPr>
        <w:t>ת</w:t>
      </w:r>
      <w:r>
        <w:rPr>
          <w:rStyle w:val="default"/>
          <w:rFonts w:cs="FrankRuehl" w:hint="cs"/>
          <w:rtl/>
        </w:rPr>
        <w:t>גלע סכסוך בשאלה אם יש לשלם איזה פיצויים עפ"י הפקודה או בשאלת סכום הפיצויים שיש לשלמם וסכסוך זה לא יושב בדרך של הסכם, הרי הרשות התובעת פיצויים או האדם התובע פיצויים (הקרוי בתקנה זו בשם "התובע") רשאים למסור הודעה לבית הדין על הת</w:t>
      </w:r>
      <w:r>
        <w:rPr>
          <w:rStyle w:val="default"/>
          <w:rFonts w:cs="FrankRuehl"/>
          <w:rtl/>
        </w:rPr>
        <w:t>בי</w:t>
      </w:r>
      <w:r>
        <w:rPr>
          <w:rStyle w:val="default"/>
          <w:rFonts w:cs="FrankRuehl" w:hint="cs"/>
          <w:rtl/>
        </w:rPr>
        <w:t>עה באופן הקבוע בתקנה זו ועם</w:t>
      </w:r>
      <w:r>
        <w:rPr>
          <w:rStyle w:val="default"/>
          <w:rFonts w:cs="FrankRuehl"/>
          <w:rtl/>
        </w:rPr>
        <w:t xml:space="preserve"> </w:t>
      </w:r>
      <w:r>
        <w:rPr>
          <w:rStyle w:val="default"/>
          <w:rFonts w:cs="FrankRuehl" w:hint="cs"/>
          <w:rtl/>
        </w:rPr>
        <w:t>מסירת הודעה זו, יראו את הסכסוך כסכסוך שהועבר לשם מתן פסק עליו בהתאם לפקודה.</w:t>
      </w:r>
    </w:p>
    <w:p w14:paraId="0B1E60B4" w14:textId="77777777" w:rsidR="005A2C3E" w:rsidRDefault="005A2C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וסרים הודעה על התביעה מתוך שמגישים למשרד הרישום בקשה הערוכה בטופס א' של התוספת לתקנות אלה כשהיא חתומה ע"י הצד מגיש הבקשה (הקרוי להלן "המבקש") או</w:t>
      </w:r>
      <w:r>
        <w:rPr>
          <w:rStyle w:val="default"/>
          <w:rFonts w:cs="FrankRuehl"/>
          <w:rtl/>
        </w:rPr>
        <w:t xml:space="preserve"> ע</w:t>
      </w:r>
      <w:r>
        <w:rPr>
          <w:rStyle w:val="default"/>
          <w:rFonts w:cs="FrankRuehl" w:hint="cs"/>
          <w:rtl/>
        </w:rPr>
        <w:t>"י עורך הדין של המבקש או בא כוחו בצירוף שלושה העתקים של הטופס הנ"ל.</w:t>
      </w:r>
    </w:p>
    <w:p w14:paraId="27708E97" w14:textId="77777777" w:rsidR="005A2C3E" w:rsidRDefault="005A2C3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 xml:space="preserve">קום שהרשות היא המבקשת יש להגיש בכתב בצירוף הבקשה ארבעה העתקים מהודעת התביעה עפ"י סעיף 12 של הפקודה וכן הודעה (בצירוף שלושה העתקים הימנה), המכילה את תשובת הרשות לתביעה האומרת </w:t>
      </w:r>
      <w:r>
        <w:rPr>
          <w:rStyle w:val="default"/>
          <w:rFonts w:cs="FrankRuehl"/>
          <w:rtl/>
        </w:rPr>
        <w:t>—</w:t>
      </w:r>
    </w:p>
    <w:p w14:paraId="241B0F59" w14:textId="77777777" w:rsidR="005A2C3E" w:rsidRDefault="005A2C3E">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w:t>
      </w:r>
      <w:r>
        <w:rPr>
          <w:rStyle w:val="default"/>
          <w:rFonts w:cs="FrankRuehl"/>
          <w:rtl/>
        </w:rPr>
        <w:t>י</w:t>
      </w:r>
      <w:r>
        <w:rPr>
          <w:rStyle w:val="default"/>
          <w:rFonts w:cs="FrankRuehl" w:hint="cs"/>
          <w:rtl/>
        </w:rPr>
        <w:t xml:space="preserve">זה הם הפרטים הכלולים בפרשת </w:t>
      </w:r>
      <w:r>
        <w:rPr>
          <w:rStyle w:val="default"/>
          <w:rFonts w:cs="FrankRuehl"/>
          <w:rtl/>
        </w:rPr>
        <w:t>ה</w:t>
      </w:r>
      <w:r>
        <w:rPr>
          <w:rStyle w:val="default"/>
          <w:rFonts w:cs="FrankRuehl" w:hint="cs"/>
          <w:rtl/>
        </w:rPr>
        <w:t>תביעה שהם שנויים במחלוקת;</w:t>
      </w:r>
    </w:p>
    <w:p w14:paraId="3D2890AA" w14:textId="77777777" w:rsidR="005A2C3E" w:rsidRDefault="005A2C3E">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שתובעים פיצויים, שהרשות מודה בחובת תשלומם,</w:t>
      </w:r>
      <w:r>
        <w:rPr>
          <w:rStyle w:val="default"/>
          <w:rFonts w:cs="FrankRuehl"/>
          <w:rtl/>
        </w:rPr>
        <w:t>–ס</w:t>
      </w:r>
      <w:r>
        <w:rPr>
          <w:rStyle w:val="default"/>
          <w:rFonts w:cs="FrankRuehl" w:hint="cs"/>
          <w:rtl/>
        </w:rPr>
        <w:t>כום הפיצויים שיש לשלם וכן לאיזה פרטים בהודעת התביעה מתיחס סכום הפיצויים, את הסכום שזוקפים לחשבון כל פרט וכיצד חושב אותו סכום;</w:t>
      </w:r>
    </w:p>
    <w:p w14:paraId="5842A099" w14:textId="77777777" w:rsidR="005A2C3E" w:rsidRDefault="005A2C3E">
      <w:pPr>
        <w:pStyle w:val="P22"/>
        <w:spacing w:before="72"/>
        <w:ind w:left="1021" w:right="1134"/>
        <w:rPr>
          <w:rStyle w:val="default"/>
          <w:rFonts w:cs="FrankRuehl"/>
          <w:rtl/>
        </w:rPr>
      </w:pPr>
      <w:r>
        <w:rPr>
          <w:rStyle w:val="default"/>
          <w:rFonts w:cs="FrankRuehl" w:hint="cs"/>
          <w:rtl/>
        </w:rPr>
        <w:t>(3)</w:t>
      </w:r>
      <w:r>
        <w:rPr>
          <w:rStyle w:val="default"/>
          <w:rFonts w:cs="FrankRuehl"/>
          <w:rtl/>
        </w:rPr>
        <w:tab/>
        <w:t>כ</w:t>
      </w:r>
      <w:r>
        <w:rPr>
          <w:rStyle w:val="default"/>
          <w:rFonts w:cs="FrankRuehl" w:hint="cs"/>
          <w:rtl/>
        </w:rPr>
        <w:t xml:space="preserve">ל ענינים או נימוקים </w:t>
      </w:r>
      <w:r>
        <w:rPr>
          <w:rStyle w:val="default"/>
          <w:rFonts w:cs="FrankRuehl"/>
          <w:rtl/>
        </w:rPr>
        <w:t>נו</w:t>
      </w:r>
      <w:r>
        <w:rPr>
          <w:rStyle w:val="default"/>
          <w:rFonts w:cs="FrankRuehl" w:hint="cs"/>
          <w:rtl/>
        </w:rPr>
        <w:t>ספים אשר יש להם זיקה לתביעה</w:t>
      </w:r>
      <w:r>
        <w:rPr>
          <w:rStyle w:val="default"/>
          <w:rFonts w:cs="FrankRuehl"/>
          <w:rtl/>
        </w:rPr>
        <w:t xml:space="preserve"> </w:t>
      </w:r>
      <w:r>
        <w:rPr>
          <w:rStyle w:val="default"/>
          <w:rFonts w:cs="FrankRuehl" w:hint="cs"/>
          <w:rtl/>
        </w:rPr>
        <w:t>שיש בדעת הרשות להסתמך עליהם.</w:t>
      </w:r>
    </w:p>
    <w:p w14:paraId="0F17FB6E" w14:textId="77777777" w:rsidR="005A2C3E" w:rsidRDefault="005A2C3E">
      <w:pPr>
        <w:pStyle w:val="P00"/>
        <w:spacing w:before="72"/>
        <w:ind w:left="0" w:right="1134"/>
        <w:rPr>
          <w:rFonts w:cs="FrankRuehl"/>
          <w:sz w:val="26"/>
          <w:rtl/>
        </w:rPr>
      </w:pPr>
      <w:r>
        <w:rPr>
          <w:rFonts w:cs="FrankRuehl"/>
          <w:sz w:val="26"/>
          <w:rtl/>
        </w:rPr>
        <w:t>------------</w:t>
      </w:r>
    </w:p>
    <w:p w14:paraId="26156961" w14:textId="77777777" w:rsidR="005A2C3E" w:rsidRDefault="005A2C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(10)</w:t>
      </w:r>
      <w:r>
        <w:rPr>
          <w:rFonts w:cs="FrankRuehl"/>
          <w:rtl/>
        </w:rPr>
        <w:t> </w:t>
      </w:r>
      <w:r>
        <w:rPr>
          <w:rFonts w:cs="FrankRuehl"/>
          <w:rtl/>
        </w:rPr>
        <w:t>פו</w:t>
      </w:r>
      <w:r>
        <w:rPr>
          <w:rFonts w:cs="FrankRuehl" w:hint="cs"/>
          <w:rtl/>
        </w:rPr>
        <w:t>רסמו ע"ר מס' 1090 מיום 17.4.1941, תוס' 2, עמ' (ע) 501, (א) 595.</w:t>
      </w:r>
    </w:p>
    <w:p w14:paraId="1E786D7B" w14:textId="77777777" w:rsidR="005A2C3E" w:rsidRDefault="005A2C3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(11)</w:t>
      </w:r>
      <w:r>
        <w:rPr>
          <w:rFonts w:cs="FrankRuehl"/>
          <w:rtl/>
        </w:rPr>
        <w:t> </w:t>
      </w:r>
      <w:r>
        <w:rPr>
          <w:rFonts w:cs="FrankRuehl"/>
          <w:rtl/>
        </w:rPr>
        <w:t>עכ</w:t>
      </w:r>
      <w:r>
        <w:rPr>
          <w:rFonts w:cs="FrankRuehl" w:hint="cs"/>
          <w:rtl/>
        </w:rPr>
        <w:t>שיו פקודת הפרשנות (נוסח חדש).</w:t>
      </w:r>
    </w:p>
    <w:p w14:paraId="0D0CC6DA" w14:textId="77777777" w:rsidR="005A2C3E" w:rsidRDefault="005A2C3E">
      <w:pPr>
        <w:pStyle w:val="page"/>
        <w:widowControl/>
        <w:ind w:right="1134"/>
        <w:rPr>
          <w:rFonts w:cs="David"/>
          <w:position w:val="0"/>
          <w:sz w:val="22"/>
          <w:rtl/>
        </w:rPr>
      </w:pPr>
      <w:r>
        <w:rPr>
          <w:rFonts w:cs="David"/>
          <w:position w:val="0"/>
          <w:sz w:val="22"/>
          <w:rtl/>
        </w:rPr>
        <w:t xml:space="preserve"> </w:t>
      </w:r>
    </w:p>
    <w:p w14:paraId="3E355164" w14:textId="77777777" w:rsidR="005A2C3E" w:rsidRDefault="005A2C3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וגשה בקשה בהתאם לפסקה (ב), על הרושם לשלוח ב</w:t>
      </w:r>
      <w:r>
        <w:rPr>
          <w:rStyle w:val="default"/>
          <w:rFonts w:cs="FrankRuehl"/>
          <w:rtl/>
        </w:rPr>
        <w:t>דו</w:t>
      </w:r>
      <w:r>
        <w:rPr>
          <w:rStyle w:val="default"/>
          <w:rFonts w:cs="FrankRuehl" w:hint="cs"/>
          <w:rtl/>
        </w:rPr>
        <w:t>אר הודעה על הבקשה בצירוף הע</w:t>
      </w:r>
      <w:r>
        <w:rPr>
          <w:rStyle w:val="default"/>
          <w:rFonts w:cs="FrankRuehl"/>
          <w:rtl/>
        </w:rPr>
        <w:t>ת</w:t>
      </w:r>
      <w:r>
        <w:rPr>
          <w:rStyle w:val="default"/>
          <w:rFonts w:cs="FrankRuehl" w:hint="cs"/>
          <w:rtl/>
        </w:rPr>
        <w:t>ק מן הבקשה לתובע או לרשות (כפי שהענין יחייב) הנזכרים בבקשה בתור הצד האחר בסכסוך. וכשהרשות היא המבקשת, עליה לשלוח לתובע העתק מהודעת התביעה ומן ההודעה שהוגשה עפ"י פסקה (ג).</w:t>
      </w:r>
    </w:p>
    <w:p w14:paraId="1E804C03" w14:textId="77777777" w:rsidR="005A2C3E" w:rsidRDefault="005A2C3E">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כ</w:t>
      </w:r>
      <w:r>
        <w:rPr>
          <w:rStyle w:val="default"/>
          <w:rFonts w:cs="FrankRuehl" w:hint="cs"/>
          <w:rtl/>
        </w:rPr>
        <w:t>שהתובע הוא המבקש, חייבת הרשות להגיש למשרד הרישום,</w:t>
      </w:r>
      <w:r>
        <w:rPr>
          <w:rStyle w:val="default"/>
          <w:rFonts w:cs="FrankRuehl"/>
          <w:rtl/>
        </w:rPr>
        <w:t xml:space="preserve"> ב</w:t>
      </w:r>
      <w:r>
        <w:rPr>
          <w:rStyle w:val="default"/>
          <w:rFonts w:cs="FrankRuehl" w:hint="cs"/>
          <w:rtl/>
        </w:rPr>
        <w:t>תוך ארבעה-עשר יום לאחר קבלת</w:t>
      </w:r>
      <w:r>
        <w:rPr>
          <w:rStyle w:val="default"/>
          <w:rFonts w:cs="FrankRuehl"/>
          <w:rtl/>
        </w:rPr>
        <w:t xml:space="preserve"> </w:t>
      </w:r>
      <w:r>
        <w:rPr>
          <w:rStyle w:val="default"/>
          <w:rFonts w:cs="FrankRuehl" w:hint="cs"/>
          <w:rtl/>
        </w:rPr>
        <w:t>הודעת המבקש שלושה העתקים מהודעת התביעה שניתנה עפ"י סעיף 12 לפקודה בצירוף שני העתקים הימנה המכילה את תשובת הרשות לתביעה והמפרטת את הפרטים הקבועים בפסקה (ג). בו בזמן חייבת הרשות לשלוח לתובע העתק מפרשת התביעה ומן ההודעה.</w:t>
      </w:r>
    </w:p>
    <w:p w14:paraId="3AF0CB08" w14:textId="77777777" w:rsidR="005A2C3E" w:rsidRDefault="005A2C3E">
      <w:pPr>
        <w:pStyle w:val="P00"/>
        <w:spacing w:before="72"/>
        <w:ind w:left="0" w:right="1134"/>
        <w:rPr>
          <w:rStyle w:val="default"/>
          <w:rFonts w:cs="FrankRuehl"/>
          <w:rtl/>
        </w:rPr>
      </w:pPr>
      <w:r>
        <w:rPr>
          <w:rFonts w:cs="FrankRuehl"/>
          <w:sz w:val="26"/>
          <w:rtl/>
        </w:rPr>
        <w:lastRenderedPageBreak/>
        <w:tab/>
      </w:r>
      <w:r>
        <w:rPr>
          <w:rStyle w:val="default"/>
          <w:rFonts w:cs="FrankRuehl"/>
          <w:rtl/>
        </w:rPr>
        <w:t>(ו</w:t>
      </w:r>
      <w:r>
        <w:rPr>
          <w:rStyle w:val="default"/>
          <w:rFonts w:cs="FrankRuehl" w:hint="cs"/>
          <w:rtl/>
        </w:rPr>
        <w:t>)</w:t>
      </w:r>
      <w:r>
        <w:rPr>
          <w:rStyle w:val="default"/>
          <w:rFonts w:cs="FrankRuehl"/>
          <w:rtl/>
        </w:rPr>
        <w:tab/>
        <w:t>ב</w:t>
      </w:r>
      <w:r>
        <w:rPr>
          <w:rStyle w:val="default"/>
          <w:rFonts w:cs="FrankRuehl" w:hint="cs"/>
          <w:rtl/>
        </w:rPr>
        <w:t>כפ</w:t>
      </w:r>
      <w:r>
        <w:rPr>
          <w:rStyle w:val="default"/>
          <w:rFonts w:cs="FrankRuehl"/>
          <w:rtl/>
        </w:rPr>
        <w:t>וף</w:t>
      </w:r>
      <w:r>
        <w:rPr>
          <w:rStyle w:val="default"/>
          <w:rFonts w:cs="FrankRuehl" w:hint="cs"/>
          <w:rtl/>
        </w:rPr>
        <w:t xml:space="preserve"> להוראות התקנות 5 ו-6 הרי ה</w:t>
      </w:r>
      <w:r>
        <w:rPr>
          <w:rStyle w:val="default"/>
          <w:rFonts w:cs="FrankRuehl"/>
          <w:rtl/>
        </w:rPr>
        <w:t>ו</w:t>
      </w:r>
      <w:r>
        <w:rPr>
          <w:rStyle w:val="default"/>
          <w:rFonts w:cs="FrankRuehl" w:hint="cs"/>
          <w:rtl/>
        </w:rPr>
        <w:t>דעת התביעה שניתנה עפ"י סעיף 12 לפקודה תשמש תביעה שתוגש בפני בית הדין בהעברת הסכסוך אליו וההודעה שהוגשה עפ"י פסקה (ג) או פסקה (ה) תשמש תשובה לאותה תביעה.</w:t>
      </w:r>
    </w:p>
    <w:p w14:paraId="42A9D7BC" w14:textId="77777777" w:rsidR="005A2C3E" w:rsidRDefault="005A2C3E">
      <w:pPr>
        <w:pStyle w:val="P00"/>
        <w:spacing w:before="72"/>
        <w:ind w:left="0" w:right="1134"/>
        <w:rPr>
          <w:rStyle w:val="default"/>
          <w:rFonts w:cs="FrankRuehl"/>
          <w:rtl/>
        </w:rPr>
      </w:pPr>
      <w:bookmarkStart w:id="2" w:name="Seif2"/>
      <w:bookmarkEnd w:id="2"/>
      <w:r>
        <w:rPr>
          <w:lang w:val="he-IL"/>
        </w:rPr>
        <w:pict w14:anchorId="7779AECB">
          <v:rect id="_x0000_s1028" style="position:absolute;left:0;text-align:left;margin-left:464.5pt;margin-top:8.05pt;width:75.05pt;height:8pt;z-index:251646976" o:allowincell="f" filled="f" stroked="f" strokecolor="lime" strokeweight=".25pt">
            <v:textbox inset="0,0,0,0">
              <w:txbxContent>
                <w:p w14:paraId="6C9DCC03" w14:textId="77777777" w:rsidR="005A2C3E" w:rsidRDefault="005A2C3E">
                  <w:pPr>
                    <w:spacing w:line="160" w:lineRule="exact"/>
                    <w:jc w:val="left"/>
                    <w:rPr>
                      <w:rFonts w:cs="Miriam"/>
                      <w:noProof/>
                      <w:sz w:val="18"/>
                      <w:szCs w:val="18"/>
                      <w:rtl/>
                    </w:rPr>
                  </w:pPr>
                  <w:r>
                    <w:rPr>
                      <w:rFonts w:cs="Miriam"/>
                      <w:sz w:val="18"/>
                      <w:szCs w:val="18"/>
                      <w:rtl/>
                    </w:rPr>
                    <w:t>כת</w:t>
                  </w:r>
                  <w:r>
                    <w:rPr>
                      <w:rFonts w:cs="Miriam" w:hint="cs"/>
                      <w:sz w:val="18"/>
                      <w:szCs w:val="18"/>
                      <w:rtl/>
                    </w:rPr>
                    <w:t>ובת למסירת מסמכים</w:t>
                  </w:r>
                </w:p>
              </w:txbxContent>
            </v:textbox>
            <w10:anchorlock/>
          </v:rect>
        </w:pict>
      </w:r>
      <w:r>
        <w:rPr>
          <w:rStyle w:val="big-number"/>
          <w:rFonts w:cs="Miriam"/>
          <w:rtl/>
        </w:rPr>
        <w:t>4.</w:t>
      </w:r>
      <w:r>
        <w:rPr>
          <w:rStyle w:val="big-number"/>
          <w:rFonts w:cs="Miriam"/>
          <w:rtl/>
        </w:rPr>
        <w:tab/>
      </w:r>
      <w:r>
        <w:rPr>
          <w:rStyle w:val="default"/>
          <w:rFonts w:cs="FrankRuehl"/>
          <w:rtl/>
        </w:rPr>
        <w:t>כל</w:t>
      </w:r>
      <w:r>
        <w:rPr>
          <w:rStyle w:val="default"/>
          <w:rFonts w:cs="FrankRuehl" w:hint="cs"/>
          <w:rtl/>
        </w:rPr>
        <w:t xml:space="preserve"> צד לסכסוך שהוגש לבירור לבית הדין חייב להמציא לרושם ולשאר הצדדים כת</w:t>
      </w:r>
      <w:r>
        <w:rPr>
          <w:rStyle w:val="default"/>
          <w:rFonts w:cs="FrankRuehl"/>
          <w:rtl/>
        </w:rPr>
        <w:t>וב</w:t>
      </w:r>
      <w:r>
        <w:rPr>
          <w:rStyle w:val="default"/>
          <w:rFonts w:cs="FrankRuehl" w:hint="cs"/>
          <w:rtl/>
        </w:rPr>
        <w:t>ת בישראל שאליה אפשר יהא לשלוח כל הודעות בנוגע לבירור. ואילו אם הצד הוא מבקש, עליו לציין את כתובתו בבקשה. שאר הצדדים חייבים להמציא את הכתובת בדואר מיד לאחר שיקבלו מודעה על הבקשה.</w:t>
      </w:r>
    </w:p>
    <w:p w14:paraId="08C61B5F" w14:textId="77777777" w:rsidR="005A2C3E" w:rsidRDefault="005A2C3E">
      <w:pPr>
        <w:pStyle w:val="P00"/>
        <w:spacing w:before="72"/>
        <w:ind w:left="0" w:right="1134"/>
        <w:rPr>
          <w:rStyle w:val="default"/>
          <w:rFonts w:cs="FrankRuehl"/>
          <w:rtl/>
        </w:rPr>
      </w:pPr>
      <w:bookmarkStart w:id="3" w:name="Seif3"/>
      <w:bookmarkEnd w:id="3"/>
      <w:r>
        <w:rPr>
          <w:lang w:val="he-IL"/>
        </w:rPr>
        <w:pict w14:anchorId="12339FDB">
          <v:rect id="_x0000_s1029" style="position:absolute;left:0;text-align:left;margin-left:464.5pt;margin-top:8.05pt;width:75.05pt;height:8pt;z-index:251648000" o:allowincell="f" filled="f" stroked="f" strokecolor="lime" strokeweight=".25pt">
            <v:textbox inset="0,0,0,0">
              <w:txbxContent>
                <w:p w14:paraId="68B0AC06" w14:textId="77777777" w:rsidR="005A2C3E" w:rsidRDefault="005A2C3E">
                  <w:pPr>
                    <w:spacing w:line="160" w:lineRule="exact"/>
                    <w:jc w:val="left"/>
                    <w:rPr>
                      <w:rFonts w:cs="Miriam"/>
                      <w:noProof/>
                      <w:sz w:val="18"/>
                      <w:szCs w:val="18"/>
                      <w:rtl/>
                    </w:rPr>
                  </w:pPr>
                  <w:r>
                    <w:rPr>
                      <w:rFonts w:cs="Miriam"/>
                      <w:sz w:val="18"/>
                      <w:szCs w:val="18"/>
                      <w:rtl/>
                    </w:rPr>
                    <w:t>פר</w:t>
                  </w:r>
                  <w:r>
                    <w:rPr>
                      <w:rFonts w:cs="Miriam" w:hint="cs"/>
                      <w:sz w:val="18"/>
                      <w:szCs w:val="18"/>
                      <w:rtl/>
                    </w:rPr>
                    <w:t>טים</w:t>
                  </w:r>
                </w:p>
              </w:txbxContent>
            </v:textbox>
            <w10:anchorlock/>
          </v:rect>
        </w:pict>
      </w:r>
      <w:r>
        <w:rPr>
          <w:rStyle w:val="big-number"/>
          <w:rFonts w:cs="Miriam"/>
          <w:rtl/>
        </w:rPr>
        <w:t>5.</w:t>
      </w:r>
      <w:r>
        <w:rPr>
          <w:rStyle w:val="big-number"/>
          <w:rFonts w:cs="Miriam"/>
          <w:rtl/>
        </w:rPr>
        <w:tab/>
      </w:r>
      <w:r>
        <w:rPr>
          <w:rStyle w:val="default"/>
          <w:rFonts w:cs="FrankRuehl"/>
          <w:rtl/>
        </w:rPr>
        <w:t>רש</w:t>
      </w:r>
      <w:r>
        <w:rPr>
          <w:rStyle w:val="default"/>
          <w:rFonts w:cs="FrankRuehl" w:hint="cs"/>
          <w:rtl/>
        </w:rPr>
        <w:t>אי בית הדין לצוות להמציא לו הודעה נוספת או טובה יותר על מהותה של כל ת</w:t>
      </w:r>
      <w:r>
        <w:rPr>
          <w:rStyle w:val="default"/>
          <w:rFonts w:cs="FrankRuehl"/>
          <w:rtl/>
        </w:rPr>
        <w:t>ביע</w:t>
      </w:r>
      <w:r>
        <w:rPr>
          <w:rStyle w:val="default"/>
          <w:rFonts w:cs="FrankRuehl" w:hint="cs"/>
          <w:rtl/>
        </w:rPr>
        <w:t>ה או של תשובה לתביעה, או פרטים נוספים או טובים יותר על כל ענין הכלול בכל הודעת תביעה שהיא, או בכל פרשה או בכל כתב שהוגשו עפ"י תקנות אלה באותם תנאים אשר יישרו בעיני בית המשפט בקשר להוצאות בית דין או לענינים אחרים. בטרם יפנו לבית הדין בבקשה למתן צו כזה חי</w:t>
      </w:r>
      <w:r>
        <w:rPr>
          <w:rStyle w:val="default"/>
          <w:rFonts w:cs="FrankRuehl"/>
          <w:rtl/>
        </w:rPr>
        <w:t>י</w:t>
      </w:r>
      <w:r>
        <w:rPr>
          <w:rStyle w:val="default"/>
          <w:rFonts w:cs="FrankRuehl" w:hint="cs"/>
          <w:rtl/>
        </w:rPr>
        <w:t>ב</w:t>
      </w:r>
      <w:r>
        <w:rPr>
          <w:rStyle w:val="default"/>
          <w:rFonts w:cs="FrankRuehl"/>
          <w:rtl/>
        </w:rPr>
        <w:t xml:space="preserve"> </w:t>
      </w:r>
      <w:r>
        <w:rPr>
          <w:rStyle w:val="default"/>
          <w:rFonts w:cs="FrankRuehl" w:hint="cs"/>
          <w:rtl/>
        </w:rPr>
        <w:t>הצד הרוצה בהודעה הנוספת או הטובה יותר או בפרטים הנוספים או הטובים יותר להגיש בקשה על כך בכתב. שלושה העתקים מכל הודעה או פרטים שנמסרו בהתאם לבקשה או לצו עפ"י תקנה זו יוגשו למשרד הרישום וההעתקים יישלחו לשאר הצדדים לבירור.</w:t>
      </w:r>
    </w:p>
    <w:p w14:paraId="3314B759" w14:textId="77777777" w:rsidR="005A2C3E" w:rsidRDefault="005A2C3E">
      <w:pPr>
        <w:pStyle w:val="P00"/>
        <w:spacing w:before="72"/>
        <w:ind w:left="0" w:right="1134"/>
        <w:rPr>
          <w:rStyle w:val="default"/>
          <w:rFonts w:cs="FrankRuehl"/>
          <w:rtl/>
        </w:rPr>
      </w:pPr>
      <w:bookmarkStart w:id="4" w:name="Seif4"/>
      <w:bookmarkEnd w:id="4"/>
      <w:r>
        <w:rPr>
          <w:lang w:val="he-IL"/>
        </w:rPr>
        <w:pict w14:anchorId="61883CA5">
          <v:rect id="_x0000_s1030" style="position:absolute;left:0;text-align:left;margin-left:464.5pt;margin-top:8.05pt;width:75.05pt;height:8pt;z-index:251649024" o:allowincell="f" filled="f" stroked="f" strokecolor="lime" strokeweight=".25pt">
            <v:textbox inset="0,0,0,0">
              <w:txbxContent>
                <w:p w14:paraId="72D7341A" w14:textId="77777777" w:rsidR="005A2C3E" w:rsidRDefault="005A2C3E">
                  <w:pPr>
                    <w:spacing w:line="160" w:lineRule="exact"/>
                    <w:jc w:val="left"/>
                    <w:rPr>
                      <w:rFonts w:cs="Miriam"/>
                      <w:noProof/>
                      <w:sz w:val="18"/>
                      <w:szCs w:val="18"/>
                      <w:rtl/>
                    </w:rPr>
                  </w:pPr>
                  <w:r>
                    <w:rPr>
                      <w:rFonts w:cs="Miriam"/>
                      <w:sz w:val="18"/>
                      <w:szCs w:val="18"/>
                      <w:rtl/>
                    </w:rPr>
                    <w:t>תי</w:t>
                  </w:r>
                  <w:r>
                    <w:rPr>
                      <w:rFonts w:cs="Miriam" w:hint="cs"/>
                      <w:sz w:val="18"/>
                      <w:szCs w:val="18"/>
                      <w:rtl/>
                    </w:rPr>
                    <w:t>קון</w:t>
                  </w:r>
                </w:p>
              </w:txbxContent>
            </v:textbox>
            <w10:anchorlock/>
          </v:rect>
        </w:pict>
      </w:r>
      <w:r>
        <w:rPr>
          <w:rStyle w:val="big-number"/>
          <w:rFonts w:cs="Miriam"/>
          <w:rtl/>
        </w:rPr>
        <w:t>6.</w:t>
      </w:r>
      <w:r>
        <w:rPr>
          <w:rStyle w:val="big-number"/>
          <w:rFonts w:cs="Miriam"/>
          <w:rtl/>
        </w:rPr>
        <w:tab/>
      </w:r>
      <w:r>
        <w:rPr>
          <w:rStyle w:val="default"/>
          <w:rFonts w:cs="FrankRuehl"/>
          <w:rtl/>
        </w:rPr>
        <w:t>רש</w:t>
      </w:r>
      <w:r>
        <w:rPr>
          <w:rStyle w:val="default"/>
          <w:rFonts w:cs="FrankRuehl" w:hint="cs"/>
          <w:rtl/>
        </w:rPr>
        <w:t>אי בית הדין בצו שית</w:t>
      </w:r>
      <w:r>
        <w:rPr>
          <w:rStyle w:val="default"/>
          <w:rFonts w:cs="FrankRuehl"/>
          <w:rtl/>
        </w:rPr>
        <w:t>ן</w:t>
      </w:r>
      <w:r>
        <w:rPr>
          <w:rStyle w:val="default"/>
          <w:rFonts w:cs="FrankRuehl" w:hint="cs"/>
          <w:rtl/>
        </w:rPr>
        <w:t xml:space="preserve"> בכל שלב</w:t>
      </w:r>
      <w:r>
        <w:rPr>
          <w:rStyle w:val="default"/>
          <w:rFonts w:cs="FrankRuehl"/>
          <w:rtl/>
        </w:rPr>
        <w:t xml:space="preserve"> מ</w:t>
      </w:r>
      <w:r>
        <w:rPr>
          <w:rStyle w:val="default"/>
          <w:rFonts w:cs="FrankRuehl" w:hint="cs"/>
          <w:rtl/>
        </w:rPr>
        <w:t xml:space="preserve">שלבי הבירור להרשות לכל צד לתקן את הודעת התביעה שלו או כל הודעה או כל כתב אחר שהוגש עפ"י תקנות אלה, באותו אופן ובאותם תנאים שיהיו צודקים. הצד הרוצה לעשות תיקון כזה לפני בירור המשפט חייב לפני שיבקש מאת בית הדין ליתן צו, לשלוח לצדדים האחרים בסכסוך </w:t>
      </w:r>
      <w:r>
        <w:rPr>
          <w:rStyle w:val="default"/>
          <w:rFonts w:cs="FrankRuehl"/>
          <w:rtl/>
        </w:rPr>
        <w:t>ה</w:t>
      </w:r>
      <w:r>
        <w:rPr>
          <w:rStyle w:val="default"/>
          <w:rFonts w:cs="FrankRuehl" w:hint="cs"/>
          <w:rtl/>
        </w:rPr>
        <w:t>נידון ה</w:t>
      </w:r>
      <w:r>
        <w:rPr>
          <w:rStyle w:val="default"/>
          <w:rFonts w:cs="FrankRuehl"/>
          <w:rtl/>
        </w:rPr>
        <w:t>ע</w:t>
      </w:r>
      <w:r>
        <w:rPr>
          <w:rStyle w:val="default"/>
          <w:rFonts w:cs="FrankRuehl" w:hint="cs"/>
          <w:rtl/>
        </w:rPr>
        <w:t>ת</w:t>
      </w:r>
      <w:r>
        <w:rPr>
          <w:rStyle w:val="default"/>
          <w:rFonts w:cs="FrankRuehl"/>
          <w:rtl/>
        </w:rPr>
        <w:t>ק</w:t>
      </w:r>
      <w:r>
        <w:rPr>
          <w:rStyle w:val="default"/>
          <w:rFonts w:cs="FrankRuehl" w:hint="cs"/>
          <w:rtl/>
        </w:rPr>
        <w:t xml:space="preserve"> אחד מהתיקון המוצע ובקשה להסכם לאותו תיקון. ואם ניתנה ההסכמה כאמור מותר יהא לעשות את התיקון בהתאם לכך. שלושה העתקים מכל הליך כפי שתוקן בהתאם להסכמה שניתנה או לצו שניתן עפ"י תקנה זו, יוגשו למשרד הרישום והעתקים יימסרו לשאר הצדדים לסכסוך;</w:t>
      </w:r>
    </w:p>
    <w:p w14:paraId="3CCA8EC6" w14:textId="77777777" w:rsidR="005A2C3E" w:rsidRDefault="005A2C3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כי</w:t>
      </w:r>
      <w:r>
        <w:rPr>
          <w:rStyle w:val="default"/>
          <w:rFonts w:cs="FrankRuehl"/>
          <w:rtl/>
        </w:rPr>
        <w:t xml:space="preserve"> </w:t>
      </w:r>
      <w:r>
        <w:rPr>
          <w:rStyle w:val="default"/>
          <w:rFonts w:cs="FrankRuehl" w:hint="cs"/>
          <w:rtl/>
        </w:rPr>
        <w:t>לגבי הוד</w:t>
      </w:r>
      <w:r>
        <w:rPr>
          <w:rStyle w:val="default"/>
          <w:rFonts w:cs="FrankRuehl"/>
          <w:rtl/>
        </w:rPr>
        <w:t>עת</w:t>
      </w:r>
      <w:r>
        <w:rPr>
          <w:rStyle w:val="default"/>
          <w:rFonts w:cs="FrankRuehl" w:hint="cs"/>
          <w:rtl/>
        </w:rPr>
        <w:t xml:space="preserve"> תביעה שניתנה עפ"י סעיף 12 לפקודה הרי תיקון שנעשה עפ"י תקנה זו אין תקפו כתוקף תיקון של הודעה הניתנת עפ"י החוק בתור שכזאת.</w:t>
      </w:r>
    </w:p>
    <w:p w14:paraId="41D419AC" w14:textId="77777777" w:rsidR="005A2C3E" w:rsidRDefault="005A2C3E">
      <w:pPr>
        <w:pStyle w:val="P00"/>
        <w:spacing w:before="72"/>
        <w:ind w:left="0" w:right="1134"/>
        <w:rPr>
          <w:rStyle w:val="default"/>
          <w:rFonts w:cs="FrankRuehl"/>
          <w:rtl/>
        </w:rPr>
      </w:pPr>
      <w:bookmarkStart w:id="5" w:name="Seif5"/>
      <w:bookmarkEnd w:id="5"/>
      <w:r>
        <w:rPr>
          <w:lang w:val="he-IL"/>
        </w:rPr>
        <w:pict w14:anchorId="428B6699">
          <v:rect id="_x0000_s1031" style="position:absolute;left:0;text-align:left;margin-left:464.5pt;margin-top:8.05pt;width:75.05pt;height:8pt;z-index:251650048" o:allowincell="f" filled="f" stroked="f" strokecolor="lime" strokeweight=".25pt">
            <v:textbox inset="0,0,0,0">
              <w:txbxContent>
                <w:p w14:paraId="486990A8" w14:textId="77777777" w:rsidR="005A2C3E" w:rsidRDefault="005A2C3E">
                  <w:pPr>
                    <w:spacing w:line="160" w:lineRule="exact"/>
                    <w:jc w:val="left"/>
                    <w:rPr>
                      <w:rFonts w:cs="Miriam"/>
                      <w:noProof/>
                      <w:sz w:val="18"/>
                      <w:szCs w:val="18"/>
                      <w:rtl/>
                    </w:rPr>
                  </w:pPr>
                  <w:r>
                    <w:rPr>
                      <w:rFonts w:cs="Miriam"/>
                      <w:sz w:val="18"/>
                      <w:szCs w:val="18"/>
                      <w:rtl/>
                    </w:rPr>
                    <w:t>הח</w:t>
                  </w:r>
                  <w:r>
                    <w:rPr>
                      <w:rFonts w:cs="Miriam" w:hint="cs"/>
                      <w:sz w:val="18"/>
                      <w:szCs w:val="18"/>
                      <w:rtl/>
                    </w:rPr>
                    <w:t>לפת צדדים</w:t>
                  </w:r>
                </w:p>
              </w:txbxContent>
            </v:textbox>
            <w10:anchorlock/>
          </v:rect>
        </w:pict>
      </w:r>
      <w:r>
        <w:rPr>
          <w:rStyle w:val="big-number"/>
          <w:rFonts w:cs="Miriam"/>
          <w:rtl/>
        </w:rPr>
        <w:t>7.</w:t>
      </w:r>
      <w:r>
        <w:rPr>
          <w:rStyle w:val="big-number"/>
          <w:rFonts w:cs="Miriam"/>
          <w:rtl/>
        </w:rPr>
        <w:tab/>
      </w:r>
      <w:r>
        <w:rPr>
          <w:rStyle w:val="default"/>
          <w:rFonts w:cs="FrankRuehl"/>
          <w:rtl/>
        </w:rPr>
        <w:t>רש</w:t>
      </w:r>
      <w:r>
        <w:rPr>
          <w:rStyle w:val="default"/>
          <w:rFonts w:cs="FrankRuehl" w:hint="cs"/>
          <w:rtl/>
        </w:rPr>
        <w:t>אי בית הדין בכל שלב משלבי הבירור, בין כשיש ובין כשאין בקשה מכל צד וכן על יסוד בקשה מאת אדם המבקש שיצרפו</w:t>
      </w:r>
      <w:r>
        <w:rPr>
          <w:rStyle w:val="default"/>
          <w:rFonts w:cs="FrankRuehl"/>
          <w:rtl/>
        </w:rPr>
        <w:t xml:space="preserve"> </w:t>
      </w:r>
      <w:r>
        <w:rPr>
          <w:rStyle w:val="default"/>
          <w:rFonts w:cs="FrankRuehl" w:hint="cs"/>
          <w:rtl/>
        </w:rPr>
        <w:t>אותו כצד, ובאותם תנאים</w:t>
      </w:r>
      <w:r>
        <w:rPr>
          <w:rStyle w:val="default"/>
          <w:rFonts w:cs="FrankRuehl"/>
          <w:rtl/>
        </w:rPr>
        <w:t xml:space="preserve"> ש</w:t>
      </w:r>
      <w:r>
        <w:rPr>
          <w:rStyle w:val="default"/>
          <w:rFonts w:cs="FrankRuehl" w:hint="cs"/>
          <w:rtl/>
        </w:rPr>
        <w:t>יהיו נראים צודקים, לצוות להוציא מכלל הבירור כל אדם אשר צירפוהו שלא</w:t>
      </w:r>
    </w:p>
    <w:p w14:paraId="00E9A9DD" w14:textId="77777777" w:rsidR="005A2C3E" w:rsidRDefault="005A2C3E">
      <w:pPr>
        <w:pStyle w:val="page"/>
        <w:widowControl/>
        <w:ind w:right="1134"/>
        <w:rPr>
          <w:rFonts w:cs="David"/>
          <w:position w:val="0"/>
          <w:sz w:val="22"/>
          <w:rtl/>
        </w:rPr>
      </w:pPr>
      <w:r>
        <w:rPr>
          <w:rFonts w:cs="David"/>
          <w:position w:val="0"/>
          <w:sz w:val="22"/>
          <w:rtl/>
        </w:rPr>
        <w:t xml:space="preserve"> </w:t>
      </w:r>
    </w:p>
    <w:p w14:paraId="1F26369D" w14:textId="77777777" w:rsidR="005A2C3E" w:rsidRDefault="005A2C3E">
      <w:pPr>
        <w:pStyle w:val="P00"/>
        <w:spacing w:before="72"/>
        <w:ind w:left="0" w:right="1134"/>
        <w:rPr>
          <w:rFonts w:cs="FrankRuehl"/>
          <w:sz w:val="26"/>
          <w:rtl/>
        </w:rPr>
      </w:pPr>
      <w:r>
        <w:rPr>
          <w:rFonts w:cs="FrankRuehl"/>
          <w:sz w:val="26"/>
          <w:rtl/>
        </w:rPr>
        <w:t>כד</w:t>
      </w:r>
      <w:r>
        <w:rPr>
          <w:rFonts w:cs="FrankRuehl" w:hint="cs"/>
          <w:sz w:val="26"/>
          <w:rtl/>
        </w:rPr>
        <w:t>ין בתור צד או לצרף לבירור כל אדם שיש לו איזו טובת הנאה שהיא בבירור ואשר נוכחותו בפני בית הדין תוכל להיות דרושה כדי לאפשר לבית הדין לפסו</w:t>
      </w:r>
      <w:r>
        <w:rPr>
          <w:rFonts w:cs="FrankRuehl"/>
          <w:sz w:val="26"/>
          <w:rtl/>
        </w:rPr>
        <w:t>ק</w:t>
      </w:r>
      <w:r>
        <w:rPr>
          <w:rFonts w:cs="FrankRuehl" w:hint="cs"/>
          <w:sz w:val="26"/>
          <w:rtl/>
        </w:rPr>
        <w:t xml:space="preserve"> בצורה של ממש ולחלוטין</w:t>
      </w:r>
      <w:r>
        <w:rPr>
          <w:rFonts w:cs="FrankRuehl"/>
          <w:sz w:val="26"/>
          <w:rtl/>
        </w:rPr>
        <w:t xml:space="preserve"> ב</w:t>
      </w:r>
      <w:r>
        <w:rPr>
          <w:rFonts w:cs="FrankRuehl" w:hint="cs"/>
          <w:sz w:val="26"/>
          <w:rtl/>
        </w:rPr>
        <w:t>כל שאלה שנתעוררה בבירור;</w:t>
      </w:r>
    </w:p>
    <w:p w14:paraId="1809E8C6" w14:textId="77777777" w:rsidR="005A2C3E" w:rsidRDefault="005A2C3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ששום אדם לא יצורף כצד אלא אם הביע את הסכמתו לכך בכתב שהגישו למשרד הרישום.</w:t>
      </w:r>
    </w:p>
    <w:p w14:paraId="4F33BAB3" w14:textId="77777777" w:rsidR="005A2C3E" w:rsidRDefault="005A2C3E">
      <w:pPr>
        <w:pStyle w:val="P00"/>
        <w:spacing w:before="72"/>
        <w:ind w:left="0" w:right="1134"/>
        <w:rPr>
          <w:rStyle w:val="default"/>
          <w:rFonts w:cs="FrankRuehl"/>
          <w:rtl/>
        </w:rPr>
      </w:pPr>
      <w:r>
        <w:rPr>
          <w:rFonts w:cs="FrankRuehl"/>
          <w:sz w:val="26"/>
          <w:rtl/>
        </w:rPr>
        <w:tab/>
      </w:r>
      <w:r>
        <w:rPr>
          <w:rStyle w:val="default"/>
          <w:rFonts w:cs="FrankRuehl"/>
          <w:rtl/>
        </w:rPr>
        <w:t>מק</w:t>
      </w:r>
      <w:r>
        <w:rPr>
          <w:rStyle w:val="default"/>
          <w:rFonts w:cs="FrankRuehl" w:hint="cs"/>
          <w:rtl/>
        </w:rPr>
        <w:t>ום שניתן צו כזה רשאי בית הדין ליתן הוראות בנוגע להגשת כל הודעת תביעה נוספת או מתוקנת וכן בנוגע לכל הודעה או לכל הליך אחר בכתב ולמסירתו ובנוגע למה</w:t>
      </w:r>
      <w:r>
        <w:rPr>
          <w:rStyle w:val="default"/>
          <w:rFonts w:cs="FrankRuehl"/>
          <w:rtl/>
        </w:rPr>
        <w:t>לך</w:t>
      </w:r>
      <w:r>
        <w:rPr>
          <w:rStyle w:val="default"/>
          <w:rFonts w:cs="FrankRuehl" w:hint="cs"/>
          <w:rtl/>
        </w:rPr>
        <w:t xml:space="preserve"> הבירור ככל אשר ימצא בית הדין לנכון. הודעה על צו בענין צירוף איזה צד לבירור או הוצאת איזה צד מכלל הבירור עפ"י תקנה זו תישלח לאותו צד ע"י הרשם.</w:t>
      </w:r>
    </w:p>
    <w:p w14:paraId="0E8E4128" w14:textId="77777777" w:rsidR="005A2C3E" w:rsidRDefault="005A2C3E">
      <w:pPr>
        <w:pStyle w:val="P00"/>
        <w:spacing w:before="72"/>
        <w:ind w:left="0" w:right="1134"/>
        <w:rPr>
          <w:rStyle w:val="default"/>
          <w:rFonts w:cs="FrankRuehl"/>
          <w:rtl/>
        </w:rPr>
      </w:pPr>
      <w:bookmarkStart w:id="6" w:name="Seif6"/>
      <w:bookmarkEnd w:id="6"/>
      <w:r>
        <w:rPr>
          <w:lang w:val="he-IL"/>
        </w:rPr>
        <w:pict w14:anchorId="78EBE18E">
          <v:rect id="_x0000_s1032" style="position:absolute;left:0;text-align:left;margin-left:464.5pt;margin-top:8.05pt;width:75.05pt;height:8pt;z-index:251651072" o:allowincell="f" filled="f" stroked="f" strokecolor="lime" strokeweight=".25pt">
            <v:textbox inset="0,0,0,0">
              <w:txbxContent>
                <w:p w14:paraId="599B3D96" w14:textId="77777777" w:rsidR="005A2C3E" w:rsidRDefault="005A2C3E">
                  <w:pPr>
                    <w:spacing w:line="160" w:lineRule="exact"/>
                    <w:jc w:val="left"/>
                    <w:rPr>
                      <w:rFonts w:cs="Miriam"/>
                      <w:noProof/>
                      <w:sz w:val="18"/>
                      <w:szCs w:val="18"/>
                      <w:rtl/>
                    </w:rPr>
                  </w:pPr>
                  <w:r>
                    <w:rPr>
                      <w:rFonts w:cs="Miriam"/>
                      <w:sz w:val="18"/>
                      <w:szCs w:val="18"/>
                      <w:rtl/>
                    </w:rPr>
                    <w:t>צי</w:t>
                  </w:r>
                  <w:r>
                    <w:rPr>
                      <w:rFonts w:cs="Miriam" w:hint="cs"/>
                      <w:sz w:val="18"/>
                      <w:szCs w:val="18"/>
                      <w:rtl/>
                    </w:rPr>
                    <w:t>רוף סכסוכים לבירור</w:t>
                  </w:r>
                </w:p>
              </w:txbxContent>
            </v:textbox>
            <w10:anchorlock/>
          </v:rect>
        </w:pict>
      </w:r>
      <w:r>
        <w:rPr>
          <w:rStyle w:val="big-number"/>
          <w:rFonts w:cs="Miriam"/>
          <w:rtl/>
        </w:rPr>
        <w:t>8.</w:t>
      </w:r>
      <w:r>
        <w:rPr>
          <w:rStyle w:val="big-number"/>
          <w:rFonts w:cs="Miriam"/>
          <w:rtl/>
        </w:rPr>
        <w:tab/>
      </w:r>
      <w:r>
        <w:rPr>
          <w:rStyle w:val="default"/>
          <w:rFonts w:cs="FrankRuehl"/>
          <w:rtl/>
        </w:rPr>
        <w:t>כש</w:t>
      </w:r>
      <w:r>
        <w:rPr>
          <w:rStyle w:val="default"/>
          <w:rFonts w:cs="FrankRuehl" w:hint="cs"/>
          <w:rtl/>
        </w:rPr>
        <w:t>ישנם שני משפטים או יותר שהם תלויים ועומדים בו בזמן בנוגע לא</w:t>
      </w:r>
      <w:r>
        <w:rPr>
          <w:rStyle w:val="default"/>
          <w:rFonts w:cs="FrankRuehl"/>
          <w:rtl/>
        </w:rPr>
        <w:t>ו</w:t>
      </w:r>
      <w:r>
        <w:rPr>
          <w:rStyle w:val="default"/>
          <w:rFonts w:cs="FrankRuehl" w:hint="cs"/>
          <w:rtl/>
        </w:rPr>
        <w:t>תה אניה והמתעוררים מאותה תביעה שהוגשה מטעם המ</w:t>
      </w:r>
      <w:r>
        <w:rPr>
          <w:rStyle w:val="default"/>
          <w:rFonts w:cs="FrankRuehl"/>
          <w:rtl/>
        </w:rPr>
        <w:t>מש</w:t>
      </w:r>
      <w:r>
        <w:rPr>
          <w:rStyle w:val="default"/>
          <w:rFonts w:cs="FrankRuehl" w:hint="cs"/>
          <w:rtl/>
        </w:rPr>
        <w:t>לה, אם בין אותם הצדדים ואם בין צדדים שונים, רשאי בית הדין לצוות כי אותם המשפטים השונים יובאו לבירור בעת ובעונה אחת או בזה אחר זה באותו סדר שבית הדין ימצא אותו נוח. כשבית הדין יתן צו כזה עליו ליתן את כל אותן ה</w:t>
      </w:r>
      <w:r>
        <w:rPr>
          <w:rStyle w:val="default"/>
          <w:rFonts w:cs="FrankRuehl"/>
          <w:rtl/>
        </w:rPr>
        <w:t>ה</w:t>
      </w:r>
      <w:r>
        <w:rPr>
          <w:rStyle w:val="default"/>
          <w:rFonts w:cs="FrankRuehl" w:hint="cs"/>
          <w:rtl/>
        </w:rPr>
        <w:t>וראות הנובעות מן הצו, בין בנוגע להנהלת הבירו</w:t>
      </w:r>
      <w:r>
        <w:rPr>
          <w:rStyle w:val="default"/>
          <w:rFonts w:cs="FrankRuehl"/>
          <w:rtl/>
        </w:rPr>
        <w:t>ר</w:t>
      </w:r>
      <w:r>
        <w:rPr>
          <w:rStyle w:val="default"/>
          <w:rFonts w:cs="FrankRuehl" w:hint="cs"/>
          <w:rtl/>
        </w:rPr>
        <w:t xml:space="preserve"> </w:t>
      </w:r>
      <w:r>
        <w:rPr>
          <w:rStyle w:val="default"/>
          <w:rFonts w:cs="FrankRuehl"/>
          <w:rtl/>
        </w:rPr>
        <w:t>ה</w:t>
      </w:r>
      <w:r>
        <w:rPr>
          <w:rStyle w:val="default"/>
          <w:rFonts w:cs="FrankRuehl" w:hint="cs"/>
          <w:rtl/>
        </w:rPr>
        <w:t>משפטי ובין בנוגע לענינים אחרים.</w:t>
      </w:r>
    </w:p>
    <w:p w14:paraId="02664858" w14:textId="77777777" w:rsidR="005A2C3E" w:rsidRDefault="005A2C3E">
      <w:pPr>
        <w:pStyle w:val="P00"/>
        <w:spacing w:before="72"/>
        <w:ind w:left="0" w:right="1134"/>
        <w:rPr>
          <w:rStyle w:val="default"/>
          <w:rFonts w:cs="FrankRuehl"/>
          <w:rtl/>
        </w:rPr>
      </w:pPr>
      <w:bookmarkStart w:id="7" w:name="Seif7"/>
      <w:bookmarkEnd w:id="7"/>
      <w:r>
        <w:rPr>
          <w:lang w:val="he-IL"/>
        </w:rPr>
        <w:pict w14:anchorId="0C390CF5">
          <v:rect id="_x0000_s1033" style="position:absolute;left:0;text-align:left;margin-left:464.5pt;margin-top:8.05pt;width:75.05pt;height:8pt;z-index:251652096" o:allowincell="f" filled="f" stroked="f" strokecolor="lime" strokeweight=".25pt">
            <v:textbox inset="0,0,0,0">
              <w:txbxContent>
                <w:p w14:paraId="2E47A394" w14:textId="77777777" w:rsidR="005A2C3E" w:rsidRDefault="005A2C3E">
                  <w:pPr>
                    <w:spacing w:line="160" w:lineRule="exact"/>
                    <w:jc w:val="left"/>
                    <w:rPr>
                      <w:rFonts w:cs="Miriam"/>
                      <w:noProof/>
                      <w:sz w:val="18"/>
                      <w:szCs w:val="18"/>
                      <w:rtl/>
                    </w:rPr>
                  </w:pPr>
                  <w:r>
                    <w:rPr>
                      <w:rFonts w:cs="Miriam"/>
                      <w:sz w:val="18"/>
                      <w:szCs w:val="18"/>
                      <w:rtl/>
                    </w:rPr>
                    <w:t>בק</w:t>
                  </w:r>
                  <w:r>
                    <w:rPr>
                      <w:rFonts w:cs="Miriam" w:hint="cs"/>
                      <w:sz w:val="18"/>
                      <w:szCs w:val="18"/>
                      <w:rtl/>
                    </w:rPr>
                    <w:t>שת ביניים</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קשות לבית הדין למתן כל צו עפ"י הפקודה או עפ"י תקנות אלה עד לבירור המשפט או בנוגע לכל ענין אשר ייתכן כי יהא צורך לקבל בו את הוראות בית הדין לפני הדיון, תובאנה לדיון בפני הנשיא או בפני חבר יחיד של בית הדין: בתנאי שה</w:t>
      </w:r>
      <w:r>
        <w:rPr>
          <w:rStyle w:val="default"/>
          <w:rFonts w:cs="FrankRuehl"/>
          <w:rtl/>
        </w:rPr>
        <w:t>נש</w:t>
      </w:r>
      <w:r>
        <w:rPr>
          <w:rStyle w:val="default"/>
          <w:rFonts w:cs="FrankRuehl" w:hint="cs"/>
          <w:rtl/>
        </w:rPr>
        <w:t>יא או החבר הדן בבקשה רשאי לדחות את הבקשה כדי לדון בה בישיבת בית הדין, ואילו אם נתבקש בכך ע"י כל צד חייב הוא לדחותה כאמור.</w:t>
      </w:r>
    </w:p>
    <w:p w14:paraId="28F1FCE9" w14:textId="77777777" w:rsidR="005A2C3E" w:rsidRDefault="005A2C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צד המגיש בקשה שעליה חלה תקנה זו עליו לקבוע עם הרשם מועד לבירורה וע</w:t>
      </w:r>
      <w:r>
        <w:rPr>
          <w:rStyle w:val="default"/>
          <w:rFonts w:cs="FrankRuehl"/>
          <w:rtl/>
        </w:rPr>
        <w:t>ל</w:t>
      </w:r>
      <w:r>
        <w:rPr>
          <w:rStyle w:val="default"/>
          <w:rFonts w:cs="FrankRuehl" w:hint="cs"/>
          <w:rtl/>
        </w:rPr>
        <w:t>יו למסור לשאר הצדדים לסכסוך הודעה על המועד לא פחות משבעה ימ</w:t>
      </w:r>
      <w:r>
        <w:rPr>
          <w:rStyle w:val="default"/>
          <w:rFonts w:cs="FrankRuehl"/>
          <w:rtl/>
        </w:rPr>
        <w:t>ים</w:t>
      </w:r>
      <w:r>
        <w:rPr>
          <w:rStyle w:val="default"/>
          <w:rFonts w:cs="FrankRuehl" w:hint="cs"/>
          <w:rtl/>
        </w:rPr>
        <w:t xml:space="preserve"> מראש.</w:t>
      </w:r>
    </w:p>
    <w:p w14:paraId="66803F2D" w14:textId="77777777" w:rsidR="005A2C3E" w:rsidRDefault="005A2C3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פני הגשת הבקשה שעליה חלה תקנה זו על הצד המבקש את מתן הצו להשתדל לקבל, אם יש אפשרות לכך, את הסכמתם של שאר הצדדים לבירור, להגשת הבקשה. משנתקבלה הסכמה זו מותר להגיש את הבקשה לצו במכתב </w:t>
      </w:r>
      <w:r>
        <w:rPr>
          <w:rStyle w:val="default"/>
          <w:rFonts w:cs="FrankRuehl"/>
          <w:rtl/>
        </w:rPr>
        <w:t>ה</w:t>
      </w:r>
      <w:r>
        <w:rPr>
          <w:rStyle w:val="default"/>
          <w:rFonts w:cs="FrankRuehl" w:hint="cs"/>
          <w:rtl/>
        </w:rPr>
        <w:t>ערוך על שם הרשם ואליו תצורף ההסכמה בכתב כשהיא חתומה ע"י הצד</w:t>
      </w:r>
      <w:r>
        <w:rPr>
          <w:rStyle w:val="default"/>
          <w:rFonts w:cs="FrankRuehl"/>
          <w:rtl/>
        </w:rPr>
        <w:t>די</w:t>
      </w:r>
      <w:r>
        <w:rPr>
          <w:rStyle w:val="default"/>
          <w:rFonts w:cs="FrankRuehl" w:hint="cs"/>
          <w:rtl/>
        </w:rPr>
        <w:t>ם או בשמם, ואז רשאי בית הדין ליתן את הצו ולהודיע לצדדים על כך: בתנאי שאם רוצה בית הדין לשמוע את טענות הצדדים לפני מתן החלטה על הבקשה, חייב הרשם להודיע לצדדים בהתאם לכך ולמסור הודעה על קביעת המוע</w:t>
      </w:r>
      <w:r>
        <w:rPr>
          <w:rStyle w:val="default"/>
          <w:rFonts w:cs="FrankRuehl"/>
          <w:rtl/>
        </w:rPr>
        <w:t>ד</w:t>
      </w:r>
      <w:r>
        <w:rPr>
          <w:rStyle w:val="default"/>
          <w:rFonts w:cs="FrankRuehl" w:hint="cs"/>
          <w:rtl/>
        </w:rPr>
        <w:t xml:space="preserve"> לבירור לא פחות משבעה ימים מראש. כשיקבע בית הדין את סכום ה</w:t>
      </w:r>
      <w:r>
        <w:rPr>
          <w:rStyle w:val="default"/>
          <w:rFonts w:cs="FrankRuehl"/>
          <w:rtl/>
        </w:rPr>
        <w:t>ה</w:t>
      </w:r>
      <w:r>
        <w:rPr>
          <w:rStyle w:val="default"/>
          <w:rFonts w:cs="FrankRuehl" w:hint="cs"/>
          <w:rtl/>
        </w:rPr>
        <w:t>ו</w:t>
      </w:r>
      <w:r>
        <w:rPr>
          <w:rStyle w:val="default"/>
          <w:rFonts w:cs="FrankRuehl"/>
          <w:rtl/>
        </w:rPr>
        <w:t>צ</w:t>
      </w:r>
      <w:r>
        <w:rPr>
          <w:rStyle w:val="default"/>
          <w:rFonts w:cs="FrankRuehl" w:hint="cs"/>
          <w:rtl/>
        </w:rPr>
        <w:t>אות המשפטיות על כל בקשה שעליה חלה תקנה זו עליו לקחת בחשבון את הוראות הסעיף הזה.</w:t>
      </w:r>
    </w:p>
    <w:p w14:paraId="61048B98" w14:textId="77777777" w:rsidR="005A2C3E" w:rsidRDefault="005A2C3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כ</w:t>
      </w:r>
      <w:r>
        <w:rPr>
          <w:rStyle w:val="default"/>
          <w:rFonts w:cs="FrankRuehl" w:hint="cs"/>
          <w:rtl/>
        </w:rPr>
        <w:t>ל צו שניתן ושעליו חלה תקנה זו רשאי בית הדין לבטלו או לשנותו באותם תנאים שימצאם צודקים.</w:t>
      </w:r>
    </w:p>
    <w:p w14:paraId="066C35CA" w14:textId="77777777" w:rsidR="005A2C3E" w:rsidRDefault="005A2C3E">
      <w:pPr>
        <w:pStyle w:val="P00"/>
        <w:spacing w:before="72"/>
        <w:ind w:left="0" w:right="1134"/>
        <w:rPr>
          <w:rStyle w:val="default"/>
          <w:rFonts w:cs="FrankRuehl"/>
          <w:rtl/>
        </w:rPr>
      </w:pPr>
      <w:bookmarkStart w:id="8" w:name="Seif8"/>
      <w:bookmarkEnd w:id="8"/>
      <w:r>
        <w:rPr>
          <w:lang w:val="he-IL"/>
        </w:rPr>
        <w:pict w14:anchorId="03B2DCF6">
          <v:rect id="_x0000_s1034" style="position:absolute;left:0;text-align:left;margin-left:464.5pt;margin-top:8.05pt;width:75.05pt;height:16pt;z-index:251653120" o:allowincell="f" filled="f" stroked="f" strokecolor="lime" strokeweight=".25pt">
            <v:textbox inset="0,0,0,0">
              <w:txbxContent>
                <w:p w14:paraId="005DF368" w14:textId="77777777" w:rsidR="005A2C3E" w:rsidRDefault="005A2C3E">
                  <w:pPr>
                    <w:spacing w:line="160" w:lineRule="exact"/>
                    <w:jc w:val="left"/>
                    <w:rPr>
                      <w:rFonts w:cs="Miriam"/>
                      <w:noProof/>
                      <w:sz w:val="18"/>
                      <w:szCs w:val="18"/>
                      <w:rtl/>
                    </w:rPr>
                  </w:pPr>
                  <w:r>
                    <w:rPr>
                      <w:rFonts w:cs="Miriam"/>
                      <w:sz w:val="18"/>
                      <w:szCs w:val="18"/>
                      <w:rtl/>
                    </w:rPr>
                    <w:t>תא</w:t>
                  </w:r>
                  <w:r>
                    <w:rPr>
                      <w:rFonts w:cs="Miriam" w:hint="cs"/>
                      <w:sz w:val="18"/>
                      <w:szCs w:val="18"/>
                      <w:rtl/>
                    </w:rPr>
                    <w:t>ריך הבירור ומקום הב</w:t>
                  </w:r>
                  <w:r>
                    <w:rPr>
                      <w:rFonts w:cs="Miriam"/>
                      <w:sz w:val="18"/>
                      <w:szCs w:val="18"/>
                      <w:rtl/>
                    </w:rPr>
                    <w:t>י</w:t>
                  </w:r>
                  <w:r>
                    <w:rPr>
                      <w:rFonts w:cs="Miriam" w:hint="cs"/>
                      <w:sz w:val="18"/>
                      <w:szCs w:val="18"/>
                      <w:rtl/>
                    </w:rPr>
                    <w:t>רור</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אחר מסירת ההודעה המכילה את תשובת הרשות עפ"י תקנה 3 יתקשר הרשם בהקדם האפ</w:t>
      </w:r>
      <w:r>
        <w:rPr>
          <w:rStyle w:val="default"/>
          <w:rFonts w:cs="FrankRuehl"/>
          <w:rtl/>
        </w:rPr>
        <w:t>שר</w:t>
      </w:r>
      <w:r>
        <w:rPr>
          <w:rStyle w:val="default"/>
          <w:rFonts w:cs="FrankRuehl" w:hint="cs"/>
          <w:rtl/>
        </w:rPr>
        <w:t>י עם הצדדים לסכסוך לשם קביעת תאריך מוסכם לבירור אם לא יבואו הצדדים לידי הסכם בנוגע ליום שיהא רצוי לבית הדין, יקבע בית הדין את התאריך והרשם יודיע את המועד לצדדים.</w:t>
      </w:r>
    </w:p>
    <w:p w14:paraId="00584B9F" w14:textId="77777777" w:rsidR="005A2C3E" w:rsidRDefault="005A2C3E">
      <w:pPr>
        <w:pStyle w:val="page"/>
        <w:widowControl/>
        <w:ind w:right="1134"/>
        <w:rPr>
          <w:rFonts w:cs="David"/>
          <w:position w:val="0"/>
          <w:sz w:val="22"/>
          <w:rtl/>
        </w:rPr>
      </w:pPr>
      <w:r>
        <w:rPr>
          <w:rFonts w:cs="David"/>
          <w:position w:val="0"/>
          <w:sz w:val="22"/>
          <w:rtl/>
        </w:rPr>
        <w:t xml:space="preserve"> </w:t>
      </w:r>
    </w:p>
    <w:p w14:paraId="5659BFF1" w14:textId="77777777" w:rsidR="005A2C3E" w:rsidRDefault="005A2C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בית הדין לקבוע את מקום הבירור והרשם יודיע זאת לצדדים.</w:t>
      </w:r>
    </w:p>
    <w:p w14:paraId="4C256EB2" w14:textId="77777777" w:rsidR="005A2C3E" w:rsidRDefault="005A2C3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א</w:t>
      </w:r>
      <w:r>
        <w:rPr>
          <w:rStyle w:val="default"/>
          <w:rFonts w:cs="FrankRuehl" w:hint="cs"/>
          <w:rtl/>
        </w:rPr>
        <w:t>ם נתישב איזה סכסוך או תביעה שהועברה לבירור ע"י הצדדים מתוך הסכמה ביניהם, על המבקש למסור מיד לרשם הודעה על כך.</w:t>
      </w:r>
    </w:p>
    <w:p w14:paraId="53148B57" w14:textId="77777777" w:rsidR="005A2C3E" w:rsidRDefault="005A2C3E">
      <w:pPr>
        <w:pStyle w:val="P00"/>
        <w:spacing w:before="72"/>
        <w:ind w:left="0" w:right="1134"/>
        <w:rPr>
          <w:rStyle w:val="default"/>
          <w:rFonts w:cs="FrankRuehl"/>
          <w:rtl/>
        </w:rPr>
      </w:pPr>
      <w:bookmarkStart w:id="9" w:name="Seif9"/>
      <w:bookmarkEnd w:id="9"/>
      <w:r>
        <w:rPr>
          <w:lang w:val="he-IL"/>
        </w:rPr>
        <w:pict w14:anchorId="7FD3878E">
          <v:rect id="_x0000_s1035" style="position:absolute;left:0;text-align:left;margin-left:464.5pt;margin-top:8.05pt;width:75.05pt;height:16pt;z-index:251654144" o:allowincell="f" filled="f" stroked="f" strokecolor="lime" strokeweight=".25pt">
            <v:textbox inset="0,0,0,0">
              <w:txbxContent>
                <w:p w14:paraId="1B581A67" w14:textId="77777777" w:rsidR="005A2C3E" w:rsidRDefault="005A2C3E">
                  <w:pPr>
                    <w:spacing w:line="160" w:lineRule="exact"/>
                    <w:jc w:val="left"/>
                    <w:rPr>
                      <w:rFonts w:cs="Miriam"/>
                      <w:noProof/>
                      <w:sz w:val="18"/>
                      <w:szCs w:val="18"/>
                      <w:rtl/>
                    </w:rPr>
                  </w:pPr>
                  <w:r>
                    <w:rPr>
                      <w:rFonts w:cs="Miriam"/>
                      <w:sz w:val="18"/>
                      <w:szCs w:val="18"/>
                      <w:rtl/>
                    </w:rPr>
                    <w:t>הו</w:t>
                  </w:r>
                  <w:r>
                    <w:rPr>
                      <w:rFonts w:cs="Miriam" w:hint="cs"/>
                      <w:sz w:val="18"/>
                      <w:szCs w:val="18"/>
                      <w:rtl/>
                    </w:rPr>
                    <w:t>דעה על הודאה במסמכים</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ל צד רשאי בהודעה בכת</w:t>
      </w:r>
      <w:r>
        <w:rPr>
          <w:rStyle w:val="default"/>
          <w:rFonts w:cs="FrankRuehl"/>
          <w:rtl/>
        </w:rPr>
        <w:t>ב</w:t>
      </w:r>
      <w:r>
        <w:rPr>
          <w:rStyle w:val="default"/>
          <w:rFonts w:cs="FrankRuehl" w:hint="cs"/>
          <w:rtl/>
        </w:rPr>
        <w:t xml:space="preserve"> בכל עת שהיא, לא יאוחר מארבעה עשר יום לפני הבירור לדרוש מכל צד אחר להודות בכל מסמך המפורט בהודעה, בשמרו לעצמו כל</w:t>
      </w:r>
      <w:r>
        <w:rPr>
          <w:rStyle w:val="default"/>
          <w:rFonts w:cs="FrankRuehl"/>
          <w:rtl/>
        </w:rPr>
        <w:t xml:space="preserve"> ט</w:t>
      </w:r>
      <w:r>
        <w:rPr>
          <w:rStyle w:val="default"/>
          <w:rFonts w:cs="FrankRuehl" w:hint="cs"/>
          <w:rtl/>
        </w:rPr>
        <w:t>עמי-התנגדות צודקים, ואם הצד האחר רוצה לחלוק על אמיתותו של המסמך, עליו למסור מודעה במשך ששה ימים לאחר קבלת אותה הודעה כי אין הוא מודה במסמך וכ</w:t>
      </w:r>
      <w:r>
        <w:rPr>
          <w:rStyle w:val="default"/>
          <w:rFonts w:cs="FrankRuehl"/>
          <w:rtl/>
        </w:rPr>
        <w:t>י</w:t>
      </w:r>
      <w:r>
        <w:rPr>
          <w:rStyle w:val="default"/>
          <w:rFonts w:cs="FrankRuehl" w:hint="cs"/>
          <w:rtl/>
        </w:rPr>
        <w:t xml:space="preserve"> דורש הוא כי יוכיחו אותו בבירור.</w:t>
      </w:r>
    </w:p>
    <w:p w14:paraId="563258ED" w14:textId="77777777" w:rsidR="005A2C3E" w:rsidRDefault="005A2C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לא מסר אותו צד במשך הזמן הקבוע בתקנת משנה (א) הודעה כי אין הוא מודה במס</w:t>
      </w:r>
      <w:r>
        <w:rPr>
          <w:rStyle w:val="default"/>
          <w:rFonts w:cs="FrankRuehl"/>
          <w:rtl/>
        </w:rPr>
        <w:t>מכ</w:t>
      </w:r>
      <w:r>
        <w:rPr>
          <w:rStyle w:val="default"/>
          <w:rFonts w:cs="FrankRuehl" w:hint="cs"/>
          <w:rtl/>
        </w:rPr>
        <w:t>ים, יראוהו כמודה במסמך, חוץ אם יצווה בית הדין אחרת.</w:t>
      </w:r>
    </w:p>
    <w:p w14:paraId="648A7182" w14:textId="77777777" w:rsidR="005A2C3E" w:rsidRDefault="005A2C3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שצד מוסר הודעה כי אין הוא מודה במסמך עפ"י תקנת משנה (א) והמסמך הוכח בשעת הבירור, הר</w:t>
      </w:r>
      <w:r>
        <w:rPr>
          <w:rStyle w:val="default"/>
          <w:rFonts w:cs="FrankRuehl"/>
          <w:rtl/>
        </w:rPr>
        <w:t>י</w:t>
      </w:r>
      <w:r>
        <w:rPr>
          <w:rStyle w:val="default"/>
          <w:rFonts w:cs="FrankRuehl" w:hint="cs"/>
          <w:rtl/>
        </w:rPr>
        <w:t xml:space="preserve"> ההוצאות הכרוכות בהוכחת המסמך תשולמנה ע"י הצד שמסר הודעה על אי הודאתו במסמך, חוץ אם יצווה בית הדין אחרת.</w:t>
      </w:r>
    </w:p>
    <w:p w14:paraId="2E317A45" w14:textId="77777777" w:rsidR="005A2C3E" w:rsidRDefault="005A2C3E">
      <w:pPr>
        <w:pStyle w:val="P00"/>
        <w:spacing w:before="72"/>
        <w:ind w:left="0" w:right="1134"/>
        <w:rPr>
          <w:rStyle w:val="default"/>
          <w:rFonts w:cs="FrankRuehl"/>
          <w:rtl/>
        </w:rPr>
      </w:pPr>
      <w:bookmarkStart w:id="10" w:name="Seif10"/>
      <w:bookmarkEnd w:id="10"/>
      <w:r>
        <w:rPr>
          <w:lang w:val="he-IL"/>
        </w:rPr>
        <w:pict w14:anchorId="710449A5">
          <v:rect id="_x0000_s1036" style="position:absolute;left:0;text-align:left;margin-left:464.5pt;margin-top:8.05pt;width:75.05pt;height:16pt;z-index:251655168" o:allowincell="f" filled="f" stroked="f" strokecolor="lime" strokeweight=".25pt">
            <v:textbox inset="0,0,0,0">
              <w:txbxContent>
                <w:p w14:paraId="0AEBC5B4" w14:textId="77777777" w:rsidR="005A2C3E" w:rsidRDefault="005A2C3E">
                  <w:pPr>
                    <w:spacing w:line="160" w:lineRule="exact"/>
                    <w:jc w:val="left"/>
                    <w:rPr>
                      <w:rFonts w:cs="Miriam"/>
                      <w:noProof/>
                      <w:sz w:val="18"/>
                      <w:szCs w:val="18"/>
                      <w:rtl/>
                    </w:rPr>
                  </w:pPr>
                  <w:r>
                    <w:rPr>
                      <w:rFonts w:cs="Miriam"/>
                      <w:sz w:val="18"/>
                      <w:szCs w:val="18"/>
                      <w:rtl/>
                    </w:rPr>
                    <w:t>עד</w:t>
                  </w:r>
                  <w:r>
                    <w:rPr>
                      <w:rFonts w:cs="Miriam" w:hint="cs"/>
                      <w:sz w:val="18"/>
                      <w:szCs w:val="18"/>
                      <w:rtl/>
                    </w:rPr>
                    <w:t>ות שנמסרה בהצהרה בשבועה בפני חוקר</w:t>
                  </w:r>
                </w:p>
              </w:txbxContent>
            </v:textbox>
            <w10:anchorlock/>
          </v:rect>
        </w:pict>
      </w:r>
      <w:r>
        <w:rPr>
          <w:rStyle w:val="big-number"/>
          <w:rFonts w:cs="Miriam"/>
          <w:rtl/>
        </w:rPr>
        <w:t>12.</w:t>
      </w:r>
      <w:r>
        <w:rPr>
          <w:rStyle w:val="big-number"/>
          <w:rFonts w:cs="Miriam"/>
          <w:rtl/>
        </w:rPr>
        <w:tab/>
      </w:r>
      <w:r>
        <w:rPr>
          <w:rStyle w:val="default"/>
          <w:rFonts w:cs="FrankRuehl"/>
          <w:rtl/>
        </w:rPr>
        <w:t>רשאי</w:t>
      </w:r>
      <w:r>
        <w:rPr>
          <w:rStyle w:val="default"/>
          <w:rFonts w:cs="FrankRuehl" w:hint="cs"/>
          <w:rtl/>
        </w:rPr>
        <w:t xml:space="preserve"> בית הדין בכל שלב משלבי הבירור לצוות להוכיח בהצהרה בשבועה איזו עובדה מסויימת או עובדות מסויימות או לצוו</w:t>
      </w:r>
      <w:r>
        <w:rPr>
          <w:rStyle w:val="default"/>
          <w:rFonts w:cs="FrankRuehl"/>
          <w:rtl/>
        </w:rPr>
        <w:t>ת</w:t>
      </w:r>
      <w:r>
        <w:rPr>
          <w:rStyle w:val="default"/>
          <w:rFonts w:cs="FrankRuehl" w:hint="cs"/>
          <w:rtl/>
        </w:rPr>
        <w:t xml:space="preserve"> כי ההצהרה בשבועה של איזה עד תוקרא בבירור בתנאים שבית הדין ימצאם סבירים, או כי כל עד שמן הדין לוותר על נוכחותו בבירור ייחקר בשבועה ע"י אדם שיתמנה בצו</w:t>
      </w:r>
      <w:r>
        <w:rPr>
          <w:rStyle w:val="default"/>
          <w:rFonts w:cs="FrankRuehl"/>
          <w:rtl/>
        </w:rPr>
        <w:t>: ב</w:t>
      </w:r>
      <w:r>
        <w:rPr>
          <w:rStyle w:val="default"/>
          <w:rFonts w:cs="FrankRuehl" w:hint="cs"/>
          <w:rtl/>
        </w:rPr>
        <w:t xml:space="preserve">תנאי כי מקום שנראה לבית הדין כי איזה צד רוצה, ובצדק, להביא עד לחקירת שתי וערב, וכי אפשר להביא אותו עד, </w:t>
      </w:r>
      <w:r>
        <w:rPr>
          <w:rStyle w:val="default"/>
          <w:rFonts w:cs="FrankRuehl"/>
          <w:rtl/>
        </w:rPr>
        <w:t>ל</w:t>
      </w:r>
      <w:r>
        <w:rPr>
          <w:rStyle w:val="default"/>
          <w:rFonts w:cs="FrankRuehl" w:hint="cs"/>
          <w:rtl/>
        </w:rPr>
        <w:t>א יינתן צו המרשה כי עדותו של אותו עד תימסר ע"י הצהרה בשבועה.</w:t>
      </w:r>
    </w:p>
    <w:p w14:paraId="3B2C6E13" w14:textId="77777777" w:rsidR="005A2C3E" w:rsidRDefault="005A2C3E">
      <w:pPr>
        <w:pStyle w:val="P00"/>
        <w:spacing w:before="72"/>
        <w:ind w:left="0" w:right="1134"/>
        <w:rPr>
          <w:rStyle w:val="default"/>
          <w:rFonts w:cs="FrankRuehl"/>
          <w:rtl/>
        </w:rPr>
      </w:pPr>
      <w:bookmarkStart w:id="11" w:name="Seif11"/>
      <w:bookmarkEnd w:id="11"/>
      <w:r>
        <w:rPr>
          <w:lang w:val="he-IL"/>
        </w:rPr>
        <w:pict w14:anchorId="4C8A30E8">
          <v:rect id="_x0000_s1037" style="position:absolute;left:0;text-align:left;margin-left:464.5pt;margin-top:8.05pt;width:75.05pt;height:8pt;z-index:251656192" o:allowincell="f" filled="f" stroked="f" strokecolor="lime" strokeweight=".25pt">
            <v:textbox inset="0,0,0,0">
              <w:txbxContent>
                <w:p w14:paraId="7ACDDDE5" w14:textId="77777777" w:rsidR="005A2C3E" w:rsidRDefault="005A2C3E">
                  <w:pPr>
                    <w:spacing w:line="160" w:lineRule="exact"/>
                    <w:jc w:val="left"/>
                    <w:rPr>
                      <w:rFonts w:cs="Miriam"/>
                      <w:noProof/>
                      <w:sz w:val="18"/>
                      <w:szCs w:val="18"/>
                      <w:rtl/>
                    </w:rPr>
                  </w:pPr>
                  <w:r>
                    <w:rPr>
                      <w:rFonts w:cs="Miriam"/>
                      <w:sz w:val="18"/>
                      <w:szCs w:val="18"/>
                      <w:rtl/>
                    </w:rPr>
                    <w:t>הו</w:t>
                  </w:r>
                  <w:r>
                    <w:rPr>
                      <w:rFonts w:cs="Miriam" w:hint="cs"/>
                      <w:sz w:val="18"/>
                      <w:szCs w:val="18"/>
                      <w:rtl/>
                    </w:rPr>
                    <w:t>כחת עובדות מסויימות</w:t>
                  </w:r>
                </w:p>
              </w:txbxContent>
            </v:textbox>
            <w10:anchorlock/>
          </v:rect>
        </w:pict>
      </w:r>
      <w:r>
        <w:rPr>
          <w:rStyle w:val="big-number"/>
          <w:rFonts w:cs="Miriam"/>
          <w:rtl/>
        </w:rPr>
        <w:t>13.</w:t>
      </w:r>
      <w:r>
        <w:rPr>
          <w:rStyle w:val="big-number"/>
          <w:rFonts w:cs="Miriam"/>
          <w:rtl/>
        </w:rPr>
        <w:tab/>
      </w:r>
      <w:r>
        <w:rPr>
          <w:rStyle w:val="default"/>
          <w:rFonts w:cs="FrankRuehl"/>
          <w:rtl/>
        </w:rPr>
        <w:t>רש</w:t>
      </w:r>
      <w:r>
        <w:rPr>
          <w:rStyle w:val="default"/>
          <w:rFonts w:cs="FrankRuehl" w:hint="cs"/>
          <w:rtl/>
        </w:rPr>
        <w:t>אי בית הדין בכל שלב משלבי הבירור לצוות כי עדות על איזו עובדה מסויימת או עובדות מסו</w:t>
      </w:r>
      <w:r>
        <w:rPr>
          <w:rStyle w:val="default"/>
          <w:rFonts w:cs="FrankRuehl"/>
          <w:rtl/>
        </w:rPr>
        <w:t>יי</w:t>
      </w:r>
      <w:r>
        <w:rPr>
          <w:rStyle w:val="default"/>
          <w:rFonts w:cs="FrankRuehl" w:hint="cs"/>
          <w:rtl/>
        </w:rPr>
        <w:t>מות שתפורטנה בצו תימסר בבירור ע"י הודעה בשבועה שבה יעיד המודיע על אותה עובדה לפי מיטב ידיעתו ואמונתו או ע"י מסמכים או רשימות בפנקסים או ע"י העתקים של מסמכים או ע"י רישומים או ע"י פעולות כיוצא בזה כפי שיורה בית המשפט.</w:t>
      </w:r>
    </w:p>
    <w:p w14:paraId="3287B3E8" w14:textId="77777777" w:rsidR="005A2C3E" w:rsidRDefault="005A2C3E">
      <w:pPr>
        <w:pStyle w:val="P00"/>
        <w:spacing w:before="72"/>
        <w:ind w:left="0" w:right="1134"/>
        <w:rPr>
          <w:rStyle w:val="default"/>
          <w:rFonts w:cs="FrankRuehl"/>
          <w:rtl/>
        </w:rPr>
      </w:pPr>
      <w:bookmarkStart w:id="12" w:name="Seif12"/>
      <w:bookmarkEnd w:id="12"/>
      <w:r>
        <w:rPr>
          <w:lang w:val="he-IL"/>
        </w:rPr>
        <w:pict w14:anchorId="6C8318C2">
          <v:rect id="_x0000_s1038" style="position:absolute;left:0;text-align:left;margin-left:464.5pt;margin-top:8.05pt;width:75.05pt;height:16pt;z-index:251657216" o:allowincell="f" filled="f" stroked="f" strokecolor="lime" strokeweight=".25pt">
            <v:textbox inset="0,0,0,0">
              <w:txbxContent>
                <w:p w14:paraId="4B01532B" w14:textId="77777777" w:rsidR="005A2C3E" w:rsidRDefault="005A2C3E">
                  <w:pPr>
                    <w:spacing w:line="160" w:lineRule="exact"/>
                    <w:jc w:val="left"/>
                    <w:rPr>
                      <w:rFonts w:cs="Miriam"/>
                      <w:noProof/>
                      <w:sz w:val="18"/>
                      <w:szCs w:val="18"/>
                      <w:rtl/>
                    </w:rPr>
                  </w:pPr>
                  <w:r>
                    <w:rPr>
                      <w:rFonts w:cs="Miriam"/>
                      <w:sz w:val="18"/>
                      <w:szCs w:val="18"/>
                      <w:rtl/>
                    </w:rPr>
                    <w:t>ענ</w:t>
                  </w:r>
                  <w:r>
                    <w:rPr>
                      <w:rFonts w:cs="Miriam" w:hint="cs"/>
                      <w:sz w:val="18"/>
                      <w:szCs w:val="18"/>
                      <w:rtl/>
                    </w:rPr>
                    <w:t>ין שקבלתו אינה מותרת לפי דיני הראיות</w:t>
                  </w:r>
                </w:p>
              </w:txbxContent>
            </v:textbox>
            <w10:anchorlock/>
          </v:rect>
        </w:pict>
      </w:r>
      <w:r>
        <w:rPr>
          <w:rStyle w:val="big-number"/>
          <w:rFonts w:cs="Miriam"/>
          <w:rtl/>
        </w:rPr>
        <w:t>14.</w:t>
      </w:r>
      <w:r>
        <w:rPr>
          <w:rStyle w:val="big-number"/>
          <w:rFonts w:cs="Miriam"/>
          <w:rtl/>
        </w:rPr>
        <w:tab/>
      </w:r>
      <w:r>
        <w:rPr>
          <w:rStyle w:val="default"/>
          <w:rFonts w:cs="FrankRuehl"/>
          <w:rtl/>
        </w:rPr>
        <w:t>רש</w:t>
      </w:r>
      <w:r>
        <w:rPr>
          <w:rStyle w:val="default"/>
          <w:rFonts w:cs="FrankRuehl" w:hint="cs"/>
          <w:rtl/>
        </w:rPr>
        <w:t xml:space="preserve">אי בית הדין אם ימצא זאת לנכון </w:t>
      </w:r>
      <w:r>
        <w:rPr>
          <w:rStyle w:val="default"/>
          <w:rFonts w:cs="FrankRuehl"/>
          <w:rtl/>
        </w:rPr>
        <w:t>בכ</w:t>
      </w:r>
      <w:r>
        <w:rPr>
          <w:rStyle w:val="default"/>
          <w:rFonts w:cs="FrankRuehl" w:hint="cs"/>
          <w:rtl/>
        </w:rPr>
        <w:t>ל מקרה מסויים לעשות כן, לקחת בחשבון כל</w:t>
      </w:r>
      <w:r>
        <w:rPr>
          <w:rStyle w:val="default"/>
          <w:rFonts w:cs="FrankRuehl"/>
          <w:rtl/>
        </w:rPr>
        <w:t xml:space="preserve"> </w:t>
      </w:r>
      <w:r>
        <w:rPr>
          <w:rStyle w:val="default"/>
          <w:rFonts w:cs="FrankRuehl" w:hint="cs"/>
          <w:rtl/>
        </w:rPr>
        <w:t>ענין אשר, לפי דעתו יש לו זיקה לנושא החקירה שבפניו ואפילו לא היה אותו ענין מן הענינים שמותר לקבלם כראיה עפ"י דיני הראיות.</w:t>
      </w:r>
    </w:p>
    <w:p w14:paraId="1B0D9F6E" w14:textId="77777777" w:rsidR="005A2C3E" w:rsidRDefault="005A2C3E">
      <w:pPr>
        <w:pStyle w:val="P00"/>
        <w:spacing w:before="72"/>
        <w:ind w:left="0" w:right="1134"/>
        <w:rPr>
          <w:rStyle w:val="default"/>
          <w:rFonts w:cs="FrankRuehl"/>
          <w:rtl/>
        </w:rPr>
      </w:pPr>
      <w:bookmarkStart w:id="13" w:name="Seif13"/>
      <w:bookmarkEnd w:id="13"/>
      <w:r>
        <w:rPr>
          <w:lang w:val="he-IL"/>
        </w:rPr>
        <w:pict w14:anchorId="7C59BA91">
          <v:rect id="_x0000_s1039" style="position:absolute;left:0;text-align:left;margin-left:464.5pt;margin-top:8.05pt;width:75.05pt;height:16pt;z-index:251658240" o:allowincell="f" filled="f" stroked="f" strokecolor="lime" strokeweight=".25pt">
            <v:textbox inset="0,0,0,0">
              <w:txbxContent>
                <w:p w14:paraId="17692380" w14:textId="77777777" w:rsidR="005A2C3E" w:rsidRDefault="005A2C3E">
                  <w:pPr>
                    <w:spacing w:line="160" w:lineRule="exact"/>
                    <w:jc w:val="left"/>
                    <w:rPr>
                      <w:rFonts w:cs="Miriam"/>
                      <w:noProof/>
                      <w:sz w:val="18"/>
                      <w:szCs w:val="18"/>
                      <w:rtl/>
                    </w:rPr>
                  </w:pPr>
                  <w:r>
                    <w:rPr>
                      <w:rFonts w:cs="Miriam"/>
                      <w:sz w:val="18"/>
                      <w:szCs w:val="18"/>
                      <w:rtl/>
                    </w:rPr>
                    <w:t>הפ</w:t>
                  </w:r>
                  <w:r>
                    <w:rPr>
                      <w:rFonts w:cs="Miriam" w:hint="cs"/>
                      <w:sz w:val="18"/>
                      <w:szCs w:val="18"/>
                      <w:rtl/>
                    </w:rPr>
                    <w:t xml:space="preserve">קדת מסמכים לשמוש </w:t>
                  </w:r>
                  <w:r>
                    <w:rPr>
                      <w:rFonts w:cs="Miriam"/>
                      <w:sz w:val="18"/>
                      <w:szCs w:val="18"/>
                      <w:rtl/>
                    </w:rPr>
                    <w:t>בי</w:t>
                  </w:r>
                  <w:r>
                    <w:rPr>
                      <w:rFonts w:cs="Miriam" w:hint="cs"/>
                      <w:sz w:val="18"/>
                      <w:szCs w:val="18"/>
                      <w:rtl/>
                    </w:rPr>
                    <w:t>ת הדין</w:t>
                  </w:r>
                </w:p>
              </w:txbxContent>
            </v:textbox>
            <w10:anchorlock/>
          </v:rect>
        </w:pict>
      </w:r>
      <w:r>
        <w:rPr>
          <w:rStyle w:val="big-number"/>
          <w:rFonts w:cs="Miriam"/>
          <w:rtl/>
        </w:rPr>
        <w:t>15.</w:t>
      </w:r>
      <w:r>
        <w:rPr>
          <w:rStyle w:val="big-number"/>
          <w:rFonts w:cs="Miriam"/>
          <w:rtl/>
        </w:rPr>
        <w:tab/>
      </w:r>
      <w:r>
        <w:rPr>
          <w:rStyle w:val="default"/>
          <w:rFonts w:cs="FrankRuehl"/>
          <w:rtl/>
        </w:rPr>
        <w:t>לא</w:t>
      </w:r>
      <w:r>
        <w:rPr>
          <w:rStyle w:val="default"/>
          <w:rFonts w:cs="FrankRuehl" w:hint="cs"/>
          <w:rtl/>
        </w:rPr>
        <w:t xml:space="preserve"> פחות משבעה ימים לפני התאריך שנקבע לבירור יש להניח במשרד הרישום, שלושה העתקים מכל הצהרו</w:t>
      </w:r>
      <w:r>
        <w:rPr>
          <w:rStyle w:val="default"/>
          <w:rFonts w:cs="FrankRuehl"/>
          <w:rtl/>
        </w:rPr>
        <w:t xml:space="preserve">ת </w:t>
      </w:r>
      <w:r>
        <w:rPr>
          <w:rStyle w:val="default"/>
          <w:rFonts w:cs="FrankRuehl" w:hint="cs"/>
          <w:rtl/>
        </w:rPr>
        <w:t>בשבועה א</w:t>
      </w:r>
      <w:r>
        <w:rPr>
          <w:rStyle w:val="default"/>
          <w:rFonts w:cs="FrankRuehl"/>
          <w:rtl/>
        </w:rPr>
        <w:t>ו</w:t>
      </w:r>
      <w:r>
        <w:rPr>
          <w:rStyle w:val="default"/>
          <w:rFonts w:cs="FrankRuehl" w:hint="cs"/>
          <w:rtl/>
        </w:rPr>
        <w:t xml:space="preserve"> מסמכים אחרים שבדעת כל צד להגיש בין בהתאם להוראות התקנות 11, 12, 13 ו-14 לתקנות אלה ובין בהתאם להוראות אחרות, וההעתקים יישלחו לצדדים אחרים בסכסוך ע"י הצד שיש בדעתו להביאם בתור חומר ראיה כאמור.</w:t>
      </w:r>
    </w:p>
    <w:p w14:paraId="74A9F1C2" w14:textId="77777777" w:rsidR="005A2C3E" w:rsidRDefault="005A2C3E">
      <w:pPr>
        <w:pStyle w:val="P00"/>
        <w:spacing w:before="72"/>
        <w:ind w:left="0" w:right="1134"/>
        <w:rPr>
          <w:rStyle w:val="default"/>
          <w:rFonts w:cs="FrankRuehl"/>
          <w:rtl/>
        </w:rPr>
      </w:pPr>
      <w:bookmarkStart w:id="14" w:name="Seif14"/>
      <w:bookmarkEnd w:id="14"/>
      <w:r>
        <w:rPr>
          <w:lang w:val="he-IL"/>
        </w:rPr>
        <w:pict w14:anchorId="195742B1">
          <v:rect id="_x0000_s1040" style="position:absolute;left:0;text-align:left;margin-left:464.5pt;margin-top:8.05pt;width:75.05pt;height:8pt;z-index:251659264" o:allowincell="f" filled="f" stroked="f" strokecolor="lime" strokeweight=".25pt">
            <v:textbox inset="0,0,0,0">
              <w:txbxContent>
                <w:p w14:paraId="52B530C5" w14:textId="77777777" w:rsidR="005A2C3E" w:rsidRDefault="005A2C3E">
                  <w:pPr>
                    <w:spacing w:line="160" w:lineRule="exact"/>
                    <w:jc w:val="left"/>
                    <w:rPr>
                      <w:rFonts w:cs="Miriam"/>
                      <w:noProof/>
                      <w:sz w:val="18"/>
                      <w:szCs w:val="18"/>
                      <w:rtl/>
                    </w:rPr>
                  </w:pPr>
                  <w:r>
                    <w:rPr>
                      <w:rFonts w:cs="Miriam"/>
                      <w:sz w:val="18"/>
                      <w:szCs w:val="18"/>
                      <w:rtl/>
                    </w:rPr>
                    <w:t>עד</w:t>
                  </w:r>
                  <w:r>
                    <w:rPr>
                      <w:rFonts w:cs="Miriam" w:hint="cs"/>
                      <w:sz w:val="18"/>
                      <w:szCs w:val="18"/>
                      <w:rtl/>
                    </w:rPr>
                    <w:t>ים מומחים</w:t>
                  </w:r>
                </w:p>
              </w:txbxContent>
            </v:textbox>
            <w10:anchorlock/>
          </v:rect>
        </w:pict>
      </w:r>
      <w:r>
        <w:rPr>
          <w:rStyle w:val="big-number"/>
          <w:rFonts w:cs="Miriam"/>
          <w:rtl/>
        </w:rPr>
        <w:t>16.</w:t>
      </w:r>
      <w:r>
        <w:rPr>
          <w:rStyle w:val="big-number"/>
          <w:rFonts w:cs="Miriam"/>
          <w:rtl/>
        </w:rPr>
        <w:tab/>
      </w:r>
      <w:r>
        <w:rPr>
          <w:rStyle w:val="default"/>
          <w:rFonts w:cs="FrankRuehl"/>
          <w:rtl/>
        </w:rPr>
        <w:t>רש</w:t>
      </w:r>
      <w:r>
        <w:rPr>
          <w:rStyle w:val="default"/>
          <w:rFonts w:cs="FrankRuehl" w:hint="cs"/>
          <w:rtl/>
        </w:rPr>
        <w:t xml:space="preserve">אי בית הדין אם סבור הוא כי רצוי לעשות כן </w:t>
      </w:r>
      <w:r>
        <w:rPr>
          <w:rStyle w:val="default"/>
          <w:rFonts w:cs="FrankRuehl"/>
          <w:rtl/>
        </w:rPr>
        <w:t>ב</w:t>
      </w:r>
      <w:r>
        <w:rPr>
          <w:rStyle w:val="default"/>
          <w:rFonts w:cs="FrankRuehl" w:hint="cs"/>
          <w:rtl/>
        </w:rPr>
        <w:t xml:space="preserve">כל </w:t>
      </w:r>
      <w:r>
        <w:rPr>
          <w:rStyle w:val="default"/>
          <w:rFonts w:cs="FrankRuehl"/>
          <w:rtl/>
        </w:rPr>
        <w:t>מק</w:t>
      </w:r>
      <w:r>
        <w:rPr>
          <w:rStyle w:val="default"/>
          <w:rFonts w:cs="FrankRuehl" w:hint="cs"/>
          <w:rtl/>
        </w:rPr>
        <w:t>רה מסויים לצוות להזמין לא יותר ממספר מסויים של עדים מומחים.</w:t>
      </w:r>
    </w:p>
    <w:p w14:paraId="36ACA586" w14:textId="77777777" w:rsidR="005A2C3E" w:rsidRDefault="005A2C3E">
      <w:pPr>
        <w:pStyle w:val="P00"/>
        <w:spacing w:before="72"/>
        <w:ind w:left="0" w:right="1134"/>
        <w:rPr>
          <w:rStyle w:val="default"/>
          <w:rFonts w:cs="FrankRuehl"/>
          <w:rtl/>
        </w:rPr>
      </w:pPr>
      <w:bookmarkStart w:id="15" w:name="Seif15"/>
      <w:bookmarkEnd w:id="15"/>
      <w:r>
        <w:rPr>
          <w:lang w:val="he-IL"/>
        </w:rPr>
        <w:pict w14:anchorId="43A63713">
          <v:rect id="_x0000_s1041" style="position:absolute;left:0;text-align:left;margin-left:464.5pt;margin-top:8.05pt;width:75.05pt;height:16pt;z-index:251660288" o:allowincell="f" filled="f" stroked="f" strokecolor="lime" strokeweight=".25pt">
            <v:textbox inset="0,0,0,0">
              <w:txbxContent>
                <w:p w14:paraId="4A50234E" w14:textId="77777777" w:rsidR="005A2C3E" w:rsidRDefault="005A2C3E">
                  <w:pPr>
                    <w:spacing w:line="160" w:lineRule="exact"/>
                    <w:jc w:val="left"/>
                    <w:rPr>
                      <w:rFonts w:cs="Miriam"/>
                      <w:noProof/>
                      <w:sz w:val="18"/>
                      <w:szCs w:val="18"/>
                      <w:rtl/>
                    </w:rPr>
                  </w:pPr>
                  <w:r>
                    <w:rPr>
                      <w:rFonts w:cs="Miriam"/>
                      <w:sz w:val="18"/>
                      <w:szCs w:val="18"/>
                      <w:rtl/>
                    </w:rPr>
                    <w:t>צו</w:t>
                  </w:r>
                  <w:r>
                    <w:rPr>
                      <w:rFonts w:cs="Miriam" w:hint="cs"/>
                      <w:sz w:val="18"/>
                      <w:szCs w:val="18"/>
                      <w:rtl/>
                    </w:rPr>
                    <w:t>וים להופיע ולהעיד ולהמציא מסמכים</w:t>
                  </w:r>
                </w:p>
              </w:txbxContent>
            </v:textbox>
            <w10:anchorlock/>
          </v:rect>
        </w:pict>
      </w:r>
      <w:r>
        <w:rPr>
          <w:rStyle w:val="big-number"/>
          <w:rFonts w:cs="Miriam"/>
          <w:rtl/>
        </w:rPr>
        <w:t>17.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צ</w:t>
      </w:r>
      <w:r>
        <w:rPr>
          <w:rStyle w:val="default"/>
          <w:rFonts w:cs="FrankRuehl" w:hint="cs"/>
          <w:rtl/>
        </w:rPr>
        <w:t>ו המצווה על כל אדם להופיע ולהעיד או להמציא מסמכים יהא ערוך בטופס ב' של התוספת לתקנות אלה באותם השינויים שהנסיבות תחייבנה.</w:t>
      </w:r>
    </w:p>
    <w:p w14:paraId="1856DDDF" w14:textId="77777777" w:rsidR="005A2C3E" w:rsidRDefault="005A2C3E">
      <w:pPr>
        <w:pStyle w:val="page"/>
        <w:widowControl/>
        <w:ind w:right="1134"/>
        <w:rPr>
          <w:rFonts w:cs="David"/>
          <w:position w:val="0"/>
          <w:sz w:val="22"/>
          <w:rtl/>
        </w:rPr>
      </w:pPr>
      <w:r>
        <w:rPr>
          <w:rFonts w:cs="David"/>
          <w:position w:val="0"/>
          <w:sz w:val="22"/>
          <w:rtl/>
        </w:rPr>
        <w:t xml:space="preserve"> </w:t>
      </w:r>
    </w:p>
    <w:p w14:paraId="578A85D5" w14:textId="77777777" w:rsidR="005A2C3E" w:rsidRDefault="005A2C3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צד הרוצה בצו כזה עליו להגיש ב</w:t>
      </w:r>
      <w:r>
        <w:rPr>
          <w:rStyle w:val="default"/>
          <w:rFonts w:cs="FrankRuehl"/>
          <w:rtl/>
        </w:rPr>
        <w:t>קש</w:t>
      </w:r>
      <w:r>
        <w:rPr>
          <w:rStyle w:val="default"/>
          <w:rFonts w:cs="FrankRuehl" w:hint="cs"/>
          <w:rtl/>
        </w:rPr>
        <w:t xml:space="preserve">ה לכך במכתב שיישלח לרשם ואליו תצורף הטיוטה של הצו המבוקש. כל טיוטה צריכה להכיל את שמו של עד אחד בלבד. אם ניתן הצו ע"י בית הדין, על הרשם לרשום בטיוטה את התאריך ולחתום עליה בתור צו מבית הדין ועליו להחזירה לצד המבקש </w:t>
      </w:r>
      <w:r>
        <w:rPr>
          <w:rStyle w:val="default"/>
          <w:rFonts w:cs="FrankRuehl"/>
          <w:rtl/>
        </w:rPr>
        <w:t>א</w:t>
      </w:r>
      <w:r>
        <w:rPr>
          <w:rStyle w:val="default"/>
          <w:rFonts w:cs="FrankRuehl" w:hint="cs"/>
          <w:rtl/>
        </w:rPr>
        <w:t>ת הצו.</w:t>
      </w:r>
    </w:p>
    <w:p w14:paraId="783D23B4" w14:textId="77777777" w:rsidR="005A2C3E" w:rsidRDefault="005A2C3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ע</w:t>
      </w:r>
      <w:r>
        <w:rPr>
          <w:rStyle w:val="default"/>
          <w:rFonts w:cs="FrankRuehl" w:hint="cs"/>
          <w:rtl/>
        </w:rPr>
        <w:t>ל הצד למסור את הצו במסירה א</w:t>
      </w:r>
      <w:r>
        <w:rPr>
          <w:rStyle w:val="default"/>
          <w:rFonts w:cs="FrankRuehl"/>
          <w:rtl/>
        </w:rPr>
        <w:t>יש</w:t>
      </w:r>
      <w:r>
        <w:rPr>
          <w:rStyle w:val="default"/>
          <w:rFonts w:cs="FrankRuehl" w:hint="cs"/>
          <w:rtl/>
        </w:rPr>
        <w:t>ית ליד העד בזמן סביר לפני הבירור.</w:t>
      </w:r>
    </w:p>
    <w:p w14:paraId="5C8F9CBC" w14:textId="77777777" w:rsidR="005A2C3E" w:rsidRDefault="005A2C3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שעת המסירה יש לשלם לעד או להציע לו סכום סביר כדי כיסוי הוצאות הנסיעה שלו למקום הבירור וחזרה.</w:t>
      </w:r>
    </w:p>
    <w:p w14:paraId="0C7CCB51" w14:textId="77777777" w:rsidR="005A2C3E" w:rsidRDefault="005A2C3E">
      <w:pPr>
        <w:pStyle w:val="P00"/>
        <w:spacing w:before="72"/>
        <w:ind w:left="0" w:right="1134"/>
        <w:rPr>
          <w:rStyle w:val="default"/>
          <w:rFonts w:cs="FrankRuehl"/>
          <w:rtl/>
        </w:rPr>
      </w:pPr>
      <w:bookmarkStart w:id="16" w:name="Seif16"/>
      <w:bookmarkEnd w:id="16"/>
      <w:r>
        <w:rPr>
          <w:lang w:val="he-IL"/>
        </w:rPr>
        <w:pict w14:anchorId="5A9BA546">
          <v:rect id="_x0000_s1042" style="position:absolute;left:0;text-align:left;margin-left:464.5pt;margin-top:8.05pt;width:75.05pt;height:8pt;z-index:251661312" o:allowincell="f" filled="f" stroked="f" strokecolor="lime" strokeweight=".25pt">
            <v:textbox inset="0,0,0,0">
              <w:txbxContent>
                <w:p w14:paraId="35DA9CED" w14:textId="77777777" w:rsidR="005A2C3E" w:rsidRDefault="005A2C3E">
                  <w:pPr>
                    <w:spacing w:line="160" w:lineRule="exact"/>
                    <w:jc w:val="left"/>
                    <w:rPr>
                      <w:rFonts w:cs="Miriam"/>
                      <w:noProof/>
                      <w:sz w:val="18"/>
                      <w:szCs w:val="18"/>
                      <w:rtl/>
                    </w:rPr>
                  </w:pPr>
                  <w:r>
                    <w:rPr>
                      <w:rFonts w:cs="Miriam"/>
                      <w:sz w:val="18"/>
                      <w:szCs w:val="18"/>
                      <w:rtl/>
                    </w:rPr>
                    <w:t>חב</w:t>
                  </w:r>
                  <w:r>
                    <w:rPr>
                      <w:rFonts w:cs="Miriam" w:hint="cs"/>
                      <w:sz w:val="18"/>
                      <w:szCs w:val="18"/>
                      <w:rtl/>
                    </w:rPr>
                    <w:t>רים יועצים</w:t>
                  </w:r>
                </w:p>
              </w:txbxContent>
            </v:textbox>
            <w10:anchorlock/>
          </v:rect>
        </w:pict>
      </w:r>
      <w:r>
        <w:rPr>
          <w:rStyle w:val="big-number"/>
          <w:rFonts w:cs="Miriam"/>
          <w:rtl/>
        </w:rPr>
        <w:t>18.</w:t>
      </w:r>
      <w:r>
        <w:rPr>
          <w:rStyle w:val="big-number"/>
          <w:rFonts w:cs="Miriam"/>
          <w:rtl/>
        </w:rPr>
        <w:tab/>
      </w:r>
      <w:r>
        <w:rPr>
          <w:rStyle w:val="default"/>
          <w:rFonts w:cs="FrankRuehl"/>
          <w:rtl/>
        </w:rPr>
        <w:t>בי</w:t>
      </w:r>
      <w:r>
        <w:rPr>
          <w:rStyle w:val="default"/>
          <w:rFonts w:cs="FrankRuehl" w:hint="cs"/>
          <w:rtl/>
        </w:rPr>
        <w:t>רורים עם חברים-יועצים יתקיימו באותו אופן ובאותם תנאים שבית הדין יורה.</w:t>
      </w:r>
    </w:p>
    <w:p w14:paraId="2A908EEF" w14:textId="77777777" w:rsidR="005A2C3E" w:rsidRDefault="005A2C3E">
      <w:pPr>
        <w:pStyle w:val="P00"/>
        <w:spacing w:before="72"/>
        <w:ind w:left="0" w:right="1134"/>
        <w:rPr>
          <w:rStyle w:val="default"/>
          <w:rFonts w:cs="FrankRuehl"/>
          <w:rtl/>
        </w:rPr>
      </w:pPr>
      <w:bookmarkStart w:id="17" w:name="Seif17"/>
      <w:bookmarkEnd w:id="17"/>
      <w:r>
        <w:rPr>
          <w:lang w:val="he-IL"/>
        </w:rPr>
        <w:pict w14:anchorId="20205250">
          <v:rect id="_x0000_s1043" style="position:absolute;left:0;text-align:left;margin-left:464.5pt;margin-top:8.05pt;width:75.05pt;height:8pt;z-index:251662336" o:allowincell="f" filled="f" stroked="f" strokecolor="lime" strokeweight=".25pt">
            <v:textbox inset="0,0,0,0">
              <w:txbxContent>
                <w:p w14:paraId="3C8C0069" w14:textId="77777777" w:rsidR="005A2C3E" w:rsidRDefault="005A2C3E">
                  <w:pPr>
                    <w:spacing w:line="160" w:lineRule="exact"/>
                    <w:jc w:val="left"/>
                    <w:rPr>
                      <w:rFonts w:cs="Miriam"/>
                      <w:noProof/>
                      <w:sz w:val="18"/>
                      <w:szCs w:val="18"/>
                      <w:rtl/>
                    </w:rPr>
                  </w:pPr>
                  <w:r>
                    <w:rPr>
                      <w:rFonts w:cs="Miriam"/>
                      <w:sz w:val="18"/>
                      <w:szCs w:val="18"/>
                      <w:rtl/>
                    </w:rPr>
                    <w:t>דו</w:t>
                  </w:r>
                  <w:r>
                    <w:rPr>
                      <w:rFonts w:cs="Miriam" w:hint="cs"/>
                      <w:sz w:val="18"/>
                      <w:szCs w:val="18"/>
                      <w:rtl/>
                    </w:rPr>
                    <w:t>"ח של מומחה</w:t>
                  </w:r>
                </w:p>
              </w:txbxContent>
            </v:textbox>
            <w10:anchorlock/>
          </v:rect>
        </w:pict>
      </w:r>
      <w:r>
        <w:rPr>
          <w:rStyle w:val="big-number"/>
          <w:rFonts w:cs="Miriam"/>
          <w:rtl/>
        </w:rPr>
        <w:t>19.</w:t>
      </w:r>
      <w:r>
        <w:rPr>
          <w:rStyle w:val="big-number"/>
          <w:rFonts w:cs="Miriam"/>
          <w:rtl/>
        </w:rPr>
        <w:tab/>
      </w:r>
      <w:r>
        <w:rPr>
          <w:rStyle w:val="default"/>
          <w:rFonts w:cs="FrankRuehl"/>
          <w:rtl/>
        </w:rPr>
        <w:t>רש</w:t>
      </w:r>
      <w:r>
        <w:rPr>
          <w:rStyle w:val="default"/>
          <w:rFonts w:cs="FrankRuehl" w:hint="cs"/>
          <w:rtl/>
        </w:rPr>
        <w:t xml:space="preserve">אי בית הדין לקבל דו"ח של מומחה בהתאם </w:t>
      </w:r>
      <w:r>
        <w:rPr>
          <w:rStyle w:val="default"/>
          <w:rFonts w:cs="FrankRuehl"/>
          <w:rtl/>
        </w:rPr>
        <w:t>לס</w:t>
      </w:r>
      <w:r>
        <w:rPr>
          <w:rStyle w:val="default"/>
          <w:rFonts w:cs="FrankRuehl" w:hint="cs"/>
          <w:rtl/>
        </w:rPr>
        <w:t>עיף 11 (1) (ה) לפקודה בין לפני הבירור ובין במהלך הבירור ובין בזמן ההפסקה עד לישיבת נדחית של הבירור. הרשם ישלח העתק של הדו"ח לכל צד בסכסוך אם לפני הבירור או בשעת הבירור הנדחה, הכל כפי</w:t>
      </w:r>
      <w:r>
        <w:rPr>
          <w:rStyle w:val="default"/>
          <w:rFonts w:cs="FrankRuehl"/>
          <w:rtl/>
        </w:rPr>
        <w:t xml:space="preserve"> </w:t>
      </w:r>
      <w:r>
        <w:rPr>
          <w:rStyle w:val="default"/>
          <w:rFonts w:cs="FrankRuehl" w:hint="cs"/>
          <w:rtl/>
        </w:rPr>
        <w:t>שהענין יחייב.</w:t>
      </w:r>
    </w:p>
    <w:p w14:paraId="06C83C9F" w14:textId="77777777" w:rsidR="005A2C3E" w:rsidRDefault="005A2C3E">
      <w:pPr>
        <w:pStyle w:val="P00"/>
        <w:spacing w:before="72"/>
        <w:ind w:left="0" w:right="1134"/>
        <w:rPr>
          <w:rStyle w:val="default"/>
          <w:rFonts w:cs="FrankRuehl"/>
          <w:rtl/>
        </w:rPr>
      </w:pPr>
      <w:bookmarkStart w:id="18" w:name="Seif18"/>
      <w:bookmarkEnd w:id="18"/>
      <w:r>
        <w:rPr>
          <w:lang w:val="he-IL"/>
        </w:rPr>
        <w:pict w14:anchorId="13027F69">
          <v:rect id="_x0000_s1044" style="position:absolute;left:0;text-align:left;margin-left:464.5pt;margin-top:8.05pt;width:75.05pt;height:8pt;z-index:251663360" o:allowincell="f" filled="f" stroked="f" strokecolor="lime" strokeweight=".25pt">
            <v:textbox inset="0,0,0,0">
              <w:txbxContent>
                <w:p w14:paraId="17908261" w14:textId="77777777" w:rsidR="005A2C3E" w:rsidRDefault="005A2C3E">
                  <w:pPr>
                    <w:spacing w:line="160" w:lineRule="exact"/>
                    <w:jc w:val="left"/>
                    <w:rPr>
                      <w:rFonts w:cs="Miriam"/>
                      <w:noProof/>
                      <w:sz w:val="18"/>
                      <w:szCs w:val="18"/>
                      <w:rtl/>
                    </w:rPr>
                  </w:pPr>
                  <w:r>
                    <w:rPr>
                      <w:rFonts w:cs="Miriam"/>
                      <w:sz w:val="18"/>
                      <w:szCs w:val="18"/>
                      <w:rtl/>
                    </w:rPr>
                    <w:t>דח</w:t>
                  </w:r>
                  <w:r>
                    <w:rPr>
                      <w:rFonts w:cs="Miriam" w:hint="cs"/>
                      <w:sz w:val="18"/>
                      <w:szCs w:val="18"/>
                      <w:rtl/>
                    </w:rPr>
                    <w:t>יות ובירורים נפרדים</w:t>
                  </w:r>
                </w:p>
              </w:txbxContent>
            </v:textbox>
            <w10:anchorlock/>
          </v:rect>
        </w:pict>
      </w:r>
      <w:r>
        <w:rPr>
          <w:rStyle w:val="big-number"/>
          <w:rFonts w:cs="Miriam"/>
          <w:rtl/>
        </w:rPr>
        <w:t>20.</w:t>
      </w:r>
      <w:r>
        <w:rPr>
          <w:rStyle w:val="big-number"/>
          <w:rFonts w:cs="Miriam"/>
          <w:rtl/>
        </w:rPr>
        <w:tab/>
      </w:r>
      <w:r>
        <w:rPr>
          <w:rStyle w:val="default"/>
          <w:rFonts w:cs="FrankRuehl"/>
          <w:rtl/>
        </w:rPr>
        <w:t>רש</w:t>
      </w:r>
      <w:r>
        <w:rPr>
          <w:rStyle w:val="default"/>
          <w:rFonts w:cs="FrankRuehl" w:hint="cs"/>
          <w:rtl/>
        </w:rPr>
        <w:t xml:space="preserve">אי בית הדין, אם ימצא כי לטובת הצדק רצוי לעשות כן, </w:t>
      </w:r>
      <w:r>
        <w:rPr>
          <w:rStyle w:val="default"/>
          <w:rFonts w:cs="FrankRuehl"/>
          <w:rtl/>
        </w:rPr>
        <w:t>לד</w:t>
      </w:r>
      <w:r>
        <w:rPr>
          <w:rStyle w:val="default"/>
          <w:rFonts w:cs="FrankRuehl" w:hint="cs"/>
          <w:rtl/>
        </w:rPr>
        <w:t>חות את בירור המשפט עד לאותו זמן ולאותו המקום ובאותם תנאים, לכשייקבעו תנאים, כפי שימצא לנכון או לצוות כי שאלות שונות המתעוררות בסכסוך תתבררנה בזמנים שונים או ב</w:t>
      </w:r>
      <w:r>
        <w:rPr>
          <w:rStyle w:val="default"/>
          <w:rFonts w:cs="FrankRuehl"/>
          <w:rtl/>
        </w:rPr>
        <w:t>א</w:t>
      </w:r>
      <w:r>
        <w:rPr>
          <w:rStyle w:val="default"/>
          <w:rFonts w:cs="FrankRuehl" w:hint="cs"/>
          <w:rtl/>
        </w:rPr>
        <w:t>ותו סדר או באותם מקומות שונים ככל שנסיבות הענין תחייבנה.</w:t>
      </w:r>
    </w:p>
    <w:p w14:paraId="4ACA526A" w14:textId="77777777" w:rsidR="005A2C3E" w:rsidRDefault="005A2C3E">
      <w:pPr>
        <w:pStyle w:val="P00"/>
        <w:spacing w:before="72"/>
        <w:ind w:left="0" w:right="1134"/>
        <w:rPr>
          <w:rStyle w:val="default"/>
          <w:rFonts w:cs="FrankRuehl"/>
          <w:rtl/>
        </w:rPr>
      </w:pPr>
      <w:bookmarkStart w:id="19" w:name="Seif19"/>
      <w:bookmarkEnd w:id="19"/>
      <w:r>
        <w:rPr>
          <w:lang w:val="he-IL"/>
        </w:rPr>
        <w:pict w14:anchorId="61DEA966">
          <v:rect id="_x0000_s1045" style="position:absolute;left:0;text-align:left;margin-left:464.5pt;margin-top:8.05pt;width:75.05pt;height:8pt;z-index:251664384" o:allowincell="f" filled="f" stroked="f" strokecolor="lime" strokeweight=".25pt">
            <v:textbox inset="0,0,0,0">
              <w:txbxContent>
                <w:p w14:paraId="2DE39677" w14:textId="77777777" w:rsidR="005A2C3E" w:rsidRDefault="005A2C3E">
                  <w:pPr>
                    <w:spacing w:line="160" w:lineRule="exact"/>
                    <w:jc w:val="left"/>
                    <w:rPr>
                      <w:rFonts w:cs="Miriam"/>
                      <w:noProof/>
                      <w:sz w:val="18"/>
                      <w:szCs w:val="18"/>
                      <w:rtl/>
                    </w:rPr>
                  </w:pPr>
                  <w:r>
                    <w:rPr>
                      <w:rFonts w:cs="Miriam"/>
                      <w:sz w:val="18"/>
                      <w:szCs w:val="18"/>
                      <w:rtl/>
                    </w:rPr>
                    <w:t>הצ</w:t>
                  </w:r>
                  <w:r>
                    <w:rPr>
                      <w:rFonts w:cs="Miriam" w:hint="cs"/>
                      <w:sz w:val="18"/>
                      <w:szCs w:val="18"/>
                      <w:rtl/>
                    </w:rPr>
                    <w:t>עה חתומה</w:t>
                  </w:r>
                </w:p>
              </w:txbxContent>
            </v:textbox>
            <w10:anchorlock/>
          </v:rect>
        </w:pict>
      </w:r>
      <w:r>
        <w:rPr>
          <w:rStyle w:val="big-number"/>
          <w:rFonts w:cs="Miriam"/>
          <w:rtl/>
        </w:rPr>
        <w:t>21.</w:t>
      </w:r>
      <w:r>
        <w:rPr>
          <w:rStyle w:val="big-number"/>
          <w:rFonts w:cs="Miriam"/>
          <w:rtl/>
        </w:rPr>
        <w:tab/>
      </w:r>
      <w:r>
        <w:rPr>
          <w:rStyle w:val="default"/>
          <w:rFonts w:cs="FrankRuehl"/>
          <w:rtl/>
        </w:rPr>
        <w:t>אם</w:t>
      </w:r>
      <w:r>
        <w:rPr>
          <w:rStyle w:val="default"/>
          <w:rFonts w:cs="FrankRuehl" w:hint="cs"/>
          <w:rtl/>
        </w:rPr>
        <w:t xml:space="preserve"> הציעה הרשות בכל עת שהיא לפני ה</w:t>
      </w:r>
      <w:r>
        <w:rPr>
          <w:rStyle w:val="default"/>
          <w:rFonts w:cs="FrankRuehl"/>
          <w:rtl/>
        </w:rPr>
        <w:t>בי</w:t>
      </w:r>
      <w:r>
        <w:rPr>
          <w:rStyle w:val="default"/>
          <w:rFonts w:cs="FrankRuehl" w:hint="cs"/>
          <w:rtl/>
        </w:rPr>
        <w:t xml:space="preserve">רור הצעה בכתב בלי כל תנאים לשלם איזה סכום בתורת פיצויים לצד התובע פיצויים באותו סכסוך ובאותה הצעה הודיעה כי אם לא יתקבל אותו סכום בתוך שבעה ימים </w:t>
      </w:r>
      <w:r>
        <w:rPr>
          <w:rStyle w:val="default"/>
          <w:rFonts w:cs="FrankRuehl"/>
          <w:rtl/>
        </w:rPr>
        <w:t>ת</w:t>
      </w:r>
      <w:r>
        <w:rPr>
          <w:rStyle w:val="default"/>
          <w:rFonts w:cs="FrankRuehl" w:hint="cs"/>
          <w:rtl/>
        </w:rPr>
        <w:t>יחשב ההצעה כהצעה שסולקה, אלא שרשאי בית הדין לקרוא את ההצעה לאחר שיפסוק בעצם הסכסוך אך לפני שיתן את החלטתו ב</w:t>
      </w:r>
      <w:r>
        <w:rPr>
          <w:rStyle w:val="default"/>
          <w:rFonts w:cs="FrankRuehl"/>
          <w:rtl/>
        </w:rPr>
        <w:t>נ</w:t>
      </w:r>
      <w:r>
        <w:rPr>
          <w:rStyle w:val="default"/>
          <w:rFonts w:cs="FrankRuehl" w:hint="cs"/>
          <w:rtl/>
        </w:rPr>
        <w:t>י</w:t>
      </w:r>
      <w:r>
        <w:rPr>
          <w:rStyle w:val="default"/>
          <w:rFonts w:cs="FrankRuehl"/>
          <w:rtl/>
        </w:rPr>
        <w:t>ד</w:t>
      </w:r>
      <w:r>
        <w:rPr>
          <w:rStyle w:val="default"/>
          <w:rFonts w:cs="FrankRuehl" w:hint="cs"/>
          <w:rtl/>
        </w:rPr>
        <w:t>ון הוצאות הבירור, רשאית הרשות אם לא נתקבלה ההצעה הנ"ל, למסור בשעת הבירור לרשם של אותה הצעה העתק במעטפה חתומה ובית הדין רשאי לקרוא את ההצעה לאחר ש</w:t>
      </w:r>
      <w:r>
        <w:rPr>
          <w:rStyle w:val="default"/>
          <w:rFonts w:cs="FrankRuehl"/>
          <w:rtl/>
        </w:rPr>
        <w:t>פ</w:t>
      </w:r>
      <w:r>
        <w:rPr>
          <w:rStyle w:val="default"/>
          <w:rFonts w:cs="FrankRuehl" w:hint="cs"/>
          <w:rtl/>
        </w:rPr>
        <w:t xml:space="preserve">סק בסכסוך, אם סכום הפיצויים שבית הדין פסק לשלם אינו עולה על הסכום המוצע כאמור לעיל, רשאי בית הדין לצוות כי </w:t>
      </w:r>
      <w:r>
        <w:rPr>
          <w:rStyle w:val="default"/>
          <w:rFonts w:cs="FrankRuehl"/>
          <w:rtl/>
        </w:rPr>
        <w:t>ה</w:t>
      </w:r>
      <w:r>
        <w:rPr>
          <w:rStyle w:val="default"/>
          <w:rFonts w:cs="FrankRuehl" w:hint="cs"/>
          <w:rtl/>
        </w:rPr>
        <w:t>צ</w:t>
      </w:r>
      <w:r>
        <w:rPr>
          <w:rStyle w:val="default"/>
          <w:rFonts w:cs="FrankRuehl"/>
          <w:rtl/>
        </w:rPr>
        <w:t>ד</w:t>
      </w:r>
      <w:r>
        <w:rPr>
          <w:rStyle w:val="default"/>
          <w:rFonts w:cs="FrankRuehl" w:hint="cs"/>
          <w:rtl/>
        </w:rPr>
        <w:t xml:space="preserve"> התובע פיצויים ישא בהוצאותיו הוא וישלם את ההוצאות שהוציאה הרשות לאחר שהוגשה ההצעה, חוץ אם סבור בית הדין כי מפני טעמים מיוחדים לא מן הראוי לעשות כן.</w:t>
      </w:r>
    </w:p>
    <w:p w14:paraId="4EC87E41" w14:textId="77777777" w:rsidR="005A2C3E" w:rsidRDefault="005A2C3E">
      <w:pPr>
        <w:pStyle w:val="P00"/>
        <w:spacing w:before="72"/>
        <w:ind w:left="0" w:right="1134"/>
        <w:rPr>
          <w:rStyle w:val="default"/>
          <w:rFonts w:cs="FrankRuehl"/>
          <w:rtl/>
        </w:rPr>
      </w:pPr>
      <w:bookmarkStart w:id="20" w:name="Seif20"/>
      <w:bookmarkEnd w:id="20"/>
      <w:r>
        <w:rPr>
          <w:lang w:val="he-IL"/>
        </w:rPr>
        <w:pict w14:anchorId="3615881F">
          <v:rect id="_x0000_s1046" style="position:absolute;left:0;text-align:left;margin-left:464.5pt;margin-top:8.05pt;width:75.05pt;height:16pt;z-index:251665408" o:allowincell="f" filled="f" stroked="f" strokecolor="lime" strokeweight=".25pt">
            <v:textbox inset="0,0,0,0">
              <w:txbxContent>
                <w:p w14:paraId="765F4E18" w14:textId="77777777" w:rsidR="005A2C3E" w:rsidRDefault="005A2C3E">
                  <w:pPr>
                    <w:spacing w:line="160" w:lineRule="exact"/>
                    <w:jc w:val="left"/>
                    <w:rPr>
                      <w:rFonts w:cs="Miriam"/>
                      <w:noProof/>
                      <w:sz w:val="18"/>
                      <w:szCs w:val="18"/>
                      <w:rtl/>
                    </w:rPr>
                  </w:pPr>
                  <w:r>
                    <w:rPr>
                      <w:rFonts w:cs="Miriam"/>
                      <w:sz w:val="18"/>
                      <w:szCs w:val="18"/>
                      <w:rtl/>
                    </w:rPr>
                    <w:t>הז</w:t>
                  </w:r>
                  <w:r>
                    <w:rPr>
                      <w:rFonts w:cs="Miriam" w:hint="cs"/>
                      <w:sz w:val="18"/>
                      <w:szCs w:val="18"/>
                      <w:rtl/>
                    </w:rPr>
                    <w:t>כות להופיע בפני בית הדין</w:t>
                  </w:r>
                </w:p>
              </w:txbxContent>
            </v:textbox>
            <w10:anchorlock/>
          </v:rect>
        </w:pict>
      </w:r>
      <w:r>
        <w:rPr>
          <w:rStyle w:val="big-number"/>
          <w:rFonts w:cs="Miriam"/>
          <w:rtl/>
        </w:rPr>
        <w:t>22.</w:t>
      </w:r>
      <w:r>
        <w:rPr>
          <w:rStyle w:val="big-number"/>
          <w:rFonts w:cs="Miriam"/>
          <w:rtl/>
        </w:rPr>
        <w:tab/>
      </w:r>
      <w:r>
        <w:rPr>
          <w:rStyle w:val="default"/>
          <w:rFonts w:cs="FrankRuehl"/>
          <w:rtl/>
        </w:rPr>
        <w:t>בכ</w:t>
      </w:r>
      <w:r>
        <w:rPr>
          <w:rStyle w:val="default"/>
          <w:rFonts w:cs="FrankRuehl" w:hint="cs"/>
          <w:rtl/>
        </w:rPr>
        <w:t xml:space="preserve">ל הליכים בפני בית הדין רשאי כל אחד מן האנשים דלקמן לטעון טענותיו בפני בית הדין, דהיינו </w:t>
      </w:r>
      <w:r>
        <w:rPr>
          <w:rStyle w:val="default"/>
          <w:rFonts w:cs="FrankRuehl"/>
          <w:rtl/>
        </w:rPr>
        <w:t>—</w:t>
      </w:r>
    </w:p>
    <w:p w14:paraId="7CA063F8" w14:textId="77777777" w:rsidR="005A2C3E" w:rsidRDefault="005A2C3E">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כ</w:t>
      </w:r>
      <w:r>
        <w:rPr>
          <w:rStyle w:val="default"/>
          <w:rFonts w:cs="FrankRuehl" w:hint="cs"/>
          <w:rtl/>
        </w:rPr>
        <w:t xml:space="preserve">ל צד </w:t>
      </w:r>
      <w:r>
        <w:rPr>
          <w:rStyle w:val="default"/>
          <w:rFonts w:cs="FrankRuehl"/>
          <w:rtl/>
        </w:rPr>
        <w:t>בס</w:t>
      </w:r>
      <w:r>
        <w:rPr>
          <w:rStyle w:val="default"/>
          <w:rFonts w:cs="FrankRuehl" w:hint="cs"/>
          <w:rtl/>
        </w:rPr>
        <w:t>כסוך;</w:t>
      </w:r>
    </w:p>
    <w:p w14:paraId="30281190" w14:textId="77777777" w:rsidR="005A2C3E" w:rsidRDefault="005A2C3E">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כ</w:t>
      </w:r>
      <w:r>
        <w:rPr>
          <w:rStyle w:val="default"/>
          <w:rFonts w:cs="FrankRuehl" w:hint="cs"/>
          <w:rtl/>
        </w:rPr>
        <w:t>ל עורך דין שהועמד ע"י כל צד או מטעמו;</w:t>
      </w:r>
    </w:p>
    <w:p w14:paraId="0C368D85" w14:textId="77777777" w:rsidR="005A2C3E" w:rsidRDefault="005A2C3E">
      <w:pPr>
        <w:pStyle w:val="P22"/>
        <w:spacing w:before="72"/>
        <w:ind w:left="1021"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כ</w:t>
      </w:r>
      <w:r>
        <w:rPr>
          <w:rStyle w:val="default"/>
          <w:rFonts w:cs="FrankRuehl" w:hint="cs"/>
          <w:rtl/>
        </w:rPr>
        <w:t>ל אדם אחר שהותר לו עפ"י רשות מטעם בית הדין להופיע במקום כל צד;</w:t>
      </w:r>
    </w:p>
    <w:p w14:paraId="23DFD061" w14:textId="77777777" w:rsidR="005A2C3E" w:rsidRDefault="005A2C3E">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ו</w:t>
      </w:r>
      <w:r>
        <w:rPr>
          <w:rStyle w:val="default"/>
          <w:rFonts w:cs="FrankRuehl" w:hint="cs"/>
          <w:rtl/>
        </w:rPr>
        <w:t>אילו אם הרשות היא צד, פקיד מורשה כהלכה של אותה הרשות.</w:t>
      </w:r>
    </w:p>
    <w:p w14:paraId="5C49E165" w14:textId="77777777" w:rsidR="005A2C3E" w:rsidRDefault="005A2C3E">
      <w:pPr>
        <w:pStyle w:val="P00"/>
        <w:spacing w:before="72"/>
        <w:ind w:left="0" w:right="1134"/>
        <w:rPr>
          <w:rStyle w:val="default"/>
          <w:rFonts w:cs="FrankRuehl"/>
          <w:rtl/>
        </w:rPr>
      </w:pPr>
      <w:bookmarkStart w:id="21" w:name="Seif21"/>
      <w:bookmarkEnd w:id="21"/>
      <w:r>
        <w:rPr>
          <w:lang w:val="he-IL"/>
        </w:rPr>
        <w:pict w14:anchorId="7313CD79">
          <v:rect id="_x0000_s1047" style="position:absolute;left:0;text-align:left;margin-left:464.5pt;margin-top:8.05pt;width:75.05pt;height:8pt;z-index:251666432" o:allowincell="f" filled="f" stroked="f" strokecolor="lime" strokeweight=".25pt">
            <v:textbox inset="0,0,0,0">
              <w:txbxContent>
                <w:p w14:paraId="63DBC061" w14:textId="77777777" w:rsidR="005A2C3E" w:rsidRDefault="005A2C3E">
                  <w:pPr>
                    <w:spacing w:line="160" w:lineRule="exact"/>
                    <w:jc w:val="left"/>
                    <w:rPr>
                      <w:rFonts w:cs="Miriam"/>
                      <w:noProof/>
                      <w:sz w:val="18"/>
                      <w:szCs w:val="18"/>
                      <w:rtl/>
                    </w:rPr>
                  </w:pPr>
                  <w:r>
                    <w:rPr>
                      <w:rFonts w:cs="Miriam"/>
                      <w:sz w:val="18"/>
                      <w:szCs w:val="18"/>
                      <w:rtl/>
                    </w:rPr>
                    <w:t>פס</w:t>
                  </w:r>
                  <w:r>
                    <w:rPr>
                      <w:rFonts w:cs="Miriam" w:hint="cs"/>
                      <w:sz w:val="18"/>
                      <w:szCs w:val="18"/>
                      <w:rtl/>
                    </w:rPr>
                    <w:t>ק דין</w:t>
                  </w:r>
                </w:p>
              </w:txbxContent>
            </v:textbox>
            <w10:anchorlock/>
          </v:rect>
        </w:pict>
      </w:r>
      <w:r>
        <w:rPr>
          <w:rStyle w:val="big-number"/>
          <w:rFonts w:cs="Miriam"/>
          <w:rtl/>
        </w:rPr>
        <w:t>23.</w:t>
      </w:r>
      <w:r>
        <w:rPr>
          <w:rStyle w:val="big-number"/>
          <w:rFonts w:cs="Miriam"/>
          <w:rtl/>
        </w:rPr>
        <w:tab/>
      </w:r>
      <w:r>
        <w:rPr>
          <w:rStyle w:val="default"/>
          <w:rFonts w:cs="FrankRuehl"/>
          <w:rtl/>
        </w:rPr>
        <w:t>הח</w:t>
      </w:r>
      <w:r>
        <w:rPr>
          <w:rStyle w:val="default"/>
          <w:rFonts w:cs="FrankRuehl" w:hint="cs"/>
          <w:rtl/>
        </w:rPr>
        <w:t>לטת בית הדין בסכסוך הקרויה בתקנות אלה בשם פסק הדין תהיה בכתב וחתומה ע"י</w:t>
      </w:r>
      <w:r>
        <w:rPr>
          <w:rStyle w:val="default"/>
          <w:rFonts w:cs="FrankRuehl"/>
          <w:rtl/>
        </w:rPr>
        <w:t xml:space="preserve"> ח</w:t>
      </w:r>
      <w:r>
        <w:rPr>
          <w:rStyle w:val="default"/>
          <w:rFonts w:cs="FrankRuehl" w:hint="cs"/>
          <w:rtl/>
        </w:rPr>
        <w:t>ברי בית הדין. העתק של פסק הדין כשהוא מקויים ע"י הרשם יישלח על ידו לכל אחד מהצדדים בסכסוך.</w:t>
      </w:r>
    </w:p>
    <w:p w14:paraId="1958B676" w14:textId="77777777" w:rsidR="005A2C3E" w:rsidRDefault="005A2C3E">
      <w:pPr>
        <w:pStyle w:val="page"/>
        <w:widowControl/>
        <w:ind w:right="1134"/>
        <w:rPr>
          <w:rFonts w:cs="David"/>
          <w:position w:val="0"/>
          <w:sz w:val="22"/>
          <w:rtl/>
        </w:rPr>
      </w:pPr>
      <w:r>
        <w:rPr>
          <w:rFonts w:cs="David"/>
          <w:position w:val="0"/>
          <w:sz w:val="22"/>
          <w:rtl/>
        </w:rPr>
        <w:t xml:space="preserve"> </w:t>
      </w:r>
    </w:p>
    <w:p w14:paraId="7B5C8D61" w14:textId="77777777" w:rsidR="005A2C3E" w:rsidRDefault="005A2C3E">
      <w:pPr>
        <w:pStyle w:val="P00"/>
        <w:spacing w:before="72"/>
        <w:ind w:left="0" w:right="1134"/>
        <w:rPr>
          <w:rStyle w:val="default"/>
          <w:rFonts w:cs="FrankRuehl"/>
          <w:rtl/>
        </w:rPr>
      </w:pPr>
      <w:bookmarkStart w:id="22" w:name="Seif22"/>
      <w:bookmarkEnd w:id="22"/>
      <w:r>
        <w:rPr>
          <w:lang w:val="he-IL"/>
        </w:rPr>
        <w:pict w14:anchorId="59BE8E58">
          <v:rect id="_x0000_s1048" style="position:absolute;left:0;text-align:left;margin-left:464.5pt;margin-top:8.05pt;width:75.05pt;height:8pt;z-index:251667456" o:allowincell="f" filled="f" stroked="f" strokecolor="lime" strokeweight=".25pt">
            <v:textbox inset="0,0,0,0">
              <w:txbxContent>
                <w:p w14:paraId="6BF285EC" w14:textId="77777777" w:rsidR="005A2C3E" w:rsidRDefault="005A2C3E">
                  <w:pPr>
                    <w:spacing w:line="160" w:lineRule="exact"/>
                    <w:jc w:val="left"/>
                    <w:rPr>
                      <w:rFonts w:cs="Miriam"/>
                      <w:noProof/>
                      <w:sz w:val="18"/>
                      <w:szCs w:val="18"/>
                      <w:rtl/>
                    </w:rPr>
                  </w:pPr>
                  <w:r>
                    <w:rPr>
                      <w:rFonts w:cs="Miriam"/>
                      <w:sz w:val="18"/>
                      <w:szCs w:val="18"/>
                      <w:rtl/>
                    </w:rPr>
                    <w:t>הו</w:t>
                  </w:r>
                  <w:r>
                    <w:rPr>
                      <w:rFonts w:cs="Miriam" w:hint="cs"/>
                      <w:sz w:val="18"/>
                      <w:szCs w:val="18"/>
                      <w:rtl/>
                    </w:rPr>
                    <w:t>צאות</w:t>
                  </w:r>
                </w:p>
              </w:txbxContent>
            </v:textbox>
            <w10:anchorlock/>
          </v:rect>
        </w:pict>
      </w:r>
      <w:r>
        <w:rPr>
          <w:rStyle w:val="big-number"/>
          <w:rFonts w:cs="Miriam"/>
          <w:rtl/>
        </w:rPr>
        <w:t>24.</w:t>
      </w:r>
      <w:r>
        <w:rPr>
          <w:rStyle w:val="big-number"/>
          <w:rFonts w:cs="Miriam"/>
          <w:rtl/>
        </w:rPr>
        <w:tab/>
      </w:r>
      <w:r>
        <w:rPr>
          <w:rStyle w:val="default"/>
          <w:rFonts w:cs="FrankRuehl"/>
          <w:rtl/>
        </w:rPr>
        <w:t>פס</w:t>
      </w:r>
      <w:r>
        <w:rPr>
          <w:rStyle w:val="default"/>
          <w:rFonts w:cs="FrankRuehl" w:hint="cs"/>
          <w:rtl/>
        </w:rPr>
        <w:t>ק הדין יורה לאיזה צד או צדדים תשולמנה ההוצאות או כל חלק של ההוצאות הכרוכות בבירור ואיזה צד ישלמן ורשאי הוא להעריך את הסכום שיש לשל</w:t>
      </w:r>
      <w:r>
        <w:rPr>
          <w:rStyle w:val="default"/>
          <w:rFonts w:cs="FrankRuehl"/>
          <w:rtl/>
        </w:rPr>
        <w:t>מו</w:t>
      </w:r>
      <w:r>
        <w:rPr>
          <w:rStyle w:val="default"/>
          <w:rFonts w:cs="FrankRuehl" w:hint="cs"/>
          <w:rtl/>
        </w:rPr>
        <w:t xml:space="preserve"> או להורות באיזו צורה ועל ידי מי תסודר ההערכה.</w:t>
      </w:r>
    </w:p>
    <w:p w14:paraId="28A8AB24" w14:textId="77777777" w:rsidR="005A2C3E" w:rsidRDefault="005A2C3E">
      <w:pPr>
        <w:pStyle w:val="P00"/>
        <w:spacing w:before="72"/>
        <w:ind w:left="0" w:right="1134"/>
        <w:rPr>
          <w:rStyle w:val="default"/>
          <w:rFonts w:cs="FrankRuehl"/>
          <w:rtl/>
        </w:rPr>
      </w:pPr>
      <w:bookmarkStart w:id="23" w:name="Seif23"/>
      <w:bookmarkEnd w:id="23"/>
      <w:r>
        <w:rPr>
          <w:lang w:val="he-IL"/>
        </w:rPr>
        <w:pict w14:anchorId="7E67BBAD">
          <v:rect id="_x0000_s1049" style="position:absolute;left:0;text-align:left;margin-left:464.5pt;margin-top:8.05pt;width:75.05pt;height:8pt;z-index:251668480" o:allowincell="f" filled="f" stroked="f" strokecolor="lime" strokeweight=".25pt">
            <v:textbox inset="0,0,0,0">
              <w:txbxContent>
                <w:p w14:paraId="30A7FBDC" w14:textId="77777777" w:rsidR="005A2C3E" w:rsidRDefault="005A2C3E">
                  <w:pPr>
                    <w:spacing w:line="160" w:lineRule="exact"/>
                    <w:jc w:val="left"/>
                    <w:rPr>
                      <w:rFonts w:cs="Miriam"/>
                      <w:noProof/>
                      <w:sz w:val="18"/>
                      <w:szCs w:val="18"/>
                      <w:rtl/>
                    </w:rPr>
                  </w:pPr>
                  <w:r>
                    <w:rPr>
                      <w:rFonts w:cs="Miriam"/>
                      <w:sz w:val="18"/>
                      <w:szCs w:val="18"/>
                      <w:rtl/>
                    </w:rPr>
                    <w:t>הז</w:t>
                  </w:r>
                  <w:r>
                    <w:rPr>
                      <w:rFonts w:cs="Miriam" w:hint="cs"/>
                      <w:sz w:val="18"/>
                      <w:szCs w:val="18"/>
                      <w:rtl/>
                    </w:rPr>
                    <w:t>מן</w:t>
                  </w:r>
                </w:p>
              </w:txbxContent>
            </v:textbox>
            <w10:anchorlock/>
          </v:rect>
        </w:pict>
      </w:r>
      <w:r>
        <w:rPr>
          <w:rStyle w:val="big-number"/>
          <w:rFonts w:cs="Miriam"/>
          <w:rtl/>
        </w:rPr>
        <w:t>25.</w:t>
      </w:r>
      <w:r>
        <w:rPr>
          <w:rStyle w:val="big-number"/>
          <w:rFonts w:cs="Miriam"/>
          <w:rtl/>
        </w:rPr>
        <w:tab/>
      </w:r>
      <w:r>
        <w:rPr>
          <w:rStyle w:val="default"/>
          <w:rFonts w:cs="FrankRuehl"/>
          <w:rtl/>
        </w:rPr>
        <w:t>בי</w:t>
      </w:r>
      <w:r>
        <w:rPr>
          <w:rStyle w:val="default"/>
          <w:rFonts w:cs="FrankRuehl" w:hint="cs"/>
          <w:rtl/>
        </w:rPr>
        <w:t>ת הדין רשאי בהסכמת הצדדים להאריך או לקצר את הזמן שנקבע בתקנות אלה או בכל צו אחר לעשייתה של כל פעולה או לנקיטת כל צעד בבירור באותם התנאים (לכשייקבעו תנאים) שצדקת הענין תחייב, ומותר לצוות להאריך את הזמן</w:t>
      </w:r>
      <w:r>
        <w:rPr>
          <w:rStyle w:val="default"/>
          <w:rFonts w:cs="FrankRuehl"/>
          <w:rtl/>
        </w:rPr>
        <w:t xml:space="preserve"> ו</w:t>
      </w:r>
      <w:r>
        <w:rPr>
          <w:rStyle w:val="default"/>
          <w:rFonts w:cs="FrankRuehl" w:hint="cs"/>
          <w:rtl/>
        </w:rPr>
        <w:t>אפילו לא הוגשה הבקשה להארכה אלא כעבור הזמן שנקבע או שהוקצב.</w:t>
      </w:r>
    </w:p>
    <w:p w14:paraId="69BA42F1" w14:textId="77777777" w:rsidR="005A2C3E" w:rsidRDefault="005A2C3E">
      <w:pPr>
        <w:pStyle w:val="P00"/>
        <w:spacing w:before="72"/>
        <w:ind w:left="0" w:right="1134"/>
        <w:rPr>
          <w:rStyle w:val="default"/>
          <w:rFonts w:cs="FrankRuehl"/>
          <w:rtl/>
        </w:rPr>
      </w:pPr>
      <w:bookmarkStart w:id="24" w:name="Seif24"/>
      <w:bookmarkEnd w:id="24"/>
      <w:r>
        <w:rPr>
          <w:lang w:val="he-IL"/>
        </w:rPr>
        <w:pict w14:anchorId="6C97E9C2">
          <v:rect id="_x0000_s1050" style="position:absolute;left:0;text-align:left;margin-left:464.5pt;margin-top:8.05pt;width:75.05pt;height:8pt;z-index:251669504" o:allowincell="f" filled="f" stroked="f" strokecolor="lime" strokeweight=".25pt">
            <v:textbox inset="0,0,0,0">
              <w:txbxContent>
                <w:p w14:paraId="41F18E14" w14:textId="77777777" w:rsidR="005A2C3E" w:rsidRDefault="005A2C3E">
                  <w:pPr>
                    <w:spacing w:line="160" w:lineRule="exact"/>
                    <w:jc w:val="left"/>
                    <w:rPr>
                      <w:rFonts w:cs="Miriam"/>
                      <w:noProof/>
                      <w:sz w:val="18"/>
                      <w:szCs w:val="18"/>
                      <w:rtl/>
                    </w:rPr>
                  </w:pPr>
                  <w:r>
                    <w:rPr>
                      <w:rFonts w:cs="Miriam"/>
                      <w:sz w:val="18"/>
                      <w:szCs w:val="18"/>
                      <w:rtl/>
                    </w:rPr>
                    <w:t>הש</w:t>
                  </w:r>
                  <w:r>
                    <w:rPr>
                      <w:rFonts w:cs="Miriam" w:hint="cs"/>
                      <w:sz w:val="18"/>
                      <w:szCs w:val="18"/>
                      <w:rtl/>
                    </w:rPr>
                    <w:t>מוש בדואר</w:t>
                  </w:r>
                </w:p>
              </w:txbxContent>
            </v:textbox>
            <w10:anchorlock/>
          </v:rect>
        </w:pict>
      </w:r>
      <w:r>
        <w:rPr>
          <w:rStyle w:val="big-number"/>
          <w:rFonts w:cs="Miriam"/>
          <w:rtl/>
        </w:rPr>
        <w:t>26.</w:t>
      </w:r>
      <w:r>
        <w:rPr>
          <w:rStyle w:val="big-number"/>
          <w:rFonts w:cs="Miriam"/>
          <w:rtl/>
        </w:rPr>
        <w:tab/>
      </w:r>
      <w:r>
        <w:rPr>
          <w:rStyle w:val="default"/>
          <w:rFonts w:cs="FrankRuehl"/>
          <w:rtl/>
        </w:rPr>
        <w:t>כל</w:t>
      </w:r>
      <w:r>
        <w:rPr>
          <w:rStyle w:val="default"/>
          <w:rFonts w:cs="FrankRuehl" w:hint="cs"/>
          <w:rtl/>
        </w:rPr>
        <w:t xml:space="preserve"> אימת ש</w:t>
      </w:r>
      <w:r>
        <w:rPr>
          <w:rStyle w:val="default"/>
          <w:rFonts w:cs="FrankRuehl"/>
          <w:rtl/>
        </w:rPr>
        <w:t>ת</w:t>
      </w:r>
      <w:r>
        <w:rPr>
          <w:rStyle w:val="default"/>
          <w:rFonts w:cs="FrankRuehl" w:hint="cs"/>
          <w:rtl/>
        </w:rPr>
        <w:t>קנות אלה מחייבות כי איזה מסמך יוגש ע"י הרשם או הצד או כי איזו הודעה תישלח ע"י הרשם או הצד, מותר להגיש או לשלוח את המסמך או ההודעה ע"י הדואר.</w:t>
      </w:r>
    </w:p>
    <w:p w14:paraId="29A7009A" w14:textId="77777777" w:rsidR="005A2C3E" w:rsidRDefault="005A2C3E">
      <w:pPr>
        <w:pStyle w:val="P00"/>
        <w:spacing w:before="72"/>
        <w:ind w:left="0" w:right="1134"/>
        <w:rPr>
          <w:rStyle w:val="default"/>
          <w:rFonts w:cs="FrankRuehl"/>
          <w:rtl/>
        </w:rPr>
      </w:pPr>
      <w:bookmarkStart w:id="25" w:name="Seif25"/>
      <w:bookmarkEnd w:id="25"/>
      <w:r>
        <w:rPr>
          <w:lang w:val="he-IL"/>
        </w:rPr>
        <w:pict w14:anchorId="1AEFB8E1">
          <v:rect id="_x0000_s1051" style="position:absolute;left:0;text-align:left;margin-left:464.5pt;margin-top:8.05pt;width:75.05pt;height:8pt;z-index:251670528" o:allowincell="f" filled="f" stroked="f" strokecolor="lime" strokeweight=".25pt">
            <v:textbox inset="0,0,0,0">
              <w:txbxContent>
                <w:p w14:paraId="55D26FA6" w14:textId="77777777" w:rsidR="005A2C3E" w:rsidRDefault="005A2C3E">
                  <w:pPr>
                    <w:spacing w:line="160" w:lineRule="exact"/>
                    <w:jc w:val="left"/>
                    <w:rPr>
                      <w:rFonts w:cs="Miriam"/>
                      <w:noProof/>
                      <w:sz w:val="18"/>
                      <w:szCs w:val="18"/>
                      <w:rtl/>
                    </w:rPr>
                  </w:pPr>
                  <w:r>
                    <w:rPr>
                      <w:rFonts w:cs="Miriam"/>
                      <w:sz w:val="18"/>
                      <w:szCs w:val="18"/>
                      <w:rtl/>
                    </w:rPr>
                    <w:t>אי</w:t>
                  </w:r>
                  <w:r>
                    <w:rPr>
                      <w:rFonts w:cs="Miriam" w:hint="cs"/>
                      <w:sz w:val="18"/>
                      <w:szCs w:val="18"/>
                      <w:rtl/>
                    </w:rPr>
                    <w:t>-מילוי אחרי התקנות</w:t>
                  </w:r>
                </w:p>
              </w:txbxContent>
            </v:textbox>
            <w10:anchorlock/>
          </v:rect>
        </w:pict>
      </w:r>
      <w:r>
        <w:rPr>
          <w:rStyle w:val="big-number"/>
          <w:rFonts w:cs="Miriam"/>
          <w:rtl/>
        </w:rPr>
        <w:t>27.</w:t>
      </w:r>
      <w:r>
        <w:rPr>
          <w:rStyle w:val="big-number"/>
          <w:rFonts w:cs="Miriam"/>
          <w:rtl/>
        </w:rPr>
        <w:tab/>
      </w:r>
      <w:r>
        <w:rPr>
          <w:rStyle w:val="default"/>
          <w:rFonts w:cs="FrankRuehl"/>
          <w:rtl/>
        </w:rPr>
        <w:t>אי</w:t>
      </w:r>
      <w:r>
        <w:rPr>
          <w:rStyle w:val="default"/>
          <w:rFonts w:cs="FrankRuehl" w:hint="cs"/>
          <w:rtl/>
        </w:rPr>
        <w:t>-קיום של כל תקנה מתקנות אלה אין</w:t>
      </w:r>
      <w:r>
        <w:rPr>
          <w:rStyle w:val="default"/>
          <w:rFonts w:cs="FrankRuehl"/>
          <w:rtl/>
        </w:rPr>
        <w:t xml:space="preserve"> ב</w:t>
      </w:r>
      <w:r>
        <w:rPr>
          <w:rStyle w:val="default"/>
          <w:rFonts w:cs="FrankRuehl" w:hint="cs"/>
          <w:rtl/>
        </w:rPr>
        <w:t>ו כדי לפסול כל הליך בבירור אלא אם כן יורה בית המשפט</w:t>
      </w:r>
      <w:r>
        <w:rPr>
          <w:rStyle w:val="default"/>
          <w:rFonts w:cs="FrankRuehl"/>
          <w:rtl/>
        </w:rPr>
        <w:t xml:space="preserve"> </w:t>
      </w:r>
      <w:r>
        <w:rPr>
          <w:rStyle w:val="default"/>
          <w:rFonts w:cs="FrankRuehl" w:hint="cs"/>
          <w:rtl/>
        </w:rPr>
        <w:t>כן, אולם אפשר יהא לבטל אותו הליך שלא היה בסדר, או לתקנו, או לטפל בו באותו אופן ובאותם תנאים שבית הדין ימצא לראוי לקבוע.</w:t>
      </w:r>
    </w:p>
    <w:p w14:paraId="06CEE0C0" w14:textId="77777777" w:rsidR="005A2C3E" w:rsidRDefault="005A2C3E">
      <w:pPr>
        <w:pStyle w:val="medium2-header"/>
        <w:keepLines w:val="0"/>
        <w:spacing w:before="72"/>
        <w:ind w:left="0" w:right="1134"/>
        <w:rPr>
          <w:rFonts w:cs="FrankRuehl"/>
          <w:noProof/>
          <w:rtl/>
        </w:rPr>
      </w:pPr>
      <w:bookmarkStart w:id="26" w:name="med0"/>
      <w:bookmarkEnd w:id="26"/>
      <w:r>
        <w:rPr>
          <w:rFonts w:cs="FrankRuehl"/>
          <w:noProof/>
          <w:rtl/>
        </w:rPr>
        <w:t>תו</w:t>
      </w:r>
      <w:r>
        <w:rPr>
          <w:rFonts w:cs="FrankRuehl" w:hint="cs"/>
          <w:noProof/>
          <w:rtl/>
        </w:rPr>
        <w:t>ספת</w:t>
      </w:r>
    </w:p>
    <w:p w14:paraId="4990E032" w14:textId="77777777" w:rsidR="005A2C3E" w:rsidRDefault="005A2C3E">
      <w:pPr>
        <w:pStyle w:val="medium-header"/>
        <w:keepNext w:val="0"/>
        <w:keepLines w:val="0"/>
        <w:ind w:left="0" w:right="1134"/>
        <w:rPr>
          <w:rFonts w:cs="FrankRuehl"/>
          <w:sz w:val="26"/>
          <w:rtl/>
        </w:rPr>
      </w:pPr>
      <w:r>
        <w:rPr>
          <w:rFonts w:cs="FrankRuehl"/>
          <w:sz w:val="26"/>
          <w:rtl/>
        </w:rPr>
        <w:t>טו</w:t>
      </w:r>
      <w:r>
        <w:rPr>
          <w:rFonts w:cs="FrankRuehl" w:hint="cs"/>
          <w:sz w:val="26"/>
          <w:rtl/>
        </w:rPr>
        <w:t>פס א'</w:t>
      </w:r>
    </w:p>
    <w:p w14:paraId="55F5ABB7" w14:textId="77777777" w:rsidR="005A2C3E" w:rsidRDefault="005A2C3E">
      <w:pPr>
        <w:pStyle w:val="medium-header"/>
        <w:keepNext w:val="0"/>
        <w:keepLines w:val="0"/>
        <w:ind w:left="0" w:right="1134"/>
        <w:rPr>
          <w:rFonts w:cs="FrankRuehl"/>
          <w:sz w:val="26"/>
          <w:rtl/>
        </w:rPr>
      </w:pPr>
      <w:r>
        <w:rPr>
          <w:rFonts w:cs="FrankRuehl" w:hint="cs"/>
          <w:sz w:val="26"/>
          <w:rtl/>
        </w:rPr>
        <w:t>ב</w:t>
      </w:r>
      <w:r>
        <w:rPr>
          <w:rFonts w:cs="FrankRuehl"/>
          <w:sz w:val="26"/>
          <w:rtl/>
        </w:rPr>
        <w:t>י</w:t>
      </w:r>
      <w:r>
        <w:rPr>
          <w:rFonts w:cs="FrankRuehl" w:hint="cs"/>
          <w:sz w:val="26"/>
          <w:rtl/>
        </w:rPr>
        <w:t>ת הדין לעניני אניות</w:t>
      </w:r>
    </w:p>
    <w:p w14:paraId="4CC9653E" w14:textId="77777777" w:rsidR="005A2C3E" w:rsidRDefault="005A2C3E">
      <w:pPr>
        <w:pStyle w:val="P00"/>
        <w:spacing w:before="72"/>
        <w:ind w:left="0" w:right="1134"/>
        <w:rPr>
          <w:rFonts w:cs="FrankRuehl"/>
          <w:sz w:val="26"/>
          <w:rtl/>
        </w:rPr>
      </w:pPr>
      <w:r>
        <w:rPr>
          <w:rFonts w:cs="FrankRuehl"/>
          <w:sz w:val="26"/>
          <w:rtl/>
        </w:rPr>
        <w:t>בע</w:t>
      </w:r>
      <w:r>
        <w:rPr>
          <w:rFonts w:cs="FrankRuehl" w:hint="cs"/>
          <w:sz w:val="26"/>
          <w:rtl/>
        </w:rPr>
        <w:t>נין פקודת הפיצויים (הגנה), 1940, ובענין סכסו</w:t>
      </w:r>
      <w:r>
        <w:rPr>
          <w:rFonts w:cs="FrankRuehl"/>
          <w:sz w:val="26"/>
          <w:rtl/>
        </w:rPr>
        <w:t xml:space="preserve">ך </w:t>
      </w:r>
      <w:r>
        <w:rPr>
          <w:rFonts w:cs="FrankRuehl" w:hint="cs"/>
          <w:sz w:val="26"/>
          <w:rtl/>
        </w:rPr>
        <w:t xml:space="preserve">בין </w:t>
      </w:r>
      <w:r>
        <w:rPr>
          <w:rFonts w:cs="FrankRuehl"/>
          <w:sz w:val="26"/>
          <w:rtl/>
        </w:rPr>
        <w:t>—</w:t>
      </w:r>
    </w:p>
    <w:p w14:paraId="653DEC97" w14:textId="77777777" w:rsidR="005A2C3E" w:rsidRDefault="005A2C3E">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מו, כתובתו ותאורו של התובע) </w:t>
      </w:r>
      <w:r>
        <w:rPr>
          <w:rStyle w:val="default"/>
          <w:rFonts w:cs="FrankRuehl"/>
          <w:rtl/>
        </w:rPr>
        <w:t xml:space="preserve">— </w:t>
      </w:r>
      <w:r>
        <w:rPr>
          <w:rStyle w:val="default"/>
          <w:rFonts w:cs="FrankRuehl" w:hint="cs"/>
          <w:rtl/>
        </w:rPr>
        <w:t>התובע</w:t>
      </w:r>
    </w:p>
    <w:p w14:paraId="13AA3A5E" w14:textId="77777777" w:rsidR="005A2C3E" w:rsidRDefault="005A2C3E">
      <w:pPr>
        <w:pStyle w:val="sig-1"/>
        <w:widowControl/>
        <w:ind w:left="0" w:right="1134"/>
        <w:rPr>
          <w:rFonts w:cs="FrankRuehl"/>
          <w:sz w:val="22"/>
          <w:rtl/>
        </w:rPr>
      </w:pPr>
      <w:r>
        <w:rPr>
          <w:rFonts w:cs="FrankRuehl"/>
          <w:sz w:val="22"/>
          <w:rtl/>
        </w:rPr>
        <w:tab/>
      </w:r>
      <w:r>
        <w:rPr>
          <w:rFonts w:cs="FrankRuehl"/>
          <w:sz w:val="22"/>
          <w:rtl/>
        </w:rPr>
        <w:tab/>
        <w:t>ו</w:t>
      </w:r>
      <w:r>
        <w:rPr>
          <w:rFonts w:cs="FrankRuehl" w:hint="cs"/>
          <w:sz w:val="22"/>
          <w:rtl/>
        </w:rPr>
        <w:t>בין</w:t>
      </w:r>
    </w:p>
    <w:p w14:paraId="048DF601" w14:textId="77777777" w:rsidR="005A2C3E" w:rsidRDefault="005A2C3E">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ם הרשות) </w:t>
      </w:r>
      <w:r>
        <w:rPr>
          <w:rStyle w:val="default"/>
          <w:rFonts w:cs="FrankRuehl"/>
          <w:rtl/>
        </w:rPr>
        <w:t xml:space="preserve">—  </w:t>
      </w:r>
      <w:r>
        <w:rPr>
          <w:rStyle w:val="default"/>
          <w:rFonts w:cs="FrankRuehl" w:hint="cs"/>
          <w:rtl/>
        </w:rPr>
        <w:t>הרשות</w:t>
      </w:r>
    </w:p>
    <w:p w14:paraId="55232D46" w14:textId="77777777" w:rsidR="005A2C3E" w:rsidRDefault="005A2C3E">
      <w:pPr>
        <w:pStyle w:val="medium-header"/>
        <w:keepNext w:val="0"/>
        <w:keepLines w:val="0"/>
        <w:ind w:left="0" w:right="1134"/>
        <w:rPr>
          <w:rFonts w:cs="FrankRuehl"/>
          <w:sz w:val="26"/>
          <w:rtl/>
        </w:rPr>
      </w:pPr>
      <w:r>
        <w:rPr>
          <w:rFonts w:cs="FrankRuehl"/>
          <w:sz w:val="26"/>
          <w:rtl/>
        </w:rPr>
        <w:t>הו</w:t>
      </w:r>
      <w:r>
        <w:rPr>
          <w:rFonts w:cs="FrankRuehl" w:hint="cs"/>
          <w:sz w:val="26"/>
          <w:rtl/>
        </w:rPr>
        <w:t>דעה על תביעה לפיצויים</w:t>
      </w:r>
    </w:p>
    <w:p w14:paraId="418CB703" w14:textId="77777777" w:rsidR="005A2C3E" w:rsidRDefault="005A2C3E">
      <w:pPr>
        <w:pStyle w:val="P00"/>
        <w:spacing w:before="72"/>
        <w:ind w:left="0"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יוםמסר התובע לרשות שנקבעה ע"י התובע הודעה על תביעה לפיציים עפ"י סעיף 12 של הפקודה הנ"ל בנידון (ציין את מהות התביעה ונושא התביעה במידה מספקת כדי יכולת לזה</w:t>
      </w:r>
      <w:r>
        <w:rPr>
          <w:rStyle w:val="default"/>
          <w:rFonts w:cs="FrankRuehl"/>
          <w:rtl/>
        </w:rPr>
        <w:t>ות</w:t>
      </w:r>
      <w:r>
        <w:rPr>
          <w:rStyle w:val="default"/>
          <w:rFonts w:cs="FrankRuehl" w:hint="cs"/>
          <w:rtl/>
        </w:rPr>
        <w:t>ה).</w:t>
      </w:r>
    </w:p>
    <w:p w14:paraId="4E55CD19" w14:textId="77777777" w:rsidR="005A2C3E" w:rsidRDefault="005A2C3E">
      <w:pPr>
        <w:pStyle w:val="P00"/>
        <w:spacing w:before="72"/>
        <w:ind w:left="0"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תגלע סכסוך בין הצדדים הנ"ל בשאלה באם יש לשל</w:t>
      </w:r>
      <w:r>
        <w:rPr>
          <w:rStyle w:val="default"/>
          <w:rFonts w:cs="FrankRuehl"/>
          <w:rtl/>
        </w:rPr>
        <w:t>ם</w:t>
      </w:r>
      <w:r>
        <w:rPr>
          <w:rStyle w:val="default"/>
          <w:rFonts w:cs="FrankRuehl" w:hint="cs"/>
          <w:rtl/>
        </w:rPr>
        <w:t xml:space="preserve"> פיצויים עפ"י הפקודה בעד התביעה הנ"ל או בענין סכום הפיצויים שיש לשלמו.</w:t>
      </w:r>
    </w:p>
    <w:p w14:paraId="4CAA1E35" w14:textId="77777777" w:rsidR="005A2C3E" w:rsidRDefault="005A2C3E">
      <w:pPr>
        <w:pStyle w:val="P00"/>
        <w:spacing w:before="72"/>
        <w:ind w:left="0"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סכסוך הנ"ל לא נתישב עפ"י הסכם.</w:t>
      </w:r>
    </w:p>
    <w:p w14:paraId="3555C733" w14:textId="77777777" w:rsidR="005A2C3E" w:rsidRDefault="005A2C3E">
      <w:pPr>
        <w:pStyle w:val="P00"/>
        <w:spacing w:before="72"/>
        <w:ind w:left="0" w:right="1134"/>
        <w:rPr>
          <w:rStyle w:val="default"/>
          <w:rFonts w:cs="FrankRuehl"/>
          <w:rtl/>
        </w:rPr>
      </w:pPr>
      <w:r>
        <w:rPr>
          <w:rStyle w:val="default"/>
          <w:rFonts w:cs="FrankRuehl" w:hint="cs"/>
          <w:rtl/>
        </w:rPr>
        <w:t>4.</w:t>
      </w:r>
      <w:r>
        <w:rPr>
          <w:rStyle w:val="default"/>
          <w:rFonts w:cs="FrankRuehl"/>
          <w:rtl/>
        </w:rPr>
        <w:tab/>
        <w:t>(</w:t>
      </w:r>
      <w:r>
        <w:rPr>
          <w:rStyle w:val="default"/>
          <w:rFonts w:cs="FrankRuehl" w:hint="cs"/>
          <w:rtl/>
        </w:rPr>
        <w:t>רשום כאן את שם המבקש) מבקש בזה כי בית הדין לעניני אניות יפסוק בסכסוך בהתאם להוראות הפקודה.</w:t>
      </w:r>
    </w:p>
    <w:p w14:paraId="36C7B13E" w14:textId="77777777" w:rsidR="005A2C3E" w:rsidRDefault="005A2C3E">
      <w:pPr>
        <w:pStyle w:val="P00"/>
        <w:spacing w:before="72"/>
        <w:ind w:left="0" w:right="1134"/>
        <w:rPr>
          <w:rStyle w:val="default"/>
          <w:rFonts w:cs="FrankRuehl"/>
          <w:rtl/>
        </w:rPr>
      </w:pPr>
      <w:r>
        <w:rPr>
          <w:rFonts w:cs="FrankRuehl"/>
          <w:sz w:val="26"/>
          <w:rtl/>
        </w:rPr>
        <w:tab/>
      </w:r>
      <w:r>
        <w:rPr>
          <w:rStyle w:val="default"/>
          <w:rFonts w:cs="FrankRuehl"/>
          <w:rtl/>
        </w:rPr>
        <w:t>הי</w:t>
      </w:r>
      <w:r>
        <w:rPr>
          <w:rStyle w:val="default"/>
          <w:rFonts w:cs="FrankRuehl" w:hint="cs"/>
          <w:rtl/>
        </w:rPr>
        <w:t>ום19.</w:t>
      </w:r>
    </w:p>
    <w:p w14:paraId="25E75677" w14:textId="77777777" w:rsidR="005A2C3E" w:rsidRDefault="005A2C3E">
      <w:pPr>
        <w:pStyle w:val="P00"/>
        <w:spacing w:before="72"/>
        <w:ind w:left="0" w:right="1134"/>
        <w:rPr>
          <w:rFonts w:cs="FrankRuehl"/>
          <w:sz w:val="26"/>
          <w:rtl/>
        </w:rPr>
      </w:pPr>
      <w:r>
        <w:rPr>
          <w:rFonts w:cs="FrankRuehl"/>
          <w:sz w:val="26"/>
          <w:rtl/>
        </w:rPr>
        <w:t>לכ</w:t>
      </w:r>
      <w:r>
        <w:rPr>
          <w:rFonts w:cs="FrankRuehl" w:hint="cs"/>
          <w:sz w:val="26"/>
          <w:rtl/>
        </w:rPr>
        <w:t>בוד רשם בית הדין לעניני אניות.</w:t>
      </w:r>
    </w:p>
    <w:p w14:paraId="36ECDCE3" w14:textId="77777777" w:rsidR="005A2C3E" w:rsidRDefault="005A2C3E">
      <w:pPr>
        <w:pStyle w:val="P00"/>
        <w:spacing w:before="72"/>
        <w:ind w:left="0" w:right="1134"/>
        <w:rPr>
          <w:rStyle w:val="default"/>
          <w:rFonts w:cs="FrankRuehl"/>
          <w:rtl/>
        </w:rPr>
      </w:pPr>
      <w:r>
        <w:rPr>
          <w:rFonts w:cs="FrankRuehl"/>
          <w:sz w:val="26"/>
          <w:rtl/>
        </w:rPr>
        <w:tab/>
      </w:r>
      <w:r>
        <w:rPr>
          <w:rStyle w:val="default"/>
          <w:rFonts w:cs="FrankRuehl"/>
          <w:rtl/>
        </w:rPr>
        <w:t>הכ</w:t>
      </w:r>
      <w:r>
        <w:rPr>
          <w:rStyle w:val="default"/>
          <w:rFonts w:cs="FrankRuehl" w:hint="cs"/>
          <w:rtl/>
        </w:rPr>
        <w:t>תובת בישראל אשר אליה יש לשלוח הודעות בקשר עם הבירור.</w:t>
      </w:r>
    </w:p>
    <w:p w14:paraId="37E2B925" w14:textId="77777777" w:rsidR="005A2C3E" w:rsidRDefault="005A2C3E">
      <w:pPr>
        <w:pStyle w:val="P00"/>
        <w:spacing w:before="72"/>
        <w:ind w:left="0" w:right="1134"/>
        <w:rPr>
          <w:rStyle w:val="default"/>
          <w:rFonts w:cs="FrankRuehl"/>
          <w:rtl/>
        </w:rPr>
      </w:pPr>
      <w:r>
        <w:rPr>
          <w:rFonts w:cs="FrankRuehl"/>
          <w:sz w:val="26"/>
          <w:rtl/>
        </w:rPr>
        <w:t>הע</w:t>
      </w:r>
      <w:r>
        <w:rPr>
          <w:rFonts w:cs="FrankRuehl" w:hint="cs"/>
          <w:sz w:val="26"/>
          <w:rtl/>
        </w:rPr>
        <w:t>רה.</w:t>
      </w:r>
      <w:r>
        <w:rPr>
          <w:rStyle w:val="default"/>
          <w:rFonts w:cs="FrankRuehl"/>
          <w:rtl/>
        </w:rPr>
        <w:t>הע</w:t>
      </w:r>
      <w:r>
        <w:rPr>
          <w:rStyle w:val="default"/>
          <w:rFonts w:cs="FrankRuehl" w:hint="cs"/>
          <w:rtl/>
        </w:rPr>
        <w:t>תקים מהטופס הזה כפי שנקבע בתקנות אלה, יש למלאם ולמסרם או לשלחם בדואר לרשם בית הדין העליון, ירושלים.</w:t>
      </w:r>
    </w:p>
    <w:p w14:paraId="0FE5A1A0" w14:textId="77777777" w:rsidR="005A2C3E" w:rsidRDefault="005A2C3E">
      <w:pPr>
        <w:pStyle w:val="medium-header"/>
        <w:keepNext w:val="0"/>
        <w:keepLines w:val="0"/>
        <w:ind w:left="0" w:right="1134"/>
        <w:rPr>
          <w:rFonts w:cs="FrankRuehl"/>
          <w:sz w:val="26"/>
          <w:rtl/>
        </w:rPr>
      </w:pPr>
      <w:r>
        <w:rPr>
          <w:rFonts w:cs="FrankRuehl"/>
          <w:sz w:val="26"/>
          <w:rtl/>
        </w:rPr>
        <w:t>טו</w:t>
      </w:r>
      <w:r>
        <w:rPr>
          <w:rFonts w:cs="FrankRuehl" w:hint="cs"/>
          <w:sz w:val="26"/>
          <w:rtl/>
        </w:rPr>
        <w:t>פס ב'</w:t>
      </w:r>
    </w:p>
    <w:p w14:paraId="77764127" w14:textId="77777777" w:rsidR="005A2C3E" w:rsidRDefault="005A2C3E">
      <w:pPr>
        <w:pStyle w:val="medium-header"/>
        <w:keepNext w:val="0"/>
        <w:keepLines w:val="0"/>
        <w:ind w:left="0" w:right="1134"/>
        <w:rPr>
          <w:rFonts w:cs="FrankRuehl"/>
          <w:sz w:val="26"/>
          <w:rtl/>
        </w:rPr>
      </w:pPr>
      <w:r>
        <w:rPr>
          <w:rFonts w:cs="FrankRuehl" w:hint="cs"/>
          <w:sz w:val="26"/>
          <w:rtl/>
        </w:rPr>
        <w:t>ב</w:t>
      </w:r>
      <w:r>
        <w:rPr>
          <w:rFonts w:cs="FrankRuehl"/>
          <w:sz w:val="26"/>
          <w:rtl/>
        </w:rPr>
        <w:t>י</w:t>
      </w:r>
      <w:r>
        <w:rPr>
          <w:rFonts w:cs="FrankRuehl" w:hint="cs"/>
          <w:sz w:val="26"/>
          <w:rtl/>
        </w:rPr>
        <w:t>ת הדין לעניני אנ</w:t>
      </w:r>
      <w:r>
        <w:rPr>
          <w:rFonts w:cs="FrankRuehl"/>
          <w:sz w:val="26"/>
          <w:rtl/>
        </w:rPr>
        <w:t>יו</w:t>
      </w:r>
      <w:r>
        <w:rPr>
          <w:rFonts w:cs="FrankRuehl" w:hint="cs"/>
          <w:sz w:val="26"/>
          <w:rtl/>
        </w:rPr>
        <w:t>ת</w:t>
      </w:r>
    </w:p>
    <w:p w14:paraId="0EAE60B2" w14:textId="77777777" w:rsidR="005A2C3E" w:rsidRDefault="005A2C3E">
      <w:pPr>
        <w:pStyle w:val="P00"/>
        <w:spacing w:before="72"/>
        <w:ind w:left="0" w:right="1134"/>
        <w:rPr>
          <w:rStyle w:val="default"/>
          <w:rFonts w:cs="FrankRuehl"/>
          <w:rtl/>
        </w:rPr>
      </w:pPr>
      <w:r>
        <w:rPr>
          <w:rFonts w:cs="FrankRuehl"/>
          <w:sz w:val="26"/>
          <w:rtl/>
        </w:rPr>
        <w:tab/>
      </w:r>
      <w:r>
        <w:rPr>
          <w:rStyle w:val="default"/>
          <w:rFonts w:cs="FrankRuehl"/>
          <w:rtl/>
        </w:rPr>
        <w:t>בע</w:t>
      </w:r>
      <w:r>
        <w:rPr>
          <w:rStyle w:val="default"/>
          <w:rFonts w:cs="FrankRuehl" w:hint="cs"/>
          <w:rtl/>
        </w:rPr>
        <w:t>נין פקודת פיצויים (הגנה), 1940, ובענין משפט הע</w:t>
      </w:r>
      <w:r>
        <w:rPr>
          <w:rStyle w:val="default"/>
          <w:rFonts w:cs="FrankRuehl"/>
          <w:rtl/>
        </w:rPr>
        <w:t>ו</w:t>
      </w:r>
      <w:r>
        <w:rPr>
          <w:rStyle w:val="default"/>
          <w:rFonts w:cs="FrankRuehl" w:hint="cs"/>
          <w:rtl/>
        </w:rPr>
        <w:t>מד לבירור התלוי ועומד בפני בית הדין לעניני אניות אשר ה"ה דלקמן הם צדדים בו:</w:t>
      </w:r>
    </w:p>
    <w:p w14:paraId="52C032F4" w14:textId="77777777" w:rsidR="005A2C3E" w:rsidRDefault="005A2C3E">
      <w:pPr>
        <w:pStyle w:val="P00"/>
        <w:spacing w:before="72"/>
        <w:ind w:left="0" w:right="1134"/>
        <w:rPr>
          <w:rStyle w:val="default"/>
          <w:rFonts w:cs="FrankRuehl"/>
          <w:rtl/>
        </w:rPr>
      </w:pPr>
      <w:r>
        <w:rPr>
          <w:rFonts w:cs="FrankRuehl"/>
          <w:sz w:val="26"/>
          <w:rtl/>
        </w:rPr>
        <w:tab/>
      </w:r>
      <w:r>
        <w:rPr>
          <w:rStyle w:val="default"/>
          <w:rFonts w:cs="FrankRuehl"/>
          <w:rtl/>
        </w:rPr>
        <w:t>שמ</w:t>
      </w:r>
      <w:r>
        <w:rPr>
          <w:rStyle w:val="default"/>
          <w:rFonts w:cs="FrankRuehl" w:hint="cs"/>
          <w:rtl/>
        </w:rPr>
        <w:t>ות הצדדים</w:t>
      </w:r>
    </w:p>
    <w:p w14:paraId="326F8D83" w14:textId="77777777" w:rsidR="005A2C3E" w:rsidRDefault="005A2C3E">
      <w:pPr>
        <w:pStyle w:val="P00"/>
        <w:spacing w:before="72"/>
        <w:ind w:left="0" w:right="1134"/>
        <w:rPr>
          <w:rStyle w:val="default"/>
          <w:rFonts w:cs="FrankRuehl"/>
          <w:rtl/>
        </w:rPr>
      </w:pPr>
      <w:r>
        <w:rPr>
          <w:rFonts w:cs="FrankRuehl"/>
          <w:sz w:val="26"/>
          <w:rtl/>
        </w:rPr>
        <w:tab/>
      </w:r>
      <w:r>
        <w:rPr>
          <w:rStyle w:val="default"/>
          <w:rFonts w:cs="FrankRuehl"/>
          <w:rtl/>
        </w:rPr>
        <w:t>הנ</w:t>
      </w:r>
      <w:r>
        <w:rPr>
          <w:rStyle w:val="default"/>
          <w:rFonts w:cs="FrankRuehl" w:hint="cs"/>
          <w:rtl/>
        </w:rPr>
        <w:t>ך מצווה בזה להופיע בביום19, בשעה</w:t>
      </w:r>
    </w:p>
    <w:p w14:paraId="7C94B061" w14:textId="77777777" w:rsidR="005A2C3E" w:rsidRDefault="005A2C3E">
      <w:pPr>
        <w:pStyle w:val="P00"/>
        <w:spacing w:before="72"/>
        <w:ind w:left="0" w:right="1134"/>
        <w:rPr>
          <w:rStyle w:val="default"/>
          <w:rFonts w:cs="FrankRuehl"/>
          <w:rtl/>
        </w:rPr>
      </w:pPr>
      <w:r>
        <w:rPr>
          <w:rFonts w:cs="FrankRuehl"/>
          <w:sz w:val="26"/>
          <w:rtl/>
        </w:rPr>
        <w:tab/>
      </w:r>
      <w:r>
        <w:rPr>
          <w:rStyle w:val="default"/>
          <w:rFonts w:cs="FrankRuehl"/>
          <w:rtl/>
        </w:rPr>
        <w:t>בצ</w:t>
      </w:r>
      <w:r>
        <w:rPr>
          <w:rStyle w:val="default"/>
          <w:rFonts w:cs="FrankRuehl" w:hint="cs"/>
          <w:rtl/>
        </w:rPr>
        <w:t>הרים וכן מיום ליום עד לבירור המשפט הנ"ל כדי להעיד בו (וגם להביא אתך ולהראו</w:t>
      </w:r>
      <w:r>
        <w:rPr>
          <w:rStyle w:val="default"/>
          <w:rFonts w:cs="FrankRuehl"/>
          <w:rtl/>
        </w:rPr>
        <w:t xml:space="preserve">ת </w:t>
      </w:r>
      <w:r>
        <w:rPr>
          <w:rStyle w:val="default"/>
          <w:rFonts w:cs="FrankRuehl" w:hint="cs"/>
          <w:rtl/>
        </w:rPr>
        <w:t>את המסמכים השונים המפורטים להלן).</w:t>
      </w:r>
    </w:p>
    <w:p w14:paraId="6F3F789D" w14:textId="77777777" w:rsidR="005A2C3E" w:rsidRDefault="005A2C3E">
      <w:pPr>
        <w:pStyle w:val="P00"/>
        <w:spacing w:before="72"/>
        <w:ind w:left="0" w:right="1134"/>
        <w:rPr>
          <w:rStyle w:val="default"/>
          <w:rFonts w:cs="FrankRuehl"/>
          <w:rtl/>
        </w:rPr>
      </w:pPr>
      <w:r>
        <w:rPr>
          <w:rFonts w:cs="FrankRuehl"/>
          <w:sz w:val="26"/>
          <w:rtl/>
        </w:rPr>
        <w:tab/>
      </w:r>
      <w:r>
        <w:rPr>
          <w:rStyle w:val="default"/>
          <w:rFonts w:cs="FrankRuehl"/>
          <w:rtl/>
        </w:rPr>
        <w:t>(כ</w:t>
      </w:r>
      <w:r>
        <w:rPr>
          <w:rStyle w:val="default"/>
          <w:rFonts w:cs="FrankRuehl" w:hint="cs"/>
          <w:rtl/>
        </w:rPr>
        <w:t xml:space="preserve">אן תובא רשימת </w:t>
      </w:r>
      <w:r>
        <w:rPr>
          <w:rStyle w:val="default"/>
          <w:rFonts w:cs="FrankRuehl"/>
          <w:rtl/>
        </w:rPr>
        <w:t>ה</w:t>
      </w:r>
      <w:r>
        <w:rPr>
          <w:rStyle w:val="default"/>
          <w:rFonts w:cs="FrankRuehl" w:hint="cs"/>
          <w:rtl/>
        </w:rPr>
        <w:t>מסמכים שדרוש להראותם).</w:t>
      </w:r>
    </w:p>
    <w:p w14:paraId="71031724" w14:textId="77777777" w:rsidR="005A2C3E" w:rsidRDefault="005A2C3E">
      <w:pPr>
        <w:pStyle w:val="P00"/>
        <w:spacing w:before="72"/>
        <w:ind w:left="0" w:right="1134"/>
        <w:rPr>
          <w:rFonts w:cs="FrankRuehl"/>
          <w:sz w:val="26"/>
          <w:rtl/>
        </w:rPr>
      </w:pPr>
      <w:r>
        <w:rPr>
          <w:rFonts w:cs="FrankRuehl"/>
          <w:sz w:val="26"/>
          <w:rtl/>
        </w:rPr>
        <w:t>למ</w:t>
      </w:r>
    </w:p>
    <w:p w14:paraId="1E9BC6E0" w14:textId="77777777" w:rsidR="005A2C3E" w:rsidRDefault="005A2C3E">
      <w:pPr>
        <w:pStyle w:val="P00"/>
        <w:spacing w:before="72"/>
        <w:ind w:left="0" w:right="1134"/>
        <w:rPr>
          <w:rStyle w:val="default"/>
          <w:rFonts w:cs="FrankRuehl"/>
          <w:rtl/>
        </w:rPr>
      </w:pPr>
      <w:r>
        <w:rPr>
          <w:rFonts w:cs="FrankRuehl"/>
          <w:sz w:val="26"/>
          <w:rtl/>
        </w:rPr>
        <w:tab/>
      </w:r>
      <w:r>
        <w:rPr>
          <w:rStyle w:val="default"/>
          <w:rFonts w:cs="FrankRuehl"/>
          <w:rtl/>
        </w:rPr>
        <w:t>צו</w:t>
      </w:r>
      <w:r>
        <w:rPr>
          <w:rStyle w:val="default"/>
          <w:rFonts w:cs="FrankRuehl" w:hint="cs"/>
          <w:rtl/>
        </w:rPr>
        <w:t xml:space="preserve"> זה ניתן עפ"י בקשתו של</w:t>
      </w:r>
    </w:p>
    <w:p w14:paraId="59295085" w14:textId="77777777" w:rsidR="005A2C3E" w:rsidRDefault="005A2C3E">
      <w:pPr>
        <w:ind w:right="1134"/>
        <w:rPr>
          <w:rFonts w:cs="David"/>
          <w:sz w:val="24"/>
          <w:rtl/>
        </w:rPr>
      </w:pPr>
      <w:bookmarkStart w:id="27" w:name="LawPartEnd"/>
    </w:p>
    <w:bookmarkEnd w:id="27"/>
    <w:p w14:paraId="2102F3A8" w14:textId="77777777" w:rsidR="005A2C3E" w:rsidRDefault="005A2C3E">
      <w:pPr>
        <w:ind w:right="1134"/>
        <w:rPr>
          <w:rFonts w:cs="David"/>
          <w:sz w:val="24"/>
          <w:rtl/>
        </w:rPr>
      </w:pPr>
    </w:p>
    <w:sectPr w:rsidR="005A2C3E">
      <w:headerReference w:type="even" r:id="rId6"/>
      <w:headerReference w:type="default" r:id="rId7"/>
      <w:footerReference w:type="even" r:id="rId8"/>
      <w:footerReference w:type="default" r:id="rId9"/>
      <w:headerReference w:type="first" r:id="rId10"/>
      <w:footerReference w:type="firs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2A2BE" w14:textId="77777777" w:rsidR="005A2C3E" w:rsidRDefault="005A2C3E">
      <w:r>
        <w:separator/>
      </w:r>
    </w:p>
  </w:endnote>
  <w:endnote w:type="continuationSeparator" w:id="0">
    <w:p w14:paraId="779A2E57" w14:textId="77777777" w:rsidR="005A2C3E" w:rsidRDefault="005A2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05C8B" w14:textId="77777777" w:rsidR="005A2C3E" w:rsidRDefault="005A2C3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3AAFF71" w14:textId="77777777" w:rsidR="005A2C3E" w:rsidRDefault="005A2C3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2163557" w14:textId="77777777" w:rsidR="005A2C3E" w:rsidRDefault="005A2C3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M:\0a-lishca\law\gideon-03-02-13\law01\law01-a\p188_003.doc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5767D" w14:textId="77777777" w:rsidR="005A2C3E" w:rsidRDefault="005A2C3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05C5E">
      <w:rPr>
        <w:rFonts w:hAnsi="FrankRuehl" w:cs="FrankRuehl"/>
        <w:noProof/>
        <w:sz w:val="24"/>
        <w:szCs w:val="24"/>
        <w:rtl/>
      </w:rPr>
      <w:t>2</w:t>
    </w:r>
    <w:r>
      <w:rPr>
        <w:rFonts w:hAnsi="FrankRuehl" w:cs="FrankRuehl"/>
        <w:sz w:val="24"/>
        <w:szCs w:val="24"/>
        <w:rtl/>
      </w:rPr>
      <w:fldChar w:fldCharType="end"/>
    </w:r>
  </w:p>
  <w:p w14:paraId="30CF6371" w14:textId="77777777" w:rsidR="005A2C3E" w:rsidRDefault="005A2C3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F26AB36" w14:textId="77777777" w:rsidR="005A2C3E" w:rsidRDefault="005A2C3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M:\0a-lishca\law\gideon-03-02-13\law01\law01-a\p188_003.doc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381FF" w14:textId="77777777" w:rsidR="005A2C3E" w:rsidRDefault="005A2C3E">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45DE3" w14:textId="77777777" w:rsidR="005A2C3E" w:rsidRDefault="005A2C3E">
      <w:r>
        <w:separator/>
      </w:r>
    </w:p>
  </w:footnote>
  <w:footnote w:type="continuationSeparator" w:id="0">
    <w:p w14:paraId="53D12F48" w14:textId="77777777" w:rsidR="005A2C3E" w:rsidRDefault="005A2C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78280" w14:textId="77777777" w:rsidR="005A2C3E" w:rsidRDefault="005A2C3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בית דין לעניני אניות בנידון פיצויים (הגנה), 1941</w:t>
    </w:r>
  </w:p>
  <w:p w14:paraId="12D64171" w14:textId="77777777" w:rsidR="005A2C3E" w:rsidRDefault="005A2C3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09956D4" w14:textId="77777777" w:rsidR="005A2C3E" w:rsidRDefault="005A2C3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1BCDE" w14:textId="77777777" w:rsidR="005A2C3E" w:rsidRDefault="005A2C3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בית דין לעניני אניות בנידון פיצויים (הגנה), 1941</w:t>
    </w:r>
  </w:p>
  <w:p w14:paraId="04C7604D" w14:textId="77777777" w:rsidR="005A2C3E" w:rsidRDefault="005A2C3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FC620AB" w14:textId="77777777" w:rsidR="005A2C3E" w:rsidRDefault="005A2C3E">
    <w:pPr>
      <w:pStyle w:val="a3"/>
      <w:pBdr>
        <w:top w:val="single" w:sz="4" w:space="0" w:color="auto"/>
      </w:pBdr>
      <w:spacing w:line="220" w:lineRule="exact"/>
      <w:ind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E6112" w14:textId="77777777" w:rsidR="005A2C3E" w:rsidRDefault="005A2C3E">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5C5E"/>
    <w:rsid w:val="005A2C3E"/>
    <w:rsid w:val="00B05C5E"/>
    <w:rsid w:val="00F167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ECFF8C0"/>
  <w15:chartTrackingRefBased/>
  <w15:docId w15:val="{6ECC9DA7-63C9-4973-98EA-0DC32E772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2402</Words>
  <Characters>13698</Characters>
  <Application>Microsoft Office Word</Application>
  <DocSecurity>0</DocSecurity>
  <Lines>114</Lines>
  <Paragraphs>32</Paragraphs>
  <ScaleCrop>false</ScaleCrop>
  <HeadingPairs>
    <vt:vector size="2" baseType="variant">
      <vt:variant>
        <vt:lpstr>שם</vt:lpstr>
      </vt:variant>
      <vt:variant>
        <vt:i4>1</vt:i4>
      </vt:variant>
    </vt:vector>
  </HeadingPairs>
  <TitlesOfParts>
    <vt:vector size="1" baseType="lpstr">
      <vt:lpstr>פרק 188</vt:lpstr>
    </vt:vector>
  </TitlesOfParts>
  <Company/>
  <LinksUpToDate>false</LinksUpToDate>
  <CharactersWithSpaces>16068</CharactersWithSpaces>
  <SharedDoc>false</SharedDoc>
  <HLinks>
    <vt:vector size="162" baseType="variant">
      <vt:variant>
        <vt:i4>5570569</vt:i4>
      </vt:variant>
      <vt:variant>
        <vt:i4>159</vt:i4>
      </vt:variant>
      <vt:variant>
        <vt:i4>0</vt:i4>
      </vt:variant>
      <vt:variant>
        <vt:i4>5</vt:i4>
      </vt:variant>
      <vt:variant>
        <vt:lpwstr/>
      </vt:variant>
      <vt:variant>
        <vt:lpwstr>med0</vt:lpwstr>
      </vt:variant>
      <vt:variant>
        <vt:i4>3538984</vt:i4>
      </vt:variant>
      <vt:variant>
        <vt:i4>153</vt:i4>
      </vt:variant>
      <vt:variant>
        <vt:i4>0</vt:i4>
      </vt:variant>
      <vt:variant>
        <vt:i4>5</vt:i4>
      </vt:variant>
      <vt:variant>
        <vt:lpwstr/>
      </vt:variant>
      <vt:variant>
        <vt:lpwstr>Seif25</vt:lpwstr>
      </vt:variant>
      <vt:variant>
        <vt:i4>3604520</vt:i4>
      </vt:variant>
      <vt:variant>
        <vt:i4>147</vt:i4>
      </vt:variant>
      <vt:variant>
        <vt:i4>0</vt:i4>
      </vt:variant>
      <vt:variant>
        <vt:i4>5</vt:i4>
      </vt:variant>
      <vt:variant>
        <vt:lpwstr/>
      </vt:variant>
      <vt:variant>
        <vt:lpwstr>Seif24</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188</dc:title>
  <dc:subject/>
  <dc:creator>Shimon Doodkin</dc:creator>
  <cp:keywords/>
  <dc:description/>
  <cp:lastModifiedBy>Shimon Doodkin</cp:lastModifiedBy>
  <cp:revision>2</cp:revision>
  <dcterms:created xsi:type="dcterms:W3CDTF">2023-06-05T20:15:00Z</dcterms:created>
  <dcterms:modified xsi:type="dcterms:W3CDTF">2023-06-05T20:15:00Z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p188</vt:lpwstr>
  </property>
  <property fmtid="{D5CDD505-2E9C-101B-9397-08002B2CF9AE}" pid="3" name="CHNAME">
    <vt:lpwstr>פיצויים</vt:lpwstr>
  </property>
  <property fmtid="{D5CDD505-2E9C-101B-9397-08002B2CF9AE}" pid="4" name="LAWNAME">
    <vt:lpwstr>תקנות בית דין לעניני אניות בנידון פיצויים (הגנה), 1941</vt:lpwstr>
  </property>
  <property fmtid="{D5CDD505-2E9C-101B-9397-08002B2CF9AE}" pid="5" name="LAWNUMBER">
    <vt:lpwstr>0003</vt:lpwstr>
  </property>
  <property fmtid="{D5CDD505-2E9C-101B-9397-08002B2CF9AE}" pid="6" name="TYPE">
    <vt:lpwstr>01</vt:lpwstr>
  </property>
  <property fmtid="{D5CDD505-2E9C-101B-9397-08002B2CF9AE}" pid="7" name="NOSE11">
    <vt:lpwstr>בתי משפט וסדרי דין</vt:lpwstr>
  </property>
  <property fmtid="{D5CDD505-2E9C-101B-9397-08002B2CF9AE}" pid="8" name="NOSE21">
    <vt:lpwstr>בתי משפט ובתי דין</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