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11" w14:textId="77777777" w:rsidR="00E95C2C" w:rsidRDefault="00E95C2C">
      <w:pPr>
        <w:pStyle w:val="big-header"/>
        <w:ind w:left="0" w:right="1134"/>
        <w:rPr>
          <w:rFonts w:cs="FrankRuehl" w:hint="cs"/>
          <w:sz w:val="32"/>
          <w:rtl/>
        </w:rPr>
      </w:pPr>
      <w:r>
        <w:rPr>
          <w:rFonts w:cs="FrankRuehl"/>
          <w:sz w:val="32"/>
          <w:rtl/>
        </w:rPr>
        <w:t>תקנות בית משפט (החזרת החזקה בדירה לחייל), תש"ט–1949</w:t>
      </w:r>
    </w:p>
    <w:p w14:paraId="5249140F" w14:textId="77777777" w:rsidR="00C14150" w:rsidRPr="00C14150" w:rsidRDefault="00C14150" w:rsidP="00C14150">
      <w:pPr>
        <w:spacing w:line="320" w:lineRule="auto"/>
        <w:jc w:val="left"/>
        <w:rPr>
          <w:rFonts w:cs="FrankRuehl"/>
          <w:szCs w:val="26"/>
          <w:rtl/>
        </w:rPr>
      </w:pPr>
    </w:p>
    <w:p w14:paraId="589357F8" w14:textId="77777777" w:rsidR="00C14150" w:rsidRDefault="00C14150" w:rsidP="00C14150">
      <w:pPr>
        <w:spacing w:line="320" w:lineRule="auto"/>
        <w:jc w:val="left"/>
        <w:rPr>
          <w:rFonts w:cs="Miriam"/>
          <w:szCs w:val="22"/>
          <w:rtl/>
        </w:rPr>
      </w:pPr>
      <w:r w:rsidRPr="00C14150">
        <w:rPr>
          <w:rFonts w:cs="Miriam"/>
          <w:szCs w:val="22"/>
          <w:rtl/>
        </w:rPr>
        <w:t>משפט פרטי וכלכלה</w:t>
      </w:r>
      <w:r w:rsidRPr="00C14150">
        <w:rPr>
          <w:rFonts w:cs="FrankRuehl"/>
          <w:szCs w:val="26"/>
          <w:rtl/>
        </w:rPr>
        <w:t xml:space="preserve"> – קניין – שכירות והגנת הדייר</w:t>
      </w:r>
    </w:p>
    <w:p w14:paraId="27A29ABD" w14:textId="77777777" w:rsidR="00C14150" w:rsidRDefault="00C14150" w:rsidP="00C14150">
      <w:pPr>
        <w:spacing w:line="320" w:lineRule="auto"/>
        <w:jc w:val="left"/>
        <w:rPr>
          <w:rFonts w:cs="Miriam"/>
          <w:szCs w:val="22"/>
          <w:rtl/>
        </w:rPr>
      </w:pPr>
      <w:r w:rsidRPr="00C14150">
        <w:rPr>
          <w:rFonts w:cs="Miriam"/>
          <w:szCs w:val="22"/>
          <w:rtl/>
        </w:rPr>
        <w:t>בטחון</w:t>
      </w:r>
      <w:r w:rsidRPr="00C14150">
        <w:rPr>
          <w:rFonts w:cs="FrankRuehl"/>
          <w:szCs w:val="26"/>
          <w:rtl/>
        </w:rPr>
        <w:t xml:space="preserve"> – צה"ל – חיילים</w:t>
      </w:r>
    </w:p>
    <w:p w14:paraId="24170FBE" w14:textId="77777777" w:rsidR="005D3CCE" w:rsidRPr="00C14150" w:rsidRDefault="00C14150" w:rsidP="00C14150">
      <w:pPr>
        <w:spacing w:line="320" w:lineRule="auto"/>
        <w:jc w:val="left"/>
        <w:rPr>
          <w:rFonts w:cs="Miriam"/>
          <w:szCs w:val="22"/>
          <w:rtl/>
        </w:rPr>
      </w:pPr>
      <w:r w:rsidRPr="00C14150">
        <w:rPr>
          <w:rFonts w:cs="Miriam"/>
          <w:szCs w:val="22"/>
          <w:rtl/>
        </w:rPr>
        <w:t>בתי משפט וסדרי דין</w:t>
      </w:r>
      <w:r w:rsidRPr="00C14150">
        <w:rPr>
          <w:rFonts w:cs="FrankRuehl"/>
          <w:szCs w:val="26"/>
          <w:rtl/>
        </w:rPr>
        <w:t xml:space="preserve"> – סדר דין אזרחי</w:t>
      </w:r>
    </w:p>
    <w:p w14:paraId="23C39FA7" w14:textId="77777777" w:rsidR="00E95C2C" w:rsidRDefault="00E95C2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95C2C" w14:paraId="1C652452" w14:textId="77777777">
        <w:tblPrEx>
          <w:tblCellMar>
            <w:top w:w="0" w:type="dxa"/>
            <w:bottom w:w="0" w:type="dxa"/>
          </w:tblCellMar>
        </w:tblPrEx>
        <w:tc>
          <w:tcPr>
            <w:tcW w:w="850" w:type="dxa"/>
          </w:tcPr>
          <w:p w14:paraId="22D082EA" w14:textId="77777777" w:rsidR="00E95C2C" w:rsidRDefault="00E95C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43B1C28" w14:textId="77777777" w:rsidR="00E95C2C" w:rsidRDefault="00E95C2C">
            <w:pPr>
              <w:spacing w:line="240" w:lineRule="auto"/>
              <w:rPr>
                <w:sz w:val="24"/>
              </w:rPr>
            </w:pPr>
            <w:hyperlink w:anchor="Seif0" w:tooltip="תביעה להחזרת דירה לחייל" w:history="1">
              <w:r>
                <w:rPr>
                  <w:rStyle w:val="Hyperlink"/>
                </w:rPr>
                <w:t>Go</w:t>
              </w:r>
            </w:hyperlink>
          </w:p>
        </w:tc>
        <w:tc>
          <w:tcPr>
            <w:tcW w:w="5669" w:type="dxa"/>
          </w:tcPr>
          <w:p w14:paraId="5AB3F981" w14:textId="77777777" w:rsidR="00E95C2C" w:rsidRDefault="00E95C2C">
            <w:pPr>
              <w:spacing w:line="240" w:lineRule="auto"/>
              <w:rPr>
                <w:sz w:val="24"/>
                <w:rtl/>
              </w:rPr>
            </w:pPr>
            <w:r>
              <w:rPr>
                <w:sz w:val="24"/>
                <w:rtl/>
              </w:rPr>
              <w:t>תביעה להחזרת דירה לחייל</w:t>
            </w:r>
          </w:p>
        </w:tc>
        <w:tc>
          <w:tcPr>
            <w:tcW w:w="1247" w:type="dxa"/>
          </w:tcPr>
          <w:p w14:paraId="4577B4F0" w14:textId="77777777" w:rsidR="00E95C2C" w:rsidRDefault="00E95C2C">
            <w:pPr>
              <w:spacing w:line="240" w:lineRule="auto"/>
              <w:rPr>
                <w:sz w:val="24"/>
              </w:rPr>
            </w:pPr>
            <w:r>
              <w:rPr>
                <w:sz w:val="24"/>
                <w:rtl/>
              </w:rPr>
              <w:t xml:space="preserve">סעיף 1 </w:t>
            </w:r>
          </w:p>
        </w:tc>
      </w:tr>
      <w:tr w:rsidR="00E95C2C" w14:paraId="173C9C01" w14:textId="77777777">
        <w:tblPrEx>
          <w:tblCellMar>
            <w:top w:w="0" w:type="dxa"/>
            <w:bottom w:w="0" w:type="dxa"/>
          </w:tblCellMar>
        </w:tblPrEx>
        <w:tc>
          <w:tcPr>
            <w:tcW w:w="850" w:type="dxa"/>
          </w:tcPr>
          <w:p w14:paraId="6F2F1C0D" w14:textId="77777777" w:rsidR="00E95C2C" w:rsidRDefault="00E95C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D541CC0" w14:textId="77777777" w:rsidR="00E95C2C" w:rsidRDefault="00E95C2C">
            <w:pPr>
              <w:spacing w:line="240" w:lineRule="auto"/>
              <w:rPr>
                <w:sz w:val="24"/>
              </w:rPr>
            </w:pPr>
            <w:hyperlink w:anchor="Seif1" w:tooltip="ערעור על פסק דין" w:history="1">
              <w:r>
                <w:rPr>
                  <w:rStyle w:val="Hyperlink"/>
                </w:rPr>
                <w:t>Go</w:t>
              </w:r>
            </w:hyperlink>
          </w:p>
        </w:tc>
        <w:tc>
          <w:tcPr>
            <w:tcW w:w="5669" w:type="dxa"/>
          </w:tcPr>
          <w:p w14:paraId="1EDFDFAC" w14:textId="77777777" w:rsidR="00E95C2C" w:rsidRDefault="00E95C2C">
            <w:pPr>
              <w:spacing w:line="240" w:lineRule="auto"/>
              <w:rPr>
                <w:sz w:val="24"/>
                <w:rtl/>
              </w:rPr>
            </w:pPr>
            <w:r>
              <w:rPr>
                <w:sz w:val="24"/>
                <w:rtl/>
              </w:rPr>
              <w:t>ערעור על פסק דין</w:t>
            </w:r>
          </w:p>
        </w:tc>
        <w:tc>
          <w:tcPr>
            <w:tcW w:w="1247" w:type="dxa"/>
          </w:tcPr>
          <w:p w14:paraId="0D948EF2" w14:textId="77777777" w:rsidR="00E95C2C" w:rsidRDefault="00E95C2C">
            <w:pPr>
              <w:spacing w:line="240" w:lineRule="auto"/>
              <w:rPr>
                <w:sz w:val="24"/>
              </w:rPr>
            </w:pPr>
            <w:r>
              <w:rPr>
                <w:sz w:val="24"/>
                <w:rtl/>
              </w:rPr>
              <w:t xml:space="preserve">סעיף 2 </w:t>
            </w:r>
          </w:p>
        </w:tc>
      </w:tr>
      <w:tr w:rsidR="00E95C2C" w14:paraId="7C1D4156" w14:textId="77777777">
        <w:tblPrEx>
          <w:tblCellMar>
            <w:top w:w="0" w:type="dxa"/>
            <w:bottom w:w="0" w:type="dxa"/>
          </w:tblCellMar>
        </w:tblPrEx>
        <w:tc>
          <w:tcPr>
            <w:tcW w:w="850" w:type="dxa"/>
          </w:tcPr>
          <w:p w14:paraId="0B398DC9" w14:textId="77777777" w:rsidR="00E95C2C" w:rsidRDefault="00E95C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A010D12" w14:textId="77777777" w:rsidR="00E95C2C" w:rsidRDefault="00E95C2C">
            <w:pPr>
              <w:spacing w:line="240" w:lineRule="auto"/>
              <w:rPr>
                <w:sz w:val="24"/>
              </w:rPr>
            </w:pPr>
            <w:hyperlink w:anchor="Seif2" w:tooltip="השם" w:history="1">
              <w:r>
                <w:rPr>
                  <w:rStyle w:val="Hyperlink"/>
                </w:rPr>
                <w:t>Go</w:t>
              </w:r>
            </w:hyperlink>
          </w:p>
        </w:tc>
        <w:tc>
          <w:tcPr>
            <w:tcW w:w="5669" w:type="dxa"/>
          </w:tcPr>
          <w:p w14:paraId="555F3617" w14:textId="77777777" w:rsidR="00E95C2C" w:rsidRDefault="00E95C2C">
            <w:pPr>
              <w:spacing w:line="240" w:lineRule="auto"/>
              <w:rPr>
                <w:sz w:val="24"/>
                <w:rtl/>
              </w:rPr>
            </w:pPr>
            <w:r>
              <w:rPr>
                <w:sz w:val="24"/>
                <w:rtl/>
              </w:rPr>
              <w:t>השם</w:t>
            </w:r>
          </w:p>
        </w:tc>
        <w:tc>
          <w:tcPr>
            <w:tcW w:w="1247" w:type="dxa"/>
          </w:tcPr>
          <w:p w14:paraId="40AB064B" w14:textId="77777777" w:rsidR="00E95C2C" w:rsidRDefault="00E95C2C">
            <w:pPr>
              <w:spacing w:line="240" w:lineRule="auto"/>
              <w:rPr>
                <w:sz w:val="24"/>
              </w:rPr>
            </w:pPr>
            <w:r>
              <w:rPr>
                <w:sz w:val="24"/>
                <w:rtl/>
              </w:rPr>
              <w:t xml:space="preserve">סעיף 3 </w:t>
            </w:r>
          </w:p>
        </w:tc>
      </w:tr>
    </w:tbl>
    <w:p w14:paraId="09607522" w14:textId="77777777" w:rsidR="00E95C2C" w:rsidRDefault="00E95C2C">
      <w:pPr>
        <w:pStyle w:val="big-header"/>
        <w:ind w:left="0" w:right="1134"/>
        <w:rPr>
          <w:rFonts w:cs="FrankRuehl"/>
          <w:sz w:val="32"/>
          <w:rtl/>
        </w:rPr>
      </w:pPr>
    </w:p>
    <w:p w14:paraId="547A5A9D" w14:textId="77777777" w:rsidR="00E95C2C" w:rsidRPr="005D3CCE" w:rsidRDefault="00E95C2C" w:rsidP="005D3CCE">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בית משפט (החזרת החזקה בדירה לחייל), תש"ט</w:t>
      </w:r>
      <w:r>
        <w:rPr>
          <w:rFonts w:cs="FrankRuehl"/>
          <w:sz w:val="32"/>
          <w:rtl/>
        </w:rPr>
        <w:t>–1949</w:t>
      </w:r>
      <w:r>
        <w:rPr>
          <w:rStyle w:val="super"/>
          <w:rFonts w:cs="Miriam"/>
          <w:noProof w:val="0"/>
          <w:rtl/>
          <w:lang w:eastAsia="he-IL"/>
        </w:rPr>
        <w:t>(10)</w:t>
      </w:r>
    </w:p>
    <w:p w14:paraId="74F31AE3"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9 לחוק הגנת החייל (דירה), תש"ט</w:t>
      </w:r>
      <w:r>
        <w:rPr>
          <w:rStyle w:val="default"/>
          <w:rFonts w:cs="FrankRuehl"/>
          <w:rtl/>
        </w:rPr>
        <w:t xml:space="preserve">–1949, </w:t>
      </w:r>
      <w:r>
        <w:rPr>
          <w:rStyle w:val="default"/>
          <w:rFonts w:cs="FrankRuehl" w:hint="cs"/>
          <w:rtl/>
        </w:rPr>
        <w:t xml:space="preserve">וסעיף 22 לפקודת בתי המשפט, 1940, אני מתקין בזה תקנות בית משפט אלה: </w:t>
      </w:r>
    </w:p>
    <w:p w14:paraId="2D5B7F36" w14:textId="77777777" w:rsidR="00E95C2C" w:rsidRDefault="00E95C2C">
      <w:pPr>
        <w:pStyle w:val="P00"/>
        <w:spacing w:before="72"/>
        <w:ind w:left="0" w:right="1134"/>
        <w:rPr>
          <w:rStyle w:val="default"/>
          <w:rFonts w:cs="FrankRuehl"/>
          <w:rtl/>
        </w:rPr>
      </w:pPr>
      <w:bookmarkStart w:id="0" w:name="Seif0"/>
      <w:bookmarkEnd w:id="0"/>
      <w:r>
        <w:rPr>
          <w:lang w:val="he-IL"/>
        </w:rPr>
        <w:pict w14:anchorId="503698A1">
          <v:rect id="_x0000_s1026" style="position:absolute;left:0;text-align:left;margin-left:464.5pt;margin-top:8.05pt;width:75.05pt;height:16pt;z-index:251656704" o:allowincell="f" filled="f" stroked="f" strokecolor="lime" strokeweight=".25pt">
            <v:textbox inset="0,0,0,0">
              <w:txbxContent>
                <w:p w14:paraId="43F58090" w14:textId="77777777" w:rsidR="00E95C2C" w:rsidRDefault="00E95C2C">
                  <w:pPr>
                    <w:spacing w:line="160" w:lineRule="exact"/>
                    <w:jc w:val="left"/>
                    <w:rPr>
                      <w:rFonts w:cs="Miriam"/>
                      <w:noProof/>
                      <w:sz w:val="18"/>
                      <w:szCs w:val="18"/>
                      <w:rtl/>
                    </w:rPr>
                  </w:pPr>
                  <w:r>
                    <w:rPr>
                      <w:rFonts w:cs="Miriam"/>
                      <w:sz w:val="18"/>
                      <w:szCs w:val="18"/>
                      <w:rtl/>
                    </w:rPr>
                    <w:t>תב</w:t>
                  </w:r>
                  <w:r>
                    <w:rPr>
                      <w:rFonts w:cs="Miriam" w:hint="cs"/>
                      <w:sz w:val="18"/>
                      <w:szCs w:val="18"/>
                      <w:rtl/>
                    </w:rPr>
                    <w:t>יעה להחזרת</w:t>
                  </w:r>
                </w:p>
                <w:p w14:paraId="3C51E96E" w14:textId="77777777" w:rsidR="00E95C2C" w:rsidRDefault="00E95C2C">
                  <w:pPr>
                    <w:spacing w:line="160" w:lineRule="exact"/>
                    <w:jc w:val="left"/>
                    <w:rPr>
                      <w:rFonts w:cs="Miriam"/>
                      <w:noProof/>
                      <w:sz w:val="18"/>
                      <w:szCs w:val="18"/>
                      <w:rtl/>
                    </w:rPr>
                  </w:pPr>
                  <w:r>
                    <w:rPr>
                      <w:rFonts w:cs="Miriam"/>
                      <w:sz w:val="18"/>
                      <w:szCs w:val="18"/>
                      <w:rtl/>
                    </w:rPr>
                    <w:t>די</w:t>
                  </w:r>
                  <w:r>
                    <w:rPr>
                      <w:rFonts w:cs="Miriam" w:hint="cs"/>
                      <w:sz w:val="18"/>
                      <w:szCs w:val="18"/>
                      <w:rtl/>
                    </w:rPr>
                    <w:t>רה לחייל</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ביעה להחזרת </w:t>
      </w:r>
      <w:r>
        <w:rPr>
          <w:rStyle w:val="default"/>
          <w:rFonts w:cs="FrankRuehl"/>
          <w:rtl/>
        </w:rPr>
        <w:t>ה</w:t>
      </w:r>
      <w:r>
        <w:rPr>
          <w:rStyle w:val="default"/>
          <w:rFonts w:cs="FrankRuehl" w:hint="cs"/>
          <w:rtl/>
        </w:rPr>
        <w:t>חזקה בדירה לחייל לפי חוק הגנת החיי</w:t>
      </w:r>
      <w:r>
        <w:rPr>
          <w:rStyle w:val="default"/>
          <w:rFonts w:cs="FrankRuehl"/>
          <w:rtl/>
        </w:rPr>
        <w:t>ל (</w:t>
      </w:r>
      <w:r>
        <w:rPr>
          <w:rStyle w:val="default"/>
          <w:rFonts w:cs="FrankRuehl" w:hint="cs"/>
          <w:rtl/>
        </w:rPr>
        <w:t>דירה), תש"ט</w:t>
      </w:r>
      <w:r>
        <w:rPr>
          <w:rStyle w:val="default"/>
          <w:rFonts w:cs="FrankRuehl"/>
          <w:rtl/>
        </w:rPr>
        <w:t xml:space="preserve">–1949, </w:t>
      </w:r>
      <w:r>
        <w:rPr>
          <w:rStyle w:val="default"/>
          <w:rFonts w:cs="FrankRuehl" w:hint="cs"/>
          <w:rtl/>
        </w:rPr>
        <w:t xml:space="preserve">יחולו </w:t>
      </w:r>
      <w:r>
        <w:rPr>
          <w:rStyle w:val="default"/>
          <w:rFonts w:cs="FrankRuehl"/>
          <w:rtl/>
        </w:rPr>
        <w:t xml:space="preserve">— </w:t>
      </w:r>
      <w:r>
        <w:rPr>
          <w:rStyle w:val="default"/>
          <w:rFonts w:cs="FrankRuehl" w:hint="cs"/>
          <w:rtl/>
        </w:rPr>
        <w:t xml:space="preserve">במידה שלא שונו על ידי החוק האמור </w:t>
      </w:r>
      <w:r>
        <w:rPr>
          <w:rStyle w:val="default"/>
          <w:rFonts w:cs="FrankRuehl"/>
          <w:rtl/>
        </w:rPr>
        <w:t xml:space="preserve">— </w:t>
      </w:r>
      <w:r>
        <w:rPr>
          <w:rStyle w:val="default"/>
          <w:rFonts w:cs="FrankRuehl" w:hint="cs"/>
          <w:rtl/>
        </w:rPr>
        <w:t xml:space="preserve">הנוהג וסדרי הדין של בתי משפט שלום, בשינויים אלה: </w:t>
      </w:r>
    </w:p>
    <w:p w14:paraId="2A2C0120"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הזמנה לנתבע לפי תקנה 7(2) לתקנות הפרוצדורה בתי משפט השלום, 1940, יינתן זמן להתייצבות לא פחות מעשרה ימ</w:t>
      </w:r>
      <w:r>
        <w:rPr>
          <w:rStyle w:val="default"/>
          <w:rFonts w:cs="FrankRuehl"/>
          <w:rtl/>
        </w:rPr>
        <w:t>י</w:t>
      </w:r>
      <w:r>
        <w:rPr>
          <w:rStyle w:val="default"/>
          <w:rFonts w:cs="FrankRuehl" w:hint="cs"/>
          <w:rtl/>
        </w:rPr>
        <w:t>ם מיום הוצאת ההזמנה, ולהגשת הגנה ב</w:t>
      </w:r>
      <w:r>
        <w:rPr>
          <w:rStyle w:val="default"/>
          <w:rFonts w:cs="FrankRuehl"/>
          <w:rtl/>
        </w:rPr>
        <w:t>כת</w:t>
      </w:r>
      <w:r>
        <w:rPr>
          <w:rStyle w:val="default"/>
          <w:rFonts w:cs="FrankRuehl" w:hint="cs"/>
          <w:rtl/>
        </w:rPr>
        <w:t xml:space="preserve">ב כתשובה לתביעה לא פחות מחמשה ימים מיום מסירת ההזמנה. </w:t>
      </w:r>
    </w:p>
    <w:p w14:paraId="7533FF8A"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נתבע חייב להגיש את כתב ההגנה לפי תקנה 69 לתקנות האמורות תוך חמשה ימים מיום שנמסרה לו פרשת התביעה, או תוך זמן אחר שיורה בית המשפט בהתאם לסמכויותיו המסורות לו.</w:t>
      </w:r>
    </w:p>
    <w:p w14:paraId="66DF45F2"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תקופה הקבועה בתקנה 163 לתקנות</w:t>
      </w:r>
      <w:r>
        <w:rPr>
          <w:rStyle w:val="default"/>
          <w:rFonts w:cs="FrankRuehl"/>
          <w:rtl/>
        </w:rPr>
        <w:t xml:space="preserve"> ה</w:t>
      </w:r>
      <w:r>
        <w:rPr>
          <w:rStyle w:val="default"/>
          <w:rFonts w:cs="FrankRuehl" w:hint="cs"/>
          <w:rtl/>
        </w:rPr>
        <w:t xml:space="preserve">אמורות להגשת בקשה לביטול פסק דין או צו שניתנו על יסוד טענותיו של צד אחד בלבד, או כשצד אחד לא התייצב או לא השמיע טענות, תהיה עשרה ימים מיום מסירת פסק הדין או הצו. </w:t>
      </w:r>
    </w:p>
    <w:p w14:paraId="1E8B35A6" w14:textId="77777777" w:rsidR="00E95C2C" w:rsidRDefault="00E95C2C">
      <w:pPr>
        <w:pStyle w:val="P00"/>
        <w:spacing w:before="72"/>
        <w:ind w:left="0" w:right="1134"/>
        <w:rPr>
          <w:rStyle w:val="default"/>
          <w:rFonts w:cs="FrankRuehl"/>
          <w:rtl/>
        </w:rPr>
      </w:pPr>
      <w:bookmarkStart w:id="1" w:name="Seif1"/>
      <w:bookmarkEnd w:id="1"/>
      <w:r>
        <w:rPr>
          <w:lang w:val="he-IL"/>
        </w:rPr>
        <w:pict w14:anchorId="598A2DFB">
          <v:rect id="_x0000_s1027" style="position:absolute;left:0;text-align:left;margin-left:464.5pt;margin-top:8.05pt;width:75.05pt;height:16pt;z-index:251657728" o:allowincell="f" filled="f" stroked="f" strokecolor="lime" strokeweight=".25pt">
            <v:textbox inset="0,0,0,0">
              <w:txbxContent>
                <w:p w14:paraId="7DC04561" w14:textId="77777777" w:rsidR="00E95C2C" w:rsidRDefault="00E95C2C">
                  <w:pPr>
                    <w:spacing w:line="160" w:lineRule="exact"/>
                    <w:jc w:val="left"/>
                    <w:rPr>
                      <w:rFonts w:cs="Miriam"/>
                      <w:noProof/>
                      <w:sz w:val="18"/>
                      <w:szCs w:val="18"/>
                      <w:rtl/>
                    </w:rPr>
                  </w:pPr>
                  <w:r>
                    <w:rPr>
                      <w:rFonts w:cs="Miriam"/>
                      <w:sz w:val="18"/>
                      <w:szCs w:val="18"/>
                      <w:rtl/>
                    </w:rPr>
                    <w:t>ער</w:t>
                  </w:r>
                  <w:r>
                    <w:rPr>
                      <w:rFonts w:cs="Miriam" w:hint="cs"/>
                      <w:sz w:val="18"/>
                      <w:szCs w:val="18"/>
                      <w:rtl/>
                    </w:rPr>
                    <w:t>עור על</w:t>
                  </w:r>
                </w:p>
                <w:p w14:paraId="54329D96" w14:textId="77777777" w:rsidR="00E95C2C" w:rsidRDefault="00E95C2C">
                  <w:pPr>
                    <w:spacing w:line="160" w:lineRule="exact"/>
                    <w:jc w:val="left"/>
                    <w:rPr>
                      <w:rFonts w:cs="Miriam"/>
                      <w:noProof/>
                      <w:sz w:val="18"/>
                      <w:szCs w:val="18"/>
                      <w:rtl/>
                    </w:rPr>
                  </w:pPr>
                  <w:r>
                    <w:rPr>
                      <w:rFonts w:cs="Miriam"/>
                      <w:sz w:val="18"/>
                      <w:szCs w:val="18"/>
                      <w:rtl/>
                    </w:rPr>
                    <w:t>פס</w:t>
                  </w:r>
                  <w:r>
                    <w:rPr>
                      <w:rFonts w:cs="Miriam" w:hint="cs"/>
                      <w:sz w:val="18"/>
                      <w:szCs w:val="18"/>
                      <w:rtl/>
                    </w:rPr>
                    <w:t>ק דין</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רעור על פסק דין שניתן ע"י בית מ</w:t>
      </w:r>
      <w:r>
        <w:rPr>
          <w:rStyle w:val="default"/>
          <w:rFonts w:cs="FrankRuehl"/>
          <w:rtl/>
        </w:rPr>
        <w:t>ש</w:t>
      </w:r>
      <w:r>
        <w:rPr>
          <w:rStyle w:val="default"/>
          <w:rFonts w:cs="FrankRuehl" w:hint="cs"/>
          <w:rtl/>
        </w:rPr>
        <w:t xml:space="preserve">פט שלום בתביעה כאמור בתקנה 1, </w:t>
      </w:r>
      <w:r>
        <w:rPr>
          <w:rStyle w:val="default"/>
          <w:rFonts w:cs="FrankRuehl"/>
          <w:rtl/>
        </w:rPr>
        <w:t xml:space="preserve">— </w:t>
      </w:r>
      <w:r>
        <w:rPr>
          <w:rStyle w:val="default"/>
          <w:rFonts w:cs="FrankRuehl" w:hint="cs"/>
          <w:rtl/>
        </w:rPr>
        <w:t>יחולו הנוהג וסדרי הדי</w:t>
      </w:r>
      <w:r>
        <w:rPr>
          <w:rStyle w:val="default"/>
          <w:rFonts w:cs="FrankRuehl"/>
          <w:rtl/>
        </w:rPr>
        <w:t xml:space="preserve">ן </w:t>
      </w:r>
      <w:r>
        <w:rPr>
          <w:rStyle w:val="default"/>
          <w:rFonts w:cs="FrankRuehl" w:hint="cs"/>
          <w:rtl/>
        </w:rPr>
        <w:t>הנהוגים בערעור לבית משפט מחוזי, בשינויים אלה:</w:t>
      </w:r>
    </w:p>
    <w:p w14:paraId="5D95E7E3"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תקופה להגשת הודעת ערעור לפי סעיף 16(1) לפקודת שיפוט בתי משפט השלום, 1947, תהיה עשרה ימים מיום פסק הדין, אם ניתן בפני המערער, או מיום שהודיעו לו את פ</w:t>
      </w:r>
      <w:r>
        <w:rPr>
          <w:rStyle w:val="default"/>
          <w:rFonts w:cs="FrankRuehl"/>
          <w:rtl/>
        </w:rPr>
        <w:t>ס</w:t>
      </w:r>
      <w:r>
        <w:rPr>
          <w:rStyle w:val="default"/>
          <w:rFonts w:cs="FrankRuehl" w:hint="cs"/>
          <w:rtl/>
        </w:rPr>
        <w:t xml:space="preserve">ק הדין שלא בפניו, ואולם רשאי המערער להגיש ערעור לפני </w:t>
      </w:r>
      <w:r>
        <w:rPr>
          <w:rStyle w:val="default"/>
          <w:rFonts w:cs="FrankRuehl"/>
          <w:rtl/>
        </w:rPr>
        <w:t>שנ</w:t>
      </w:r>
      <w:r>
        <w:rPr>
          <w:rStyle w:val="default"/>
          <w:rFonts w:cs="FrankRuehl" w:hint="cs"/>
          <w:rtl/>
        </w:rPr>
        <w:t>מסרה לו הודעה כזו.</w:t>
      </w:r>
    </w:p>
    <w:p w14:paraId="5AEDCD59" w14:textId="77777777" w:rsidR="00E95C2C" w:rsidRDefault="00E95C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קשה לפי תקנה 331 לתקנות הפרוצדורה האזרחית, 1938, למתן צו לעכב את פעולות ההוצאה לפועל בקשר עם ערעור, תוגש לבית המשפט שמערערים על פסק דינו ואין להגישה לשום בית משפט אחר. </w:t>
      </w:r>
    </w:p>
    <w:p w14:paraId="6FEBC006" w14:textId="77777777" w:rsidR="00E95C2C" w:rsidRDefault="00E95C2C">
      <w:pPr>
        <w:pStyle w:val="P00"/>
        <w:spacing w:before="72"/>
        <w:ind w:left="0" w:right="1134"/>
        <w:rPr>
          <w:rStyle w:val="default"/>
          <w:rFonts w:cs="FrankRuehl"/>
          <w:rtl/>
        </w:rPr>
      </w:pPr>
      <w:bookmarkStart w:id="2" w:name="Seif2"/>
      <w:bookmarkEnd w:id="2"/>
      <w:r>
        <w:rPr>
          <w:lang w:val="he-IL"/>
        </w:rPr>
        <w:pict w14:anchorId="2512D9B1">
          <v:rect id="_x0000_s1028" style="position:absolute;left:0;text-align:left;margin-left:464.5pt;margin-top:8.05pt;width:75.05pt;height:8pt;z-index:251658752" o:allowincell="f" filled="f" stroked="f" strokecolor="lime" strokeweight=".25pt">
            <v:textbox inset="0,0,0,0">
              <w:txbxContent>
                <w:p w14:paraId="54747BE0" w14:textId="77777777" w:rsidR="00E95C2C" w:rsidRDefault="00E95C2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לת</w:t>
      </w:r>
      <w:r>
        <w:rPr>
          <w:rStyle w:val="default"/>
          <w:rFonts w:cs="FrankRuehl" w:hint="cs"/>
          <w:rtl/>
        </w:rPr>
        <w:t>קנות אלה ייקרא "תקנות בית משפט (החזרת החזקה בדירה לחייל), תש"ט</w:t>
      </w:r>
      <w:r>
        <w:rPr>
          <w:rStyle w:val="default"/>
          <w:rFonts w:cs="FrankRuehl"/>
          <w:rtl/>
        </w:rPr>
        <w:t>–1949".</w:t>
      </w:r>
    </w:p>
    <w:p w14:paraId="42328736" w14:textId="77777777" w:rsidR="00E95C2C" w:rsidRDefault="00E95C2C">
      <w:pPr>
        <w:pStyle w:val="P00"/>
        <w:spacing w:before="72"/>
        <w:ind w:left="0" w:right="1134"/>
        <w:rPr>
          <w:rStyle w:val="default"/>
          <w:rFonts w:cs="FrankRuehl"/>
          <w:rtl/>
        </w:rPr>
      </w:pPr>
    </w:p>
    <w:p w14:paraId="277A0526" w14:textId="77777777" w:rsidR="00E95C2C" w:rsidRDefault="00E95C2C">
      <w:pPr>
        <w:pStyle w:val="sig-0"/>
        <w:ind w:left="0" w:right="1134"/>
        <w:rPr>
          <w:rFonts w:cs="FrankRuehl"/>
          <w:sz w:val="26"/>
          <w:rtl/>
        </w:rPr>
      </w:pPr>
      <w:r>
        <w:rPr>
          <w:rFonts w:cs="FrankRuehl"/>
          <w:sz w:val="26"/>
          <w:rtl/>
        </w:rPr>
        <w:t>י"</w:t>
      </w:r>
      <w:r>
        <w:rPr>
          <w:rFonts w:cs="FrankRuehl" w:hint="cs"/>
          <w:sz w:val="26"/>
          <w:rtl/>
        </w:rPr>
        <w:t>ג בתמוז תש"ט (10 ביולי 1949)</w:t>
      </w:r>
      <w:r>
        <w:rPr>
          <w:rFonts w:cs="FrankRuehl"/>
          <w:sz w:val="26"/>
          <w:rtl/>
        </w:rPr>
        <w:tab/>
        <w:t>פ</w:t>
      </w:r>
      <w:r>
        <w:rPr>
          <w:rFonts w:cs="FrankRuehl" w:hint="cs"/>
          <w:sz w:val="26"/>
          <w:rtl/>
        </w:rPr>
        <w:t>ליכס רוזנבליט</w:t>
      </w:r>
    </w:p>
    <w:p w14:paraId="0F24572D" w14:textId="77777777" w:rsidR="00E95C2C" w:rsidRDefault="00E95C2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0031210F" w14:textId="77777777" w:rsidR="00E95C2C" w:rsidRDefault="00E95C2C">
      <w:pPr>
        <w:ind w:right="1134"/>
        <w:rPr>
          <w:rFonts w:cs="David"/>
          <w:sz w:val="24"/>
          <w:rtl/>
        </w:rPr>
      </w:pPr>
      <w:bookmarkStart w:id="3" w:name="LawPartEnd"/>
    </w:p>
    <w:bookmarkEnd w:id="3"/>
    <w:p w14:paraId="77CDE967" w14:textId="77777777" w:rsidR="00E6251B" w:rsidRDefault="00E6251B" w:rsidP="00E6251B">
      <w:pPr>
        <w:pStyle w:val="P00"/>
        <w:spacing w:before="72"/>
        <w:ind w:left="0" w:right="1134"/>
        <w:rPr>
          <w:rFonts w:cs="FrankRuehl"/>
          <w:sz w:val="26"/>
          <w:rtl/>
        </w:rPr>
      </w:pPr>
      <w:r>
        <w:rPr>
          <w:rFonts w:cs="FrankRuehl"/>
          <w:sz w:val="26"/>
          <w:rtl/>
        </w:rPr>
        <w:t>------------</w:t>
      </w:r>
    </w:p>
    <w:p w14:paraId="31801406" w14:textId="77777777" w:rsidR="00E6251B" w:rsidRDefault="00E6251B" w:rsidP="00E625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(10)</w:t>
      </w:r>
      <w:r>
        <w:rPr>
          <w:rFonts w:cs="FrankRuehl"/>
          <w:rtl/>
        </w:rPr>
        <w:t> </w:t>
      </w:r>
      <w:r>
        <w:rPr>
          <w:rFonts w:cs="FrankRuehl"/>
          <w:rtl/>
        </w:rPr>
        <w:t>פו</w:t>
      </w:r>
      <w:r>
        <w:rPr>
          <w:rFonts w:cs="FrankRuehl" w:hint="cs"/>
          <w:rtl/>
        </w:rPr>
        <w:t xml:space="preserve">רסמו </w:t>
      </w:r>
      <w:hyperlink r:id="rId6" w:history="1">
        <w:r w:rsidRPr="00E6251B">
          <w:rPr>
            <w:rStyle w:val="Hyperlink"/>
            <w:rFonts w:cs="FrankRuehl" w:hint="cs"/>
            <w:rtl/>
          </w:rPr>
          <w:t>ק"ת תש"ט מס' 25</w:t>
        </w:r>
      </w:hyperlink>
      <w:r>
        <w:rPr>
          <w:rFonts w:cs="FrankRuehl" w:hint="cs"/>
          <w:rtl/>
        </w:rPr>
        <w:t xml:space="preserve"> מיום 13.</w:t>
      </w:r>
      <w:r>
        <w:rPr>
          <w:rFonts w:cs="FrankRuehl"/>
          <w:rtl/>
        </w:rPr>
        <w:t>7.1949 ע</w:t>
      </w:r>
      <w:r>
        <w:rPr>
          <w:rFonts w:cs="FrankRuehl" w:hint="cs"/>
          <w:rtl/>
        </w:rPr>
        <w:t xml:space="preserve">מ' 302. </w:t>
      </w:r>
    </w:p>
    <w:p w14:paraId="198CF8EF" w14:textId="77777777" w:rsidR="00E95C2C" w:rsidRDefault="00E95C2C">
      <w:pPr>
        <w:ind w:right="1134"/>
        <w:rPr>
          <w:rFonts w:cs="David"/>
          <w:sz w:val="24"/>
          <w:rtl/>
        </w:rPr>
      </w:pPr>
    </w:p>
    <w:sectPr w:rsidR="00E95C2C">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A97D" w14:textId="77777777" w:rsidR="00962FB5" w:rsidRDefault="00962FB5">
      <w:r>
        <w:separator/>
      </w:r>
    </w:p>
  </w:endnote>
  <w:endnote w:type="continuationSeparator" w:id="0">
    <w:p w14:paraId="7E933AFA" w14:textId="77777777" w:rsidR="00962FB5" w:rsidRDefault="0096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532A" w14:textId="77777777" w:rsidR="00E95C2C" w:rsidRDefault="00E95C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4C3ADD" w14:textId="77777777" w:rsidR="00E95C2C" w:rsidRDefault="00E95C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7B0A7F" w14:textId="77777777" w:rsidR="00E95C2C" w:rsidRDefault="00E95C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M:\0a-lishca\law\gideon-03-02-13\law01\085_010.doc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3174" w14:textId="77777777" w:rsidR="00E95C2C" w:rsidRDefault="00E95C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1D46">
      <w:rPr>
        <w:rFonts w:hAnsi="FrankRuehl" w:cs="FrankRuehl"/>
        <w:noProof/>
        <w:sz w:val="24"/>
        <w:szCs w:val="24"/>
        <w:rtl/>
      </w:rPr>
      <w:t>2</w:t>
    </w:r>
    <w:r>
      <w:rPr>
        <w:rFonts w:hAnsi="FrankRuehl" w:cs="FrankRuehl"/>
        <w:sz w:val="24"/>
        <w:szCs w:val="24"/>
        <w:rtl/>
      </w:rPr>
      <w:fldChar w:fldCharType="end"/>
    </w:r>
  </w:p>
  <w:p w14:paraId="285AFF3E" w14:textId="77777777" w:rsidR="00E95C2C" w:rsidRDefault="00E95C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FEA7AB" w14:textId="77777777" w:rsidR="00E95C2C" w:rsidRDefault="00E95C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M:\0a-lishca\law\gideon-03-02-13\law01\085_010.doc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9F8A" w14:textId="77777777" w:rsidR="00E95C2C" w:rsidRDefault="00E95C2C">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172B" w14:textId="77777777" w:rsidR="00962FB5" w:rsidRDefault="00962FB5">
      <w:r>
        <w:separator/>
      </w:r>
    </w:p>
  </w:footnote>
  <w:footnote w:type="continuationSeparator" w:id="0">
    <w:p w14:paraId="287665E0" w14:textId="77777777" w:rsidR="00962FB5" w:rsidRDefault="0096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60E1" w14:textId="77777777" w:rsidR="00E95C2C" w:rsidRDefault="00E95C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משפט (החזרת החזקה בדירה לחייל), תש"ט–1949</w:t>
    </w:r>
  </w:p>
  <w:p w14:paraId="698972EC" w14:textId="77777777" w:rsidR="00E95C2C" w:rsidRDefault="00E95C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0ACA1C" w14:textId="77777777" w:rsidR="00E95C2C" w:rsidRDefault="00E95C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B725" w14:textId="77777777" w:rsidR="00E95C2C" w:rsidRDefault="00E95C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משפט (החזרת החזקה בדירה לחייל), תש"ט–1949</w:t>
    </w:r>
  </w:p>
  <w:p w14:paraId="6A0BB92A" w14:textId="77777777" w:rsidR="00E95C2C" w:rsidRDefault="00E95C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CB7F56" w14:textId="77777777" w:rsidR="00E95C2C" w:rsidRDefault="00E95C2C">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C625" w14:textId="77777777" w:rsidR="00E95C2C" w:rsidRDefault="00E95C2C">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251B"/>
    <w:rsid w:val="000E1D46"/>
    <w:rsid w:val="005D3CCE"/>
    <w:rsid w:val="00764C38"/>
    <w:rsid w:val="008F0423"/>
    <w:rsid w:val="00910317"/>
    <w:rsid w:val="00962FB5"/>
    <w:rsid w:val="00C14150"/>
    <w:rsid w:val="00E6251B"/>
    <w:rsid w:val="00E95C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C2B6C0"/>
  <w15:chartTrackingRefBased/>
  <w15:docId w15:val="{DD709902-FAF3-4FBA-8C1B-7E28C296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025.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85</vt:lpstr>
    </vt:vector>
  </TitlesOfParts>
  <Company/>
  <LinksUpToDate>false</LinksUpToDate>
  <CharactersWithSpaces>2177</CharactersWithSpaces>
  <SharedDoc>false</SharedDoc>
  <HLinks>
    <vt:vector size="24" baseType="variant">
      <vt:variant>
        <vt:i4>8060941</vt:i4>
      </vt:variant>
      <vt:variant>
        <vt:i4>18</vt:i4>
      </vt:variant>
      <vt:variant>
        <vt:i4>0</vt:i4>
      </vt:variant>
      <vt:variant>
        <vt:i4>5</vt:i4>
      </vt:variant>
      <vt:variant>
        <vt:lpwstr>http://www.nevo.co.il/Law_word/law06/TAK-0025.pdf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85</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0085</vt:lpwstr>
  </property>
  <property fmtid="{D5CDD505-2E9C-101B-9397-08002B2CF9AE}" pid="3" name="CHNAME">
    <vt:lpwstr>הגנת הדייר</vt:lpwstr>
  </property>
  <property fmtid="{D5CDD505-2E9C-101B-9397-08002B2CF9AE}" pid="4" name="LAWNAME">
    <vt:lpwstr>תקנות בית משפט (החזרת החזקה בדירה לחייל), תש"ט–1949</vt:lpwstr>
  </property>
  <property fmtid="{D5CDD505-2E9C-101B-9397-08002B2CF9AE}" pid="5" name="LAWNUMBER">
    <vt:lpwstr>0010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שכירות והגנת הדייר</vt:lpwstr>
  </property>
  <property fmtid="{D5CDD505-2E9C-101B-9397-08002B2CF9AE}" pid="10" name="NOSE41">
    <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חיילים</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הגנת החייל (דירה)</vt:lpwstr>
  </property>
  <property fmtid="{D5CDD505-2E9C-101B-9397-08002B2CF9AE}" pid="48" name="MEKOR_SAIF1">
    <vt:lpwstr>9X</vt:lpwstr>
  </property>
  <property fmtid="{D5CDD505-2E9C-101B-9397-08002B2CF9AE}" pid="49" name="MEKOR_NAME2">
    <vt:lpwstr>פקודת בתי המשפט</vt:lpwstr>
  </property>
  <property fmtid="{D5CDD505-2E9C-101B-9397-08002B2CF9AE}" pid="50" name="MEKOR_SAIF2">
    <vt:lpwstr>22X</vt:lpwstr>
  </property>
</Properties>
</file>