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591CF" w14:textId="77777777" w:rsidR="001153D7" w:rsidRDefault="00535CC5" w:rsidP="007551B3">
      <w:pPr>
        <w:pStyle w:val="big-header"/>
        <w:ind w:left="0" w:right="1134"/>
        <w:rPr>
          <w:rFonts w:hint="cs"/>
          <w:rtl/>
        </w:rPr>
      </w:pPr>
      <w:r>
        <w:rPr>
          <w:rFonts w:hint="cs"/>
          <w:rtl/>
        </w:rPr>
        <w:t>תקנות</w:t>
      </w:r>
      <w:r w:rsidR="007551B3">
        <w:rPr>
          <w:rFonts w:hint="cs"/>
          <w:rtl/>
        </w:rPr>
        <w:t xml:space="preserve"> בריאות העם (בדיקת אבחנה פולשנית בהיריון</w:t>
      </w:r>
      <w:r w:rsidR="00A971C7">
        <w:rPr>
          <w:rFonts w:hint="cs"/>
          <w:rtl/>
        </w:rPr>
        <w:t>)</w:t>
      </w:r>
      <w:r w:rsidR="001153D7">
        <w:rPr>
          <w:rFonts w:hint="cs"/>
          <w:rtl/>
        </w:rPr>
        <w:t xml:space="preserve">, </w:t>
      </w:r>
      <w:r w:rsidR="00EE5228">
        <w:rPr>
          <w:rFonts w:hint="cs"/>
          <w:rtl/>
        </w:rPr>
        <w:t>תשע</w:t>
      </w:r>
      <w:r w:rsidR="00C76B56">
        <w:rPr>
          <w:rFonts w:hint="cs"/>
          <w:rtl/>
        </w:rPr>
        <w:t>"</w:t>
      </w:r>
      <w:r w:rsidR="00756CAB">
        <w:rPr>
          <w:rFonts w:hint="cs"/>
          <w:rtl/>
        </w:rPr>
        <w:t>ב</w:t>
      </w:r>
      <w:r w:rsidR="00C76B56">
        <w:rPr>
          <w:rFonts w:hint="cs"/>
          <w:rtl/>
        </w:rPr>
        <w:t>-2011</w:t>
      </w:r>
    </w:p>
    <w:p w14:paraId="69379CF8" w14:textId="77777777" w:rsidR="007551B3" w:rsidRPr="007551B3" w:rsidRDefault="007551B3" w:rsidP="007551B3">
      <w:pPr>
        <w:spacing w:line="320" w:lineRule="auto"/>
        <w:jc w:val="left"/>
        <w:rPr>
          <w:rFonts w:cs="FrankRuehl"/>
          <w:szCs w:val="26"/>
          <w:rtl/>
        </w:rPr>
      </w:pPr>
    </w:p>
    <w:p w14:paraId="158DD014" w14:textId="77777777" w:rsidR="007551B3" w:rsidRDefault="007551B3" w:rsidP="007551B3">
      <w:pPr>
        <w:spacing w:line="320" w:lineRule="auto"/>
        <w:jc w:val="left"/>
        <w:rPr>
          <w:rtl/>
        </w:rPr>
      </w:pPr>
    </w:p>
    <w:p w14:paraId="7C745E03" w14:textId="77777777" w:rsidR="007551B3" w:rsidRPr="007551B3" w:rsidRDefault="007551B3" w:rsidP="007551B3">
      <w:pPr>
        <w:spacing w:line="320" w:lineRule="auto"/>
        <w:jc w:val="left"/>
        <w:rPr>
          <w:rFonts w:cs="Miriam" w:hint="cs"/>
          <w:szCs w:val="22"/>
          <w:rtl/>
        </w:rPr>
      </w:pPr>
      <w:r w:rsidRPr="007551B3">
        <w:rPr>
          <w:rFonts w:cs="Miriam"/>
          <w:szCs w:val="22"/>
          <w:rtl/>
        </w:rPr>
        <w:t>בריאות</w:t>
      </w:r>
      <w:r w:rsidRPr="007551B3">
        <w:rPr>
          <w:rFonts w:cs="FrankRuehl"/>
          <w:szCs w:val="26"/>
          <w:rtl/>
        </w:rPr>
        <w:t xml:space="preserve"> – בריאות העם – טיפולים רפואיים</w:t>
      </w:r>
    </w:p>
    <w:p w14:paraId="174795A0"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C165B" w:rsidRPr="008C165B" w14:paraId="6CE0D3C2" w14:textId="77777777" w:rsidTr="008C165B">
        <w:tblPrEx>
          <w:tblCellMar>
            <w:top w:w="0" w:type="dxa"/>
            <w:bottom w:w="0" w:type="dxa"/>
          </w:tblCellMar>
        </w:tblPrEx>
        <w:tc>
          <w:tcPr>
            <w:tcW w:w="1247" w:type="dxa"/>
          </w:tcPr>
          <w:p w14:paraId="3043CA68" w14:textId="77777777" w:rsidR="008C165B" w:rsidRPr="008C165B" w:rsidRDefault="008C165B" w:rsidP="008C165B">
            <w:pPr>
              <w:spacing w:line="240" w:lineRule="auto"/>
              <w:jc w:val="left"/>
              <w:rPr>
                <w:rFonts w:cs="Frankruhel" w:hint="cs"/>
                <w:sz w:val="24"/>
                <w:rtl/>
              </w:rPr>
            </w:pPr>
            <w:r>
              <w:rPr>
                <w:rFonts w:cs="Times New Roman"/>
                <w:sz w:val="24"/>
                <w:rtl/>
              </w:rPr>
              <w:t xml:space="preserve">סעיף 1 </w:t>
            </w:r>
          </w:p>
        </w:tc>
        <w:tc>
          <w:tcPr>
            <w:tcW w:w="5669" w:type="dxa"/>
          </w:tcPr>
          <w:p w14:paraId="33B8C2DC" w14:textId="77777777" w:rsidR="008C165B" w:rsidRPr="008C165B" w:rsidRDefault="008C165B" w:rsidP="008C165B">
            <w:pPr>
              <w:spacing w:line="240" w:lineRule="auto"/>
              <w:jc w:val="left"/>
              <w:rPr>
                <w:rFonts w:cs="Frankruhel" w:hint="cs"/>
                <w:sz w:val="24"/>
                <w:rtl/>
              </w:rPr>
            </w:pPr>
            <w:r>
              <w:rPr>
                <w:rFonts w:cs="Times New Roman"/>
                <w:sz w:val="24"/>
                <w:rtl/>
              </w:rPr>
              <w:t>הגדרות</w:t>
            </w:r>
          </w:p>
        </w:tc>
        <w:tc>
          <w:tcPr>
            <w:tcW w:w="567" w:type="dxa"/>
          </w:tcPr>
          <w:p w14:paraId="52184BE9" w14:textId="77777777" w:rsidR="008C165B" w:rsidRPr="008C165B" w:rsidRDefault="008C165B" w:rsidP="008C165B">
            <w:pPr>
              <w:spacing w:line="240" w:lineRule="auto"/>
              <w:jc w:val="left"/>
              <w:rPr>
                <w:rStyle w:val="Hyperlink"/>
                <w:rFonts w:hint="cs"/>
                <w:rtl/>
              </w:rPr>
            </w:pPr>
            <w:hyperlink w:anchor="Seif1" w:tooltip="הגדרות" w:history="1">
              <w:r w:rsidRPr="008C165B">
                <w:rPr>
                  <w:rStyle w:val="Hyperlink"/>
                </w:rPr>
                <w:t>Go</w:t>
              </w:r>
            </w:hyperlink>
          </w:p>
        </w:tc>
        <w:tc>
          <w:tcPr>
            <w:tcW w:w="850" w:type="dxa"/>
          </w:tcPr>
          <w:p w14:paraId="09250942" w14:textId="77777777" w:rsidR="008C165B" w:rsidRPr="008C165B" w:rsidRDefault="008C165B" w:rsidP="008C165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C165B" w:rsidRPr="008C165B" w14:paraId="4E878BA7" w14:textId="77777777" w:rsidTr="008C165B">
        <w:tblPrEx>
          <w:tblCellMar>
            <w:top w:w="0" w:type="dxa"/>
            <w:bottom w:w="0" w:type="dxa"/>
          </w:tblCellMar>
        </w:tblPrEx>
        <w:tc>
          <w:tcPr>
            <w:tcW w:w="1247" w:type="dxa"/>
          </w:tcPr>
          <w:p w14:paraId="0828AED1" w14:textId="77777777" w:rsidR="008C165B" w:rsidRPr="008C165B" w:rsidRDefault="008C165B" w:rsidP="008C165B">
            <w:pPr>
              <w:spacing w:line="240" w:lineRule="auto"/>
              <w:jc w:val="left"/>
              <w:rPr>
                <w:rFonts w:cs="Frankruhel" w:hint="cs"/>
                <w:sz w:val="24"/>
                <w:rtl/>
              </w:rPr>
            </w:pPr>
            <w:r>
              <w:rPr>
                <w:rFonts w:cs="Times New Roman"/>
                <w:sz w:val="24"/>
                <w:rtl/>
              </w:rPr>
              <w:t xml:space="preserve">סעיף 2 </w:t>
            </w:r>
          </w:p>
        </w:tc>
        <w:tc>
          <w:tcPr>
            <w:tcW w:w="5669" w:type="dxa"/>
          </w:tcPr>
          <w:p w14:paraId="1BC74CCA" w14:textId="77777777" w:rsidR="008C165B" w:rsidRPr="008C165B" w:rsidRDefault="008C165B" w:rsidP="008C165B">
            <w:pPr>
              <w:spacing w:line="240" w:lineRule="auto"/>
              <w:jc w:val="left"/>
              <w:rPr>
                <w:rFonts w:cs="Frankruhel" w:hint="cs"/>
                <w:sz w:val="24"/>
                <w:rtl/>
              </w:rPr>
            </w:pPr>
            <w:r>
              <w:rPr>
                <w:rFonts w:cs="Times New Roman"/>
                <w:sz w:val="24"/>
                <w:rtl/>
              </w:rPr>
              <w:t>בדיקת אבחנה פולשנית בהיריון</w:t>
            </w:r>
          </w:p>
        </w:tc>
        <w:tc>
          <w:tcPr>
            <w:tcW w:w="567" w:type="dxa"/>
          </w:tcPr>
          <w:p w14:paraId="47D99216" w14:textId="77777777" w:rsidR="008C165B" w:rsidRPr="008C165B" w:rsidRDefault="008C165B" w:rsidP="008C165B">
            <w:pPr>
              <w:spacing w:line="240" w:lineRule="auto"/>
              <w:jc w:val="left"/>
              <w:rPr>
                <w:rStyle w:val="Hyperlink"/>
                <w:rFonts w:hint="cs"/>
                <w:rtl/>
              </w:rPr>
            </w:pPr>
            <w:hyperlink w:anchor="Seif2" w:tooltip="בדיקת אבחנה פולשנית בהיריון" w:history="1">
              <w:r w:rsidRPr="008C165B">
                <w:rPr>
                  <w:rStyle w:val="Hyperlink"/>
                </w:rPr>
                <w:t>Go</w:t>
              </w:r>
            </w:hyperlink>
          </w:p>
        </w:tc>
        <w:tc>
          <w:tcPr>
            <w:tcW w:w="850" w:type="dxa"/>
          </w:tcPr>
          <w:p w14:paraId="00C63262" w14:textId="77777777" w:rsidR="008C165B" w:rsidRPr="008C165B" w:rsidRDefault="008C165B" w:rsidP="008C165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C165B" w:rsidRPr="008C165B" w14:paraId="2D113853" w14:textId="77777777" w:rsidTr="008C165B">
        <w:tblPrEx>
          <w:tblCellMar>
            <w:top w:w="0" w:type="dxa"/>
            <w:bottom w:w="0" w:type="dxa"/>
          </w:tblCellMar>
        </w:tblPrEx>
        <w:tc>
          <w:tcPr>
            <w:tcW w:w="1247" w:type="dxa"/>
          </w:tcPr>
          <w:p w14:paraId="41056C65" w14:textId="77777777" w:rsidR="008C165B" w:rsidRPr="008C165B" w:rsidRDefault="008C165B" w:rsidP="008C165B">
            <w:pPr>
              <w:spacing w:line="240" w:lineRule="auto"/>
              <w:jc w:val="left"/>
              <w:rPr>
                <w:rFonts w:cs="Frankruhel" w:hint="cs"/>
                <w:sz w:val="24"/>
                <w:rtl/>
              </w:rPr>
            </w:pPr>
            <w:r>
              <w:rPr>
                <w:rFonts w:cs="Times New Roman"/>
                <w:sz w:val="24"/>
                <w:rtl/>
              </w:rPr>
              <w:t xml:space="preserve">סעיף 3 </w:t>
            </w:r>
          </w:p>
        </w:tc>
        <w:tc>
          <w:tcPr>
            <w:tcW w:w="5669" w:type="dxa"/>
          </w:tcPr>
          <w:p w14:paraId="081C451F" w14:textId="77777777" w:rsidR="008C165B" w:rsidRPr="008C165B" w:rsidRDefault="008C165B" w:rsidP="008C165B">
            <w:pPr>
              <w:spacing w:line="240" w:lineRule="auto"/>
              <w:jc w:val="left"/>
              <w:rPr>
                <w:rFonts w:cs="Frankruhel" w:hint="cs"/>
                <w:sz w:val="24"/>
                <w:rtl/>
              </w:rPr>
            </w:pPr>
            <w:r>
              <w:rPr>
                <w:rFonts w:cs="Times New Roman"/>
                <w:sz w:val="24"/>
                <w:rtl/>
              </w:rPr>
              <w:t>תנאים מוקדמים לבדיקת אבחנה פולשנית בהיריון</w:t>
            </w:r>
          </w:p>
        </w:tc>
        <w:tc>
          <w:tcPr>
            <w:tcW w:w="567" w:type="dxa"/>
          </w:tcPr>
          <w:p w14:paraId="3F94755A" w14:textId="77777777" w:rsidR="008C165B" w:rsidRPr="008C165B" w:rsidRDefault="008C165B" w:rsidP="008C165B">
            <w:pPr>
              <w:spacing w:line="240" w:lineRule="auto"/>
              <w:jc w:val="left"/>
              <w:rPr>
                <w:rStyle w:val="Hyperlink"/>
                <w:rFonts w:hint="cs"/>
                <w:rtl/>
              </w:rPr>
            </w:pPr>
            <w:hyperlink w:anchor="Seif3" w:tooltip="תנאים מוקדמים לבדיקת אבחנה פולשנית בהיריון" w:history="1">
              <w:r w:rsidRPr="008C165B">
                <w:rPr>
                  <w:rStyle w:val="Hyperlink"/>
                </w:rPr>
                <w:t>Go</w:t>
              </w:r>
            </w:hyperlink>
          </w:p>
        </w:tc>
        <w:tc>
          <w:tcPr>
            <w:tcW w:w="850" w:type="dxa"/>
          </w:tcPr>
          <w:p w14:paraId="3D66D549" w14:textId="77777777" w:rsidR="008C165B" w:rsidRPr="008C165B" w:rsidRDefault="008C165B" w:rsidP="008C165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C165B" w:rsidRPr="008C165B" w14:paraId="73BBDFFD" w14:textId="77777777" w:rsidTr="008C165B">
        <w:tblPrEx>
          <w:tblCellMar>
            <w:top w:w="0" w:type="dxa"/>
            <w:bottom w:w="0" w:type="dxa"/>
          </w:tblCellMar>
        </w:tblPrEx>
        <w:tc>
          <w:tcPr>
            <w:tcW w:w="1247" w:type="dxa"/>
          </w:tcPr>
          <w:p w14:paraId="08AA83B9" w14:textId="77777777" w:rsidR="008C165B" w:rsidRPr="008C165B" w:rsidRDefault="008C165B" w:rsidP="008C165B">
            <w:pPr>
              <w:spacing w:line="240" w:lineRule="auto"/>
              <w:jc w:val="left"/>
              <w:rPr>
                <w:rFonts w:cs="Frankruhel" w:hint="cs"/>
                <w:sz w:val="24"/>
                <w:rtl/>
              </w:rPr>
            </w:pPr>
            <w:r>
              <w:rPr>
                <w:rFonts w:cs="Times New Roman"/>
                <w:sz w:val="24"/>
                <w:rtl/>
              </w:rPr>
              <w:t xml:space="preserve">סעיף 4 </w:t>
            </w:r>
          </w:p>
        </w:tc>
        <w:tc>
          <w:tcPr>
            <w:tcW w:w="5669" w:type="dxa"/>
          </w:tcPr>
          <w:p w14:paraId="108C1332" w14:textId="77777777" w:rsidR="008C165B" w:rsidRPr="008C165B" w:rsidRDefault="008C165B" w:rsidP="008C165B">
            <w:pPr>
              <w:spacing w:line="240" w:lineRule="auto"/>
              <w:jc w:val="left"/>
              <w:rPr>
                <w:rFonts w:cs="Frankruhel" w:hint="cs"/>
                <w:sz w:val="24"/>
                <w:rtl/>
              </w:rPr>
            </w:pPr>
            <w:r>
              <w:rPr>
                <w:rFonts w:cs="Times New Roman"/>
                <w:sz w:val="24"/>
                <w:rtl/>
              </w:rPr>
              <w:t>זכאות למימון בדיקה</w:t>
            </w:r>
          </w:p>
        </w:tc>
        <w:tc>
          <w:tcPr>
            <w:tcW w:w="567" w:type="dxa"/>
          </w:tcPr>
          <w:p w14:paraId="68C92779" w14:textId="77777777" w:rsidR="008C165B" w:rsidRPr="008C165B" w:rsidRDefault="008C165B" w:rsidP="008C165B">
            <w:pPr>
              <w:spacing w:line="240" w:lineRule="auto"/>
              <w:jc w:val="left"/>
              <w:rPr>
                <w:rStyle w:val="Hyperlink"/>
                <w:rFonts w:hint="cs"/>
                <w:rtl/>
              </w:rPr>
            </w:pPr>
            <w:hyperlink w:anchor="Seif4" w:tooltip="זכאות למימון בדיקה" w:history="1">
              <w:r w:rsidRPr="008C165B">
                <w:rPr>
                  <w:rStyle w:val="Hyperlink"/>
                </w:rPr>
                <w:t>Go</w:t>
              </w:r>
            </w:hyperlink>
          </w:p>
        </w:tc>
        <w:tc>
          <w:tcPr>
            <w:tcW w:w="850" w:type="dxa"/>
          </w:tcPr>
          <w:p w14:paraId="07FC43A6" w14:textId="77777777" w:rsidR="008C165B" w:rsidRPr="008C165B" w:rsidRDefault="008C165B" w:rsidP="008C165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C165B" w:rsidRPr="008C165B" w14:paraId="2BC7EDDB" w14:textId="77777777" w:rsidTr="008C165B">
        <w:tblPrEx>
          <w:tblCellMar>
            <w:top w:w="0" w:type="dxa"/>
            <w:bottom w:w="0" w:type="dxa"/>
          </w:tblCellMar>
        </w:tblPrEx>
        <w:tc>
          <w:tcPr>
            <w:tcW w:w="1247" w:type="dxa"/>
          </w:tcPr>
          <w:p w14:paraId="098CDEF4" w14:textId="77777777" w:rsidR="008C165B" w:rsidRPr="008C165B" w:rsidRDefault="008C165B" w:rsidP="008C165B">
            <w:pPr>
              <w:spacing w:line="240" w:lineRule="auto"/>
              <w:jc w:val="left"/>
              <w:rPr>
                <w:rFonts w:cs="Frankruhel" w:hint="cs"/>
                <w:sz w:val="24"/>
                <w:rtl/>
              </w:rPr>
            </w:pPr>
            <w:r>
              <w:rPr>
                <w:rFonts w:cs="Times New Roman"/>
                <w:sz w:val="24"/>
                <w:rtl/>
              </w:rPr>
              <w:t xml:space="preserve">סעיף 5 </w:t>
            </w:r>
          </w:p>
        </w:tc>
        <w:tc>
          <w:tcPr>
            <w:tcW w:w="5669" w:type="dxa"/>
          </w:tcPr>
          <w:p w14:paraId="7C51FBCC" w14:textId="77777777" w:rsidR="008C165B" w:rsidRPr="008C165B" w:rsidRDefault="008C165B" w:rsidP="008C165B">
            <w:pPr>
              <w:spacing w:line="240" w:lineRule="auto"/>
              <w:jc w:val="left"/>
              <w:rPr>
                <w:rFonts w:cs="Frankruhel" w:hint="cs"/>
                <w:sz w:val="24"/>
                <w:rtl/>
              </w:rPr>
            </w:pPr>
            <w:r>
              <w:rPr>
                <w:rFonts w:cs="Times New Roman"/>
                <w:sz w:val="24"/>
                <w:rtl/>
              </w:rPr>
              <w:t>תחולת חוק מידע גנטי</w:t>
            </w:r>
          </w:p>
        </w:tc>
        <w:tc>
          <w:tcPr>
            <w:tcW w:w="567" w:type="dxa"/>
          </w:tcPr>
          <w:p w14:paraId="7035B40C" w14:textId="77777777" w:rsidR="008C165B" w:rsidRPr="008C165B" w:rsidRDefault="008C165B" w:rsidP="008C165B">
            <w:pPr>
              <w:spacing w:line="240" w:lineRule="auto"/>
              <w:jc w:val="left"/>
              <w:rPr>
                <w:rStyle w:val="Hyperlink"/>
                <w:rFonts w:hint="cs"/>
                <w:rtl/>
              </w:rPr>
            </w:pPr>
            <w:hyperlink w:anchor="Seif5" w:tooltip="תחולת חוק מידע גנטי" w:history="1">
              <w:r w:rsidRPr="008C165B">
                <w:rPr>
                  <w:rStyle w:val="Hyperlink"/>
                </w:rPr>
                <w:t>Go</w:t>
              </w:r>
            </w:hyperlink>
          </w:p>
        </w:tc>
        <w:tc>
          <w:tcPr>
            <w:tcW w:w="850" w:type="dxa"/>
          </w:tcPr>
          <w:p w14:paraId="574922C6" w14:textId="77777777" w:rsidR="008C165B" w:rsidRPr="008C165B" w:rsidRDefault="008C165B" w:rsidP="008C165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C165B" w:rsidRPr="008C165B" w14:paraId="75B9ECDE" w14:textId="77777777" w:rsidTr="008C165B">
        <w:tblPrEx>
          <w:tblCellMar>
            <w:top w:w="0" w:type="dxa"/>
            <w:bottom w:w="0" w:type="dxa"/>
          </w:tblCellMar>
        </w:tblPrEx>
        <w:tc>
          <w:tcPr>
            <w:tcW w:w="1247" w:type="dxa"/>
          </w:tcPr>
          <w:p w14:paraId="2FFCC1ED" w14:textId="77777777" w:rsidR="008C165B" w:rsidRPr="008C165B" w:rsidRDefault="008C165B" w:rsidP="008C165B">
            <w:pPr>
              <w:spacing w:line="240" w:lineRule="auto"/>
              <w:jc w:val="left"/>
              <w:rPr>
                <w:rFonts w:cs="Frankruhel" w:hint="cs"/>
                <w:sz w:val="24"/>
                <w:rtl/>
              </w:rPr>
            </w:pPr>
            <w:r>
              <w:rPr>
                <w:rFonts w:cs="Times New Roman"/>
                <w:sz w:val="24"/>
                <w:rtl/>
              </w:rPr>
              <w:t xml:space="preserve">סעיף 6 </w:t>
            </w:r>
          </w:p>
        </w:tc>
        <w:tc>
          <w:tcPr>
            <w:tcW w:w="5669" w:type="dxa"/>
          </w:tcPr>
          <w:p w14:paraId="0EA872FF" w14:textId="77777777" w:rsidR="008C165B" w:rsidRPr="008C165B" w:rsidRDefault="008C165B" w:rsidP="008C165B">
            <w:pPr>
              <w:spacing w:line="240" w:lineRule="auto"/>
              <w:jc w:val="left"/>
              <w:rPr>
                <w:rFonts w:cs="Frankruhel" w:hint="cs"/>
                <w:sz w:val="24"/>
                <w:rtl/>
              </w:rPr>
            </w:pPr>
            <w:r>
              <w:rPr>
                <w:rFonts w:cs="Times New Roman"/>
                <w:sz w:val="24"/>
                <w:rtl/>
              </w:rPr>
              <w:t>ייחוד פעולה</w:t>
            </w:r>
          </w:p>
        </w:tc>
        <w:tc>
          <w:tcPr>
            <w:tcW w:w="567" w:type="dxa"/>
          </w:tcPr>
          <w:p w14:paraId="6F506891" w14:textId="77777777" w:rsidR="008C165B" w:rsidRPr="008C165B" w:rsidRDefault="008C165B" w:rsidP="008C165B">
            <w:pPr>
              <w:spacing w:line="240" w:lineRule="auto"/>
              <w:jc w:val="left"/>
              <w:rPr>
                <w:rStyle w:val="Hyperlink"/>
                <w:rFonts w:hint="cs"/>
                <w:rtl/>
              </w:rPr>
            </w:pPr>
            <w:hyperlink w:anchor="Seif6" w:tooltip="ייחוד פעולה" w:history="1">
              <w:r w:rsidRPr="008C165B">
                <w:rPr>
                  <w:rStyle w:val="Hyperlink"/>
                </w:rPr>
                <w:t>Go</w:t>
              </w:r>
            </w:hyperlink>
          </w:p>
        </w:tc>
        <w:tc>
          <w:tcPr>
            <w:tcW w:w="850" w:type="dxa"/>
          </w:tcPr>
          <w:p w14:paraId="7AC86AE6" w14:textId="77777777" w:rsidR="008C165B" w:rsidRPr="008C165B" w:rsidRDefault="008C165B" w:rsidP="008C165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C165B" w:rsidRPr="008C165B" w14:paraId="454D4329" w14:textId="77777777" w:rsidTr="008C165B">
        <w:tblPrEx>
          <w:tblCellMar>
            <w:top w:w="0" w:type="dxa"/>
            <w:bottom w:w="0" w:type="dxa"/>
          </w:tblCellMar>
        </w:tblPrEx>
        <w:tc>
          <w:tcPr>
            <w:tcW w:w="1247" w:type="dxa"/>
          </w:tcPr>
          <w:p w14:paraId="78C0EF77" w14:textId="77777777" w:rsidR="008C165B" w:rsidRPr="008C165B" w:rsidRDefault="008C165B" w:rsidP="008C165B">
            <w:pPr>
              <w:spacing w:line="240" w:lineRule="auto"/>
              <w:jc w:val="left"/>
              <w:rPr>
                <w:rFonts w:cs="Frankruhel" w:hint="cs"/>
                <w:sz w:val="24"/>
                <w:rtl/>
              </w:rPr>
            </w:pPr>
            <w:r>
              <w:rPr>
                <w:rFonts w:cs="Times New Roman"/>
                <w:sz w:val="24"/>
                <w:rtl/>
              </w:rPr>
              <w:t xml:space="preserve">סעיף 7 </w:t>
            </w:r>
          </w:p>
        </w:tc>
        <w:tc>
          <w:tcPr>
            <w:tcW w:w="5669" w:type="dxa"/>
          </w:tcPr>
          <w:p w14:paraId="1CAF9AF3" w14:textId="77777777" w:rsidR="008C165B" w:rsidRPr="008C165B" w:rsidRDefault="008C165B" w:rsidP="008C165B">
            <w:pPr>
              <w:spacing w:line="240" w:lineRule="auto"/>
              <w:jc w:val="left"/>
              <w:rPr>
                <w:rFonts w:cs="Frankruhel" w:hint="cs"/>
                <w:sz w:val="24"/>
                <w:rtl/>
              </w:rPr>
            </w:pPr>
            <w:r>
              <w:rPr>
                <w:rFonts w:cs="Times New Roman"/>
                <w:sz w:val="24"/>
                <w:rtl/>
              </w:rPr>
              <w:t>בדיקת הדגימה</w:t>
            </w:r>
          </w:p>
        </w:tc>
        <w:tc>
          <w:tcPr>
            <w:tcW w:w="567" w:type="dxa"/>
          </w:tcPr>
          <w:p w14:paraId="17D8135A" w14:textId="77777777" w:rsidR="008C165B" w:rsidRPr="008C165B" w:rsidRDefault="008C165B" w:rsidP="008C165B">
            <w:pPr>
              <w:spacing w:line="240" w:lineRule="auto"/>
              <w:jc w:val="left"/>
              <w:rPr>
                <w:rStyle w:val="Hyperlink"/>
                <w:rFonts w:hint="cs"/>
                <w:rtl/>
              </w:rPr>
            </w:pPr>
            <w:hyperlink w:anchor="Seif7" w:tooltip="בדיקת הדגימה" w:history="1">
              <w:r w:rsidRPr="008C165B">
                <w:rPr>
                  <w:rStyle w:val="Hyperlink"/>
                </w:rPr>
                <w:t>Go</w:t>
              </w:r>
            </w:hyperlink>
          </w:p>
        </w:tc>
        <w:tc>
          <w:tcPr>
            <w:tcW w:w="850" w:type="dxa"/>
          </w:tcPr>
          <w:p w14:paraId="576B2A94" w14:textId="77777777" w:rsidR="008C165B" w:rsidRPr="008C165B" w:rsidRDefault="008C165B" w:rsidP="008C165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C165B" w:rsidRPr="008C165B" w14:paraId="57F6738C" w14:textId="77777777" w:rsidTr="008C165B">
        <w:tblPrEx>
          <w:tblCellMar>
            <w:top w:w="0" w:type="dxa"/>
            <w:bottom w:w="0" w:type="dxa"/>
          </w:tblCellMar>
        </w:tblPrEx>
        <w:tc>
          <w:tcPr>
            <w:tcW w:w="1247" w:type="dxa"/>
          </w:tcPr>
          <w:p w14:paraId="40165C1A" w14:textId="77777777" w:rsidR="008C165B" w:rsidRPr="008C165B" w:rsidRDefault="008C165B" w:rsidP="008C165B">
            <w:pPr>
              <w:spacing w:line="240" w:lineRule="auto"/>
              <w:jc w:val="left"/>
              <w:rPr>
                <w:rFonts w:cs="Frankruhel" w:hint="cs"/>
                <w:sz w:val="24"/>
                <w:rtl/>
              </w:rPr>
            </w:pPr>
            <w:r>
              <w:rPr>
                <w:rFonts w:cs="Times New Roman"/>
                <w:sz w:val="24"/>
                <w:rtl/>
              </w:rPr>
              <w:t xml:space="preserve">סעיף 8 </w:t>
            </w:r>
          </w:p>
        </w:tc>
        <w:tc>
          <w:tcPr>
            <w:tcW w:w="5669" w:type="dxa"/>
          </w:tcPr>
          <w:p w14:paraId="34D833FA" w14:textId="77777777" w:rsidR="008C165B" w:rsidRPr="008C165B" w:rsidRDefault="008C165B" w:rsidP="008C165B">
            <w:pPr>
              <w:spacing w:line="240" w:lineRule="auto"/>
              <w:jc w:val="left"/>
              <w:rPr>
                <w:rFonts w:cs="Frankruhel" w:hint="cs"/>
                <w:sz w:val="24"/>
                <w:rtl/>
              </w:rPr>
            </w:pPr>
            <w:r>
              <w:rPr>
                <w:rFonts w:cs="Times New Roman"/>
                <w:sz w:val="24"/>
                <w:rtl/>
              </w:rPr>
              <w:t>העברת דגימה לבדיקת מעבדה</w:t>
            </w:r>
          </w:p>
        </w:tc>
        <w:tc>
          <w:tcPr>
            <w:tcW w:w="567" w:type="dxa"/>
          </w:tcPr>
          <w:p w14:paraId="654ED230" w14:textId="77777777" w:rsidR="008C165B" w:rsidRPr="008C165B" w:rsidRDefault="008C165B" w:rsidP="008C165B">
            <w:pPr>
              <w:spacing w:line="240" w:lineRule="auto"/>
              <w:jc w:val="left"/>
              <w:rPr>
                <w:rStyle w:val="Hyperlink"/>
                <w:rFonts w:hint="cs"/>
                <w:rtl/>
              </w:rPr>
            </w:pPr>
            <w:hyperlink w:anchor="Seif8" w:tooltip="העברת דגימה לבדיקת מעבדה" w:history="1">
              <w:r w:rsidRPr="008C165B">
                <w:rPr>
                  <w:rStyle w:val="Hyperlink"/>
                </w:rPr>
                <w:t>Go</w:t>
              </w:r>
            </w:hyperlink>
          </w:p>
        </w:tc>
        <w:tc>
          <w:tcPr>
            <w:tcW w:w="850" w:type="dxa"/>
          </w:tcPr>
          <w:p w14:paraId="1BE26982" w14:textId="77777777" w:rsidR="008C165B" w:rsidRPr="008C165B" w:rsidRDefault="008C165B" w:rsidP="008C165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C165B" w:rsidRPr="008C165B" w14:paraId="7BFCB5E1" w14:textId="77777777" w:rsidTr="008C165B">
        <w:tblPrEx>
          <w:tblCellMar>
            <w:top w:w="0" w:type="dxa"/>
            <w:bottom w:w="0" w:type="dxa"/>
          </w:tblCellMar>
        </w:tblPrEx>
        <w:tc>
          <w:tcPr>
            <w:tcW w:w="1247" w:type="dxa"/>
          </w:tcPr>
          <w:p w14:paraId="24BB9B1A" w14:textId="77777777" w:rsidR="008C165B" w:rsidRPr="008C165B" w:rsidRDefault="008C165B" w:rsidP="008C165B">
            <w:pPr>
              <w:spacing w:line="240" w:lineRule="auto"/>
              <w:jc w:val="left"/>
              <w:rPr>
                <w:rFonts w:cs="Frankruhel" w:hint="cs"/>
                <w:sz w:val="24"/>
                <w:rtl/>
              </w:rPr>
            </w:pPr>
            <w:r>
              <w:rPr>
                <w:rFonts w:cs="Times New Roman"/>
                <w:sz w:val="24"/>
                <w:rtl/>
              </w:rPr>
              <w:t xml:space="preserve">סעיף 9 </w:t>
            </w:r>
          </w:p>
        </w:tc>
        <w:tc>
          <w:tcPr>
            <w:tcW w:w="5669" w:type="dxa"/>
          </w:tcPr>
          <w:p w14:paraId="4C39F4BC" w14:textId="77777777" w:rsidR="008C165B" w:rsidRPr="008C165B" w:rsidRDefault="008C165B" w:rsidP="008C165B">
            <w:pPr>
              <w:spacing w:line="240" w:lineRule="auto"/>
              <w:jc w:val="left"/>
              <w:rPr>
                <w:rFonts w:cs="Frankruhel" w:hint="cs"/>
                <w:sz w:val="24"/>
                <w:rtl/>
              </w:rPr>
            </w:pPr>
            <w:r>
              <w:rPr>
                <w:rFonts w:cs="Times New Roman"/>
                <w:sz w:val="24"/>
                <w:rtl/>
              </w:rPr>
              <w:t>תנאים לאישור בית חולים</w:t>
            </w:r>
          </w:p>
        </w:tc>
        <w:tc>
          <w:tcPr>
            <w:tcW w:w="567" w:type="dxa"/>
          </w:tcPr>
          <w:p w14:paraId="666EA44A" w14:textId="77777777" w:rsidR="008C165B" w:rsidRPr="008C165B" w:rsidRDefault="008C165B" w:rsidP="008C165B">
            <w:pPr>
              <w:spacing w:line="240" w:lineRule="auto"/>
              <w:jc w:val="left"/>
              <w:rPr>
                <w:rStyle w:val="Hyperlink"/>
                <w:rFonts w:hint="cs"/>
                <w:rtl/>
              </w:rPr>
            </w:pPr>
            <w:hyperlink w:anchor="Seif9" w:tooltip="תנאים לאישור בית חולים" w:history="1">
              <w:r w:rsidRPr="008C165B">
                <w:rPr>
                  <w:rStyle w:val="Hyperlink"/>
                </w:rPr>
                <w:t>Go</w:t>
              </w:r>
            </w:hyperlink>
          </w:p>
        </w:tc>
        <w:tc>
          <w:tcPr>
            <w:tcW w:w="850" w:type="dxa"/>
          </w:tcPr>
          <w:p w14:paraId="3DA19C79" w14:textId="77777777" w:rsidR="008C165B" w:rsidRPr="008C165B" w:rsidRDefault="008C165B" w:rsidP="008C165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C165B" w:rsidRPr="008C165B" w14:paraId="3BD6DFC2" w14:textId="77777777" w:rsidTr="008C165B">
        <w:tblPrEx>
          <w:tblCellMar>
            <w:top w:w="0" w:type="dxa"/>
            <w:bottom w:w="0" w:type="dxa"/>
          </w:tblCellMar>
        </w:tblPrEx>
        <w:tc>
          <w:tcPr>
            <w:tcW w:w="1247" w:type="dxa"/>
          </w:tcPr>
          <w:p w14:paraId="28DA7678" w14:textId="77777777" w:rsidR="008C165B" w:rsidRPr="008C165B" w:rsidRDefault="008C165B" w:rsidP="008C165B">
            <w:pPr>
              <w:spacing w:line="240" w:lineRule="auto"/>
              <w:jc w:val="left"/>
              <w:rPr>
                <w:rFonts w:cs="Frankruhel" w:hint="cs"/>
                <w:sz w:val="24"/>
                <w:rtl/>
              </w:rPr>
            </w:pPr>
            <w:r>
              <w:rPr>
                <w:rFonts w:cs="Times New Roman"/>
                <w:sz w:val="24"/>
                <w:rtl/>
              </w:rPr>
              <w:t xml:space="preserve">סעיף 10 </w:t>
            </w:r>
          </w:p>
        </w:tc>
        <w:tc>
          <w:tcPr>
            <w:tcW w:w="5669" w:type="dxa"/>
          </w:tcPr>
          <w:p w14:paraId="5FFFABA3" w14:textId="77777777" w:rsidR="008C165B" w:rsidRPr="008C165B" w:rsidRDefault="008C165B" w:rsidP="008C165B">
            <w:pPr>
              <w:spacing w:line="240" w:lineRule="auto"/>
              <w:jc w:val="left"/>
              <w:rPr>
                <w:rFonts w:cs="Frankruhel" w:hint="cs"/>
                <w:sz w:val="24"/>
                <w:rtl/>
              </w:rPr>
            </w:pPr>
            <w:r>
              <w:rPr>
                <w:rFonts w:cs="Times New Roman"/>
                <w:sz w:val="24"/>
                <w:rtl/>
              </w:rPr>
              <w:t>תנאים לאישור מרפאה כירורגית</w:t>
            </w:r>
          </w:p>
        </w:tc>
        <w:tc>
          <w:tcPr>
            <w:tcW w:w="567" w:type="dxa"/>
          </w:tcPr>
          <w:p w14:paraId="6E688872" w14:textId="77777777" w:rsidR="008C165B" w:rsidRPr="008C165B" w:rsidRDefault="008C165B" w:rsidP="008C165B">
            <w:pPr>
              <w:spacing w:line="240" w:lineRule="auto"/>
              <w:jc w:val="left"/>
              <w:rPr>
                <w:rStyle w:val="Hyperlink"/>
                <w:rFonts w:hint="cs"/>
                <w:rtl/>
              </w:rPr>
            </w:pPr>
            <w:hyperlink w:anchor="Seif10" w:tooltip="תנאים לאישור מרפאה כירורגית" w:history="1">
              <w:r w:rsidRPr="008C165B">
                <w:rPr>
                  <w:rStyle w:val="Hyperlink"/>
                </w:rPr>
                <w:t>Go</w:t>
              </w:r>
            </w:hyperlink>
          </w:p>
        </w:tc>
        <w:tc>
          <w:tcPr>
            <w:tcW w:w="850" w:type="dxa"/>
          </w:tcPr>
          <w:p w14:paraId="3B475D66" w14:textId="77777777" w:rsidR="008C165B" w:rsidRPr="008C165B" w:rsidRDefault="008C165B" w:rsidP="008C165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C165B" w:rsidRPr="008C165B" w14:paraId="42802D3E" w14:textId="77777777" w:rsidTr="008C165B">
        <w:tblPrEx>
          <w:tblCellMar>
            <w:top w:w="0" w:type="dxa"/>
            <w:bottom w:w="0" w:type="dxa"/>
          </w:tblCellMar>
        </w:tblPrEx>
        <w:tc>
          <w:tcPr>
            <w:tcW w:w="1247" w:type="dxa"/>
          </w:tcPr>
          <w:p w14:paraId="3D52D6D1" w14:textId="77777777" w:rsidR="008C165B" w:rsidRPr="008C165B" w:rsidRDefault="008C165B" w:rsidP="008C165B">
            <w:pPr>
              <w:spacing w:line="240" w:lineRule="auto"/>
              <w:jc w:val="left"/>
              <w:rPr>
                <w:rFonts w:cs="Frankruhel" w:hint="cs"/>
                <w:sz w:val="24"/>
                <w:rtl/>
              </w:rPr>
            </w:pPr>
            <w:r>
              <w:rPr>
                <w:rFonts w:cs="Times New Roman"/>
                <w:sz w:val="24"/>
                <w:rtl/>
              </w:rPr>
              <w:t xml:space="preserve">סעיף 11 </w:t>
            </w:r>
          </w:p>
        </w:tc>
        <w:tc>
          <w:tcPr>
            <w:tcW w:w="5669" w:type="dxa"/>
          </w:tcPr>
          <w:p w14:paraId="2E07D263" w14:textId="77777777" w:rsidR="008C165B" w:rsidRPr="008C165B" w:rsidRDefault="008C165B" w:rsidP="008C165B">
            <w:pPr>
              <w:spacing w:line="240" w:lineRule="auto"/>
              <w:jc w:val="left"/>
              <w:rPr>
                <w:rFonts w:cs="Frankruhel" w:hint="cs"/>
                <w:sz w:val="24"/>
                <w:rtl/>
              </w:rPr>
            </w:pPr>
            <w:r>
              <w:rPr>
                <w:rFonts w:cs="Times New Roman"/>
                <w:sz w:val="24"/>
                <w:rtl/>
              </w:rPr>
              <w:t>ממצאי הבדיקה</w:t>
            </w:r>
          </w:p>
        </w:tc>
        <w:tc>
          <w:tcPr>
            <w:tcW w:w="567" w:type="dxa"/>
          </w:tcPr>
          <w:p w14:paraId="7D1EFE39" w14:textId="77777777" w:rsidR="008C165B" w:rsidRPr="008C165B" w:rsidRDefault="008C165B" w:rsidP="008C165B">
            <w:pPr>
              <w:spacing w:line="240" w:lineRule="auto"/>
              <w:jc w:val="left"/>
              <w:rPr>
                <w:rStyle w:val="Hyperlink"/>
                <w:rFonts w:hint="cs"/>
                <w:rtl/>
              </w:rPr>
            </w:pPr>
            <w:hyperlink w:anchor="Seif11" w:tooltip="ממצאי הבדיקה" w:history="1">
              <w:r w:rsidRPr="008C165B">
                <w:rPr>
                  <w:rStyle w:val="Hyperlink"/>
                </w:rPr>
                <w:t>Go</w:t>
              </w:r>
            </w:hyperlink>
          </w:p>
        </w:tc>
        <w:tc>
          <w:tcPr>
            <w:tcW w:w="850" w:type="dxa"/>
          </w:tcPr>
          <w:p w14:paraId="290BBDE1" w14:textId="77777777" w:rsidR="008C165B" w:rsidRPr="008C165B" w:rsidRDefault="008C165B" w:rsidP="008C165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C165B" w:rsidRPr="008C165B" w14:paraId="26945AAD" w14:textId="77777777" w:rsidTr="008C165B">
        <w:tblPrEx>
          <w:tblCellMar>
            <w:top w:w="0" w:type="dxa"/>
            <w:bottom w:w="0" w:type="dxa"/>
          </w:tblCellMar>
        </w:tblPrEx>
        <w:tc>
          <w:tcPr>
            <w:tcW w:w="1247" w:type="dxa"/>
          </w:tcPr>
          <w:p w14:paraId="4A546875" w14:textId="77777777" w:rsidR="008C165B" w:rsidRPr="008C165B" w:rsidRDefault="008C165B" w:rsidP="008C165B">
            <w:pPr>
              <w:spacing w:line="240" w:lineRule="auto"/>
              <w:jc w:val="left"/>
              <w:rPr>
                <w:rFonts w:cs="Frankruhel" w:hint="cs"/>
                <w:sz w:val="24"/>
                <w:rtl/>
              </w:rPr>
            </w:pPr>
            <w:r>
              <w:rPr>
                <w:rFonts w:cs="Times New Roman"/>
                <w:sz w:val="24"/>
                <w:rtl/>
              </w:rPr>
              <w:t xml:space="preserve">סעיף 12 </w:t>
            </w:r>
          </w:p>
        </w:tc>
        <w:tc>
          <w:tcPr>
            <w:tcW w:w="5669" w:type="dxa"/>
          </w:tcPr>
          <w:p w14:paraId="23382E8A" w14:textId="77777777" w:rsidR="008C165B" w:rsidRPr="008C165B" w:rsidRDefault="008C165B" w:rsidP="008C165B">
            <w:pPr>
              <w:spacing w:line="240" w:lineRule="auto"/>
              <w:jc w:val="left"/>
              <w:rPr>
                <w:rFonts w:cs="Frankruhel" w:hint="cs"/>
                <w:sz w:val="24"/>
                <w:rtl/>
              </w:rPr>
            </w:pPr>
            <w:r>
              <w:rPr>
                <w:rFonts w:cs="Times New Roman"/>
                <w:sz w:val="24"/>
                <w:rtl/>
              </w:rPr>
              <w:t>סמכות לקבוע הנחיות מקצועיות</w:t>
            </w:r>
          </w:p>
        </w:tc>
        <w:tc>
          <w:tcPr>
            <w:tcW w:w="567" w:type="dxa"/>
          </w:tcPr>
          <w:p w14:paraId="3D5E3C66" w14:textId="77777777" w:rsidR="008C165B" w:rsidRPr="008C165B" w:rsidRDefault="008C165B" w:rsidP="008C165B">
            <w:pPr>
              <w:spacing w:line="240" w:lineRule="auto"/>
              <w:jc w:val="left"/>
              <w:rPr>
                <w:rStyle w:val="Hyperlink"/>
                <w:rFonts w:hint="cs"/>
                <w:rtl/>
              </w:rPr>
            </w:pPr>
            <w:hyperlink w:anchor="Seif12" w:tooltip="סמכות לקבוע הנחיות מקצועיות" w:history="1">
              <w:r w:rsidRPr="008C165B">
                <w:rPr>
                  <w:rStyle w:val="Hyperlink"/>
                </w:rPr>
                <w:t>Go</w:t>
              </w:r>
            </w:hyperlink>
          </w:p>
        </w:tc>
        <w:tc>
          <w:tcPr>
            <w:tcW w:w="850" w:type="dxa"/>
          </w:tcPr>
          <w:p w14:paraId="633FEDD8" w14:textId="77777777" w:rsidR="008C165B" w:rsidRPr="008C165B" w:rsidRDefault="008C165B" w:rsidP="008C165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C165B" w:rsidRPr="008C165B" w14:paraId="2D01EA73" w14:textId="77777777" w:rsidTr="008C165B">
        <w:tblPrEx>
          <w:tblCellMar>
            <w:top w:w="0" w:type="dxa"/>
            <w:bottom w:w="0" w:type="dxa"/>
          </w:tblCellMar>
        </w:tblPrEx>
        <w:tc>
          <w:tcPr>
            <w:tcW w:w="1247" w:type="dxa"/>
          </w:tcPr>
          <w:p w14:paraId="24676535" w14:textId="77777777" w:rsidR="008C165B" w:rsidRPr="008C165B" w:rsidRDefault="008C165B" w:rsidP="008C165B">
            <w:pPr>
              <w:spacing w:line="240" w:lineRule="auto"/>
              <w:jc w:val="left"/>
              <w:rPr>
                <w:rFonts w:cs="Frankruhel" w:hint="cs"/>
                <w:sz w:val="24"/>
                <w:rtl/>
              </w:rPr>
            </w:pPr>
            <w:r>
              <w:rPr>
                <w:rFonts w:cs="Times New Roman"/>
                <w:sz w:val="24"/>
                <w:rtl/>
              </w:rPr>
              <w:t xml:space="preserve">סעיף 13 </w:t>
            </w:r>
          </w:p>
        </w:tc>
        <w:tc>
          <w:tcPr>
            <w:tcW w:w="5669" w:type="dxa"/>
          </w:tcPr>
          <w:p w14:paraId="2DA26B3C" w14:textId="77777777" w:rsidR="008C165B" w:rsidRPr="008C165B" w:rsidRDefault="008C165B" w:rsidP="008C165B">
            <w:pPr>
              <w:spacing w:line="240" w:lineRule="auto"/>
              <w:jc w:val="left"/>
              <w:rPr>
                <w:rFonts w:cs="Frankruhel" w:hint="cs"/>
                <w:sz w:val="24"/>
                <w:rtl/>
              </w:rPr>
            </w:pPr>
            <w:r>
              <w:rPr>
                <w:rFonts w:cs="Times New Roman"/>
                <w:sz w:val="24"/>
                <w:rtl/>
              </w:rPr>
              <w:t>שמירת סמכויות וחובות</w:t>
            </w:r>
          </w:p>
        </w:tc>
        <w:tc>
          <w:tcPr>
            <w:tcW w:w="567" w:type="dxa"/>
          </w:tcPr>
          <w:p w14:paraId="4AF8B37D" w14:textId="77777777" w:rsidR="008C165B" w:rsidRPr="008C165B" w:rsidRDefault="008C165B" w:rsidP="008C165B">
            <w:pPr>
              <w:spacing w:line="240" w:lineRule="auto"/>
              <w:jc w:val="left"/>
              <w:rPr>
                <w:rStyle w:val="Hyperlink"/>
                <w:rFonts w:hint="cs"/>
                <w:rtl/>
              </w:rPr>
            </w:pPr>
            <w:hyperlink w:anchor="Seif13" w:tooltip="שמירת סמכויות וחובות" w:history="1">
              <w:r w:rsidRPr="008C165B">
                <w:rPr>
                  <w:rStyle w:val="Hyperlink"/>
                </w:rPr>
                <w:t>Go</w:t>
              </w:r>
            </w:hyperlink>
          </w:p>
        </w:tc>
        <w:tc>
          <w:tcPr>
            <w:tcW w:w="850" w:type="dxa"/>
          </w:tcPr>
          <w:p w14:paraId="420AA252" w14:textId="77777777" w:rsidR="008C165B" w:rsidRPr="008C165B" w:rsidRDefault="008C165B" w:rsidP="008C165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C165B" w:rsidRPr="008C165B" w14:paraId="5CA11701" w14:textId="77777777" w:rsidTr="008C165B">
        <w:tblPrEx>
          <w:tblCellMar>
            <w:top w:w="0" w:type="dxa"/>
            <w:bottom w:w="0" w:type="dxa"/>
          </w:tblCellMar>
        </w:tblPrEx>
        <w:tc>
          <w:tcPr>
            <w:tcW w:w="1247" w:type="dxa"/>
          </w:tcPr>
          <w:p w14:paraId="3D8BFC45" w14:textId="77777777" w:rsidR="008C165B" w:rsidRPr="008C165B" w:rsidRDefault="008C165B" w:rsidP="008C165B">
            <w:pPr>
              <w:spacing w:line="240" w:lineRule="auto"/>
              <w:jc w:val="left"/>
              <w:rPr>
                <w:rFonts w:cs="Frankruhel" w:hint="cs"/>
                <w:sz w:val="24"/>
                <w:rtl/>
              </w:rPr>
            </w:pPr>
            <w:r>
              <w:rPr>
                <w:rFonts w:cs="Times New Roman"/>
                <w:sz w:val="24"/>
                <w:rtl/>
              </w:rPr>
              <w:t xml:space="preserve">סעיף 14 </w:t>
            </w:r>
          </w:p>
        </w:tc>
        <w:tc>
          <w:tcPr>
            <w:tcW w:w="5669" w:type="dxa"/>
          </w:tcPr>
          <w:p w14:paraId="3E59A946" w14:textId="77777777" w:rsidR="008C165B" w:rsidRPr="008C165B" w:rsidRDefault="008C165B" w:rsidP="008C165B">
            <w:pPr>
              <w:spacing w:line="240" w:lineRule="auto"/>
              <w:jc w:val="left"/>
              <w:rPr>
                <w:rFonts w:cs="Frankruhel" w:hint="cs"/>
                <w:sz w:val="24"/>
                <w:rtl/>
              </w:rPr>
            </w:pPr>
            <w:r>
              <w:rPr>
                <w:rFonts w:cs="Times New Roman"/>
                <w:sz w:val="24"/>
                <w:rtl/>
              </w:rPr>
              <w:t>ביטול</w:t>
            </w:r>
          </w:p>
        </w:tc>
        <w:tc>
          <w:tcPr>
            <w:tcW w:w="567" w:type="dxa"/>
          </w:tcPr>
          <w:p w14:paraId="10BFC3D7" w14:textId="77777777" w:rsidR="008C165B" w:rsidRPr="008C165B" w:rsidRDefault="008C165B" w:rsidP="008C165B">
            <w:pPr>
              <w:spacing w:line="240" w:lineRule="auto"/>
              <w:jc w:val="left"/>
              <w:rPr>
                <w:rStyle w:val="Hyperlink"/>
                <w:rFonts w:hint="cs"/>
                <w:rtl/>
              </w:rPr>
            </w:pPr>
            <w:hyperlink w:anchor="Seif14" w:tooltip="ביטול" w:history="1">
              <w:r w:rsidRPr="008C165B">
                <w:rPr>
                  <w:rStyle w:val="Hyperlink"/>
                </w:rPr>
                <w:t>Go</w:t>
              </w:r>
            </w:hyperlink>
          </w:p>
        </w:tc>
        <w:tc>
          <w:tcPr>
            <w:tcW w:w="850" w:type="dxa"/>
          </w:tcPr>
          <w:p w14:paraId="27C8C7AE" w14:textId="77777777" w:rsidR="008C165B" w:rsidRPr="008C165B" w:rsidRDefault="008C165B" w:rsidP="008C165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C165B" w:rsidRPr="008C165B" w14:paraId="3173234D" w14:textId="77777777" w:rsidTr="008C165B">
        <w:tblPrEx>
          <w:tblCellMar>
            <w:top w:w="0" w:type="dxa"/>
            <w:bottom w:w="0" w:type="dxa"/>
          </w:tblCellMar>
        </w:tblPrEx>
        <w:tc>
          <w:tcPr>
            <w:tcW w:w="1247" w:type="dxa"/>
          </w:tcPr>
          <w:p w14:paraId="2AFC756E" w14:textId="77777777" w:rsidR="008C165B" w:rsidRPr="008C165B" w:rsidRDefault="008C165B" w:rsidP="008C165B">
            <w:pPr>
              <w:spacing w:line="240" w:lineRule="auto"/>
              <w:jc w:val="left"/>
              <w:rPr>
                <w:rFonts w:cs="Frankruhel" w:hint="cs"/>
                <w:sz w:val="24"/>
                <w:rtl/>
              </w:rPr>
            </w:pPr>
            <w:r>
              <w:rPr>
                <w:rFonts w:cs="Times New Roman"/>
                <w:sz w:val="24"/>
                <w:rtl/>
              </w:rPr>
              <w:t xml:space="preserve">סעיף 15 </w:t>
            </w:r>
          </w:p>
        </w:tc>
        <w:tc>
          <w:tcPr>
            <w:tcW w:w="5669" w:type="dxa"/>
          </w:tcPr>
          <w:p w14:paraId="3231BE4D" w14:textId="77777777" w:rsidR="008C165B" w:rsidRPr="008C165B" w:rsidRDefault="008C165B" w:rsidP="008C165B">
            <w:pPr>
              <w:spacing w:line="240" w:lineRule="auto"/>
              <w:jc w:val="left"/>
              <w:rPr>
                <w:rFonts w:cs="Frankruhel" w:hint="cs"/>
                <w:sz w:val="24"/>
                <w:rtl/>
              </w:rPr>
            </w:pPr>
            <w:r>
              <w:rPr>
                <w:rFonts w:cs="Times New Roman"/>
                <w:sz w:val="24"/>
                <w:rtl/>
              </w:rPr>
              <w:t>תחילה</w:t>
            </w:r>
          </w:p>
        </w:tc>
        <w:tc>
          <w:tcPr>
            <w:tcW w:w="567" w:type="dxa"/>
          </w:tcPr>
          <w:p w14:paraId="395E526F" w14:textId="77777777" w:rsidR="008C165B" w:rsidRPr="008C165B" w:rsidRDefault="008C165B" w:rsidP="008C165B">
            <w:pPr>
              <w:spacing w:line="240" w:lineRule="auto"/>
              <w:jc w:val="left"/>
              <w:rPr>
                <w:rStyle w:val="Hyperlink"/>
                <w:rFonts w:hint="cs"/>
                <w:rtl/>
              </w:rPr>
            </w:pPr>
            <w:hyperlink w:anchor="Seif15" w:tooltip="תחילה" w:history="1">
              <w:r w:rsidRPr="008C165B">
                <w:rPr>
                  <w:rStyle w:val="Hyperlink"/>
                </w:rPr>
                <w:t>Go</w:t>
              </w:r>
            </w:hyperlink>
          </w:p>
        </w:tc>
        <w:tc>
          <w:tcPr>
            <w:tcW w:w="850" w:type="dxa"/>
          </w:tcPr>
          <w:p w14:paraId="728D4A95" w14:textId="77777777" w:rsidR="008C165B" w:rsidRPr="008C165B" w:rsidRDefault="008C165B" w:rsidP="008C165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291E0D7A" w14:textId="77777777" w:rsidR="001153D7" w:rsidRDefault="001153D7">
      <w:pPr>
        <w:pStyle w:val="P00"/>
        <w:spacing w:before="72"/>
        <w:ind w:left="0" w:right="1134"/>
        <w:rPr>
          <w:rFonts w:hint="cs"/>
          <w:rtl/>
        </w:rPr>
      </w:pPr>
    </w:p>
    <w:p w14:paraId="00F7C642" w14:textId="77777777" w:rsidR="001153D7" w:rsidRDefault="001153D7" w:rsidP="007551B3">
      <w:pPr>
        <w:pStyle w:val="big-header"/>
        <w:ind w:left="0" w:right="1134"/>
        <w:rPr>
          <w:rStyle w:val="default"/>
          <w:rFonts w:hint="cs"/>
          <w:sz w:val="22"/>
          <w:szCs w:val="22"/>
          <w:rtl/>
        </w:rPr>
      </w:pPr>
      <w:r>
        <w:rPr>
          <w:rtl/>
        </w:rPr>
        <w:br w:type="page"/>
      </w:r>
      <w:r w:rsidR="007551B3">
        <w:rPr>
          <w:rFonts w:hint="cs"/>
          <w:rtl/>
        </w:rPr>
        <w:lastRenderedPageBreak/>
        <w:t>תקנות בריאות העם (בדיקת אבחנה פולשנית בהיריון), תשע"ב-2011</w:t>
      </w:r>
      <w:r>
        <w:rPr>
          <w:rStyle w:val="default"/>
          <w:sz w:val="22"/>
          <w:szCs w:val="22"/>
          <w:rtl/>
        </w:rPr>
        <w:footnoteReference w:customMarkFollows="1" w:id="1"/>
        <w:t>*</w:t>
      </w:r>
    </w:p>
    <w:p w14:paraId="3C7D89A6" w14:textId="77777777" w:rsidR="001153D7" w:rsidRDefault="001153D7" w:rsidP="007551B3">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535CC5">
        <w:rPr>
          <w:rStyle w:val="default"/>
          <w:rFonts w:cs="FrankRuehl" w:hint="cs"/>
          <w:rtl/>
        </w:rPr>
        <w:t xml:space="preserve">סמכותי לפי </w:t>
      </w:r>
      <w:r w:rsidR="007551B3">
        <w:rPr>
          <w:rStyle w:val="default"/>
          <w:rFonts w:cs="FrankRuehl" w:hint="cs"/>
          <w:rtl/>
        </w:rPr>
        <w:t xml:space="preserve">סעיף 34(א) לפקודת בריאות העם, 1940 (להלן </w:t>
      </w:r>
      <w:r w:rsidR="007551B3">
        <w:rPr>
          <w:rStyle w:val="default"/>
          <w:rFonts w:cs="FrankRuehl"/>
          <w:rtl/>
        </w:rPr>
        <w:t>–</w:t>
      </w:r>
      <w:r w:rsidR="007551B3">
        <w:rPr>
          <w:rStyle w:val="default"/>
          <w:rFonts w:cs="FrankRuehl" w:hint="cs"/>
          <w:rtl/>
        </w:rPr>
        <w:t xml:space="preserve"> הפקודה), סעיפים 4, 5, 15, 38 ו-43 לחוק הפיקוח על מצרכים ושירותים, התשי"ח-1957, וסעיף 17א לפקודת הרופאים [נוסח חדש], התשל"ז-1976 והסמכות לפי סעיף 33 לפקודה שנטלתי לעצמי לפי סעיף 34 לחוק-יסוד: הממשלה, לאחר התייעצות עם ההסתדרות הרפואית בישראל ובאישור ועדת העבודה הרווחה והבריאות של הכנסת לפי סעיף 21א(א) לחוק-יסוד: הכנסת, וסעיף 2(ב) לחוק העונשין, התשל"ז-1977, אני מתקין תקנות אלה</w:t>
      </w:r>
      <w:r>
        <w:rPr>
          <w:rStyle w:val="default"/>
          <w:rFonts w:cs="FrankRuehl"/>
          <w:rtl/>
        </w:rPr>
        <w:t>:</w:t>
      </w:r>
    </w:p>
    <w:p w14:paraId="37167D92" w14:textId="77777777" w:rsidR="001153D7" w:rsidRDefault="001153D7" w:rsidP="006A18F9">
      <w:pPr>
        <w:pStyle w:val="P00"/>
        <w:spacing w:before="72"/>
        <w:ind w:left="0" w:right="1134"/>
        <w:rPr>
          <w:rStyle w:val="default"/>
          <w:rFonts w:cs="FrankRuehl" w:hint="cs"/>
          <w:rtl/>
        </w:rPr>
      </w:pPr>
      <w:bookmarkStart w:id="0" w:name="Seif1"/>
      <w:bookmarkEnd w:id="0"/>
      <w:r>
        <w:rPr>
          <w:lang w:val="he-IL"/>
        </w:rPr>
        <w:pict w14:anchorId="7F05AD18">
          <v:rect id="_x0000_s1026" style="position:absolute;left:0;text-align:left;margin-left:464.5pt;margin-top:8.05pt;width:75.05pt;height:13.4pt;z-index:251650560" o:allowincell="f" filled="f" stroked="f" strokecolor="lime" strokeweight=".25pt">
            <v:textbox style="mso-next-textbox:#_x0000_s1026" inset="0,0,0,0">
              <w:txbxContent>
                <w:p w14:paraId="4FCAA5AE" w14:textId="77777777" w:rsidR="00A02041" w:rsidRDefault="006A18F9">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6A18F9">
        <w:rPr>
          <w:rStyle w:val="default"/>
          <w:rFonts w:cs="FrankRuehl" w:hint="cs"/>
          <w:rtl/>
        </w:rPr>
        <w:t xml:space="preserve">בתקנות אלה </w:t>
      </w:r>
      <w:r w:rsidR="006A18F9">
        <w:rPr>
          <w:rStyle w:val="default"/>
          <w:rFonts w:cs="FrankRuehl"/>
          <w:rtl/>
        </w:rPr>
        <w:t>–</w:t>
      </w:r>
    </w:p>
    <w:p w14:paraId="74DC2E4A" w14:textId="77777777" w:rsidR="007551B3" w:rsidRDefault="007551B3" w:rsidP="00E61634">
      <w:pPr>
        <w:pStyle w:val="P00"/>
        <w:spacing w:before="72"/>
        <w:ind w:left="0" w:right="1134"/>
        <w:rPr>
          <w:rStyle w:val="default"/>
          <w:rFonts w:cs="FrankRuehl" w:hint="cs"/>
          <w:rtl/>
        </w:rPr>
      </w:pPr>
      <w:r>
        <w:rPr>
          <w:rStyle w:val="default"/>
          <w:rFonts w:cs="FrankRuehl" w:hint="cs"/>
          <w:rtl/>
        </w:rPr>
        <w:tab/>
        <w:t xml:space="preserve">"אבחנה" </w:t>
      </w:r>
      <w:r w:rsidR="00E61634">
        <w:rPr>
          <w:rStyle w:val="default"/>
          <w:rFonts w:cs="FrankRuehl"/>
          <w:rtl/>
        </w:rPr>
        <w:t>–</w:t>
      </w:r>
      <w:r>
        <w:rPr>
          <w:rStyle w:val="default"/>
          <w:rFonts w:cs="FrankRuehl" w:hint="cs"/>
          <w:rtl/>
        </w:rPr>
        <w:t xml:space="preserve"> </w:t>
      </w:r>
      <w:r w:rsidR="00E61634">
        <w:rPr>
          <w:rStyle w:val="default"/>
          <w:rFonts w:cs="FrankRuehl" w:hint="cs"/>
          <w:rtl/>
        </w:rPr>
        <w:t>אבחון טרם לידה של הפרעות גנטיות, מחלות ומומים מלידה;</w:t>
      </w:r>
    </w:p>
    <w:p w14:paraId="3DE8CE6F" w14:textId="77777777" w:rsidR="00E61634" w:rsidRDefault="00E61634" w:rsidP="00E61634">
      <w:pPr>
        <w:pStyle w:val="P00"/>
        <w:spacing w:before="72"/>
        <w:ind w:left="0" w:right="1134"/>
        <w:rPr>
          <w:rStyle w:val="default"/>
          <w:rFonts w:cs="FrankRuehl" w:hint="cs"/>
          <w:rtl/>
        </w:rPr>
      </w:pPr>
      <w:r>
        <w:rPr>
          <w:rStyle w:val="default"/>
          <w:rFonts w:cs="FrankRuehl" w:hint="cs"/>
          <w:rtl/>
        </w:rPr>
        <w:tab/>
        <w:t xml:space="preserve">"בדיקת אבחנה פולשנית בהיריון" </w:t>
      </w:r>
      <w:r>
        <w:rPr>
          <w:rStyle w:val="default"/>
          <w:rFonts w:cs="FrankRuehl"/>
          <w:rtl/>
        </w:rPr>
        <w:t>–</w:t>
      </w:r>
      <w:r>
        <w:rPr>
          <w:rStyle w:val="default"/>
          <w:rFonts w:cs="FrankRuehl" w:hint="cs"/>
          <w:rtl/>
        </w:rPr>
        <w:t xml:space="preserve"> כל אחת מאלה: בדיקת מי שפיר, בדיקת סיסי שיליה ונטילת דגימה ברחם מעובר או מדמו, המבוצעת לשם אבחנה;</w:t>
      </w:r>
    </w:p>
    <w:p w14:paraId="2744546A" w14:textId="77777777" w:rsidR="00E61634" w:rsidRDefault="00E61634" w:rsidP="00E61634">
      <w:pPr>
        <w:pStyle w:val="P00"/>
        <w:spacing w:before="72"/>
        <w:ind w:left="0" w:right="1134"/>
        <w:rPr>
          <w:rStyle w:val="default"/>
          <w:rFonts w:cs="FrankRuehl" w:hint="cs"/>
          <w:rtl/>
        </w:rPr>
      </w:pPr>
      <w:r>
        <w:rPr>
          <w:rStyle w:val="default"/>
          <w:rFonts w:cs="FrankRuehl" w:hint="cs"/>
          <w:rtl/>
        </w:rPr>
        <w:tab/>
        <w:t xml:space="preserve">"בית חולים" </w:t>
      </w:r>
      <w:r>
        <w:rPr>
          <w:rStyle w:val="default"/>
          <w:rFonts w:cs="FrankRuehl"/>
          <w:rtl/>
        </w:rPr>
        <w:t>–</w:t>
      </w:r>
      <w:r>
        <w:rPr>
          <w:rStyle w:val="default"/>
          <w:rFonts w:cs="FrankRuehl" w:hint="cs"/>
          <w:rtl/>
        </w:rPr>
        <w:t xml:space="preserve"> בית חולים הרשום לפי סעיף 25 לפקודה או בית חולים ממשלתי, שהמנהל אישר לעניין תקנות אלה;</w:t>
      </w:r>
    </w:p>
    <w:p w14:paraId="0367230E" w14:textId="77777777" w:rsidR="00E61634" w:rsidRDefault="00E61634" w:rsidP="00E61634">
      <w:pPr>
        <w:pStyle w:val="P00"/>
        <w:spacing w:before="72"/>
        <w:ind w:left="0" w:right="1134"/>
        <w:rPr>
          <w:rStyle w:val="default"/>
          <w:rFonts w:cs="FrankRuehl" w:hint="cs"/>
          <w:rtl/>
        </w:rPr>
      </w:pPr>
      <w:r>
        <w:rPr>
          <w:rStyle w:val="default"/>
          <w:rFonts w:cs="FrankRuehl" w:hint="cs"/>
          <w:rtl/>
        </w:rPr>
        <w:tab/>
        <w:t xml:space="preserve">"גנטיקאי אחראי" </w:t>
      </w:r>
      <w:r>
        <w:rPr>
          <w:rStyle w:val="default"/>
          <w:rFonts w:cs="FrankRuehl"/>
          <w:rtl/>
        </w:rPr>
        <w:t>–</w:t>
      </w:r>
      <w:r>
        <w:rPr>
          <w:rStyle w:val="default"/>
          <w:rFonts w:cs="FrankRuehl" w:hint="cs"/>
          <w:rtl/>
        </w:rPr>
        <w:t xml:space="preserve"> רופא גנטיקאי כהגדרתו בחוק מידע גנטי, התשס"א-2000 (להלן </w:t>
      </w:r>
      <w:r>
        <w:rPr>
          <w:rStyle w:val="default"/>
          <w:rFonts w:cs="FrankRuehl"/>
          <w:rtl/>
        </w:rPr>
        <w:t>–</w:t>
      </w:r>
      <w:r>
        <w:rPr>
          <w:rStyle w:val="default"/>
          <w:rFonts w:cs="FrankRuehl" w:hint="cs"/>
          <w:rtl/>
        </w:rPr>
        <w:t xml:space="preserve"> חוק מידע גנטי), האחראי במעבדה רפואית על תהליך ביצוע בדיקות גנטיות בדגימה ומסירת התוצאות;</w:t>
      </w:r>
    </w:p>
    <w:p w14:paraId="26B87A92" w14:textId="77777777" w:rsidR="00E61634" w:rsidRDefault="00E61634" w:rsidP="00E61634">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המנהל הכללי של משרד הבריאות או מי שהוא הסמיך לעניין תקנות אלה;</w:t>
      </w:r>
    </w:p>
    <w:p w14:paraId="0E430C82" w14:textId="77777777" w:rsidR="00E61634" w:rsidRDefault="00E61634" w:rsidP="00E61634">
      <w:pPr>
        <w:pStyle w:val="P00"/>
        <w:spacing w:before="72"/>
        <w:ind w:left="0" w:right="1134"/>
        <w:rPr>
          <w:rStyle w:val="default"/>
          <w:rFonts w:cs="FrankRuehl" w:hint="cs"/>
          <w:rtl/>
        </w:rPr>
      </w:pPr>
      <w:r>
        <w:rPr>
          <w:rStyle w:val="default"/>
          <w:rFonts w:cs="FrankRuehl" w:hint="cs"/>
          <w:rtl/>
        </w:rPr>
        <w:tab/>
        <w:t xml:space="preserve">"ייעוץ גנטי" </w:t>
      </w:r>
      <w:r>
        <w:rPr>
          <w:rStyle w:val="default"/>
          <w:rFonts w:cs="FrankRuehl"/>
          <w:rtl/>
        </w:rPr>
        <w:t>–</w:t>
      </w:r>
      <w:r>
        <w:rPr>
          <w:rStyle w:val="default"/>
          <w:rFonts w:cs="FrankRuehl" w:hint="cs"/>
          <w:rtl/>
        </w:rPr>
        <w:t xml:space="preserve"> מתן הסבר להורים לעתיד בדבר האפשרות להוליד ילד עם פגם מולד על רקע גנטי או עם מחלה גנטית או תורשתית או שיהיה נשא גן של מחלה כאמור, ובדבר הדרכים </w:t>
      </w:r>
      <w:r w:rsidR="00DD4C30">
        <w:rPr>
          <w:rStyle w:val="default"/>
          <w:rFonts w:cs="FrankRuehl" w:hint="cs"/>
          <w:rtl/>
        </w:rPr>
        <w:t>לאבחון ומניעה של פגמים ומחלות כאמור, על ידי אחד המורשים לתת ייעוץ גנטי לפי סעיף 10 לחוק מידע גנטי;</w:t>
      </w:r>
    </w:p>
    <w:p w14:paraId="3D43860F" w14:textId="77777777" w:rsidR="00DD4C30" w:rsidRDefault="00DD4C30" w:rsidP="00E61634">
      <w:pPr>
        <w:pStyle w:val="P00"/>
        <w:spacing w:before="72"/>
        <w:ind w:left="0" w:right="1134"/>
        <w:rPr>
          <w:rStyle w:val="default"/>
          <w:rFonts w:cs="FrankRuehl" w:hint="cs"/>
          <w:rtl/>
        </w:rPr>
      </w:pPr>
      <w:r>
        <w:rPr>
          <w:rStyle w:val="default"/>
          <w:rFonts w:cs="FrankRuehl" w:hint="cs"/>
          <w:rtl/>
        </w:rPr>
        <w:tab/>
        <w:t xml:space="preserve">"מעבדה ציטוגנטית" </w:t>
      </w:r>
      <w:r>
        <w:rPr>
          <w:rStyle w:val="default"/>
          <w:rFonts w:cs="FrankRuehl"/>
          <w:rtl/>
        </w:rPr>
        <w:t>–</w:t>
      </w:r>
      <w:r>
        <w:rPr>
          <w:rStyle w:val="default"/>
          <w:rFonts w:cs="FrankRuehl" w:hint="cs"/>
          <w:rtl/>
        </w:rPr>
        <w:t xml:space="preserve"> מעבדה רפואית המורשית, לפי תנאי רישיונה, לבצע בדיקות ציטוגנטיות;</w:t>
      </w:r>
    </w:p>
    <w:p w14:paraId="627AB514" w14:textId="77777777" w:rsidR="00DD4C30" w:rsidRDefault="00DD4C30" w:rsidP="00E61634">
      <w:pPr>
        <w:pStyle w:val="P00"/>
        <w:spacing w:before="72"/>
        <w:ind w:left="0" w:right="1134"/>
        <w:rPr>
          <w:rStyle w:val="default"/>
          <w:rFonts w:cs="FrankRuehl" w:hint="cs"/>
          <w:rtl/>
        </w:rPr>
      </w:pPr>
      <w:r>
        <w:rPr>
          <w:rStyle w:val="default"/>
          <w:rFonts w:cs="FrankRuehl" w:hint="cs"/>
          <w:rtl/>
        </w:rPr>
        <w:tab/>
        <w:t xml:space="preserve">"מעבדה רפואית" </w:t>
      </w:r>
      <w:r>
        <w:rPr>
          <w:rStyle w:val="default"/>
          <w:rFonts w:cs="FrankRuehl"/>
          <w:rtl/>
        </w:rPr>
        <w:t>–</w:t>
      </w:r>
      <w:r>
        <w:rPr>
          <w:rStyle w:val="default"/>
          <w:rFonts w:cs="FrankRuehl" w:hint="cs"/>
          <w:rtl/>
        </w:rPr>
        <w:t xml:space="preserve"> כהגדרתה בתקנות בריאות העם (מעבדות רפואיות), התשל"ז-1977;</w:t>
      </w:r>
    </w:p>
    <w:p w14:paraId="1881B2FC" w14:textId="77777777" w:rsidR="00DD4C30" w:rsidRDefault="00DD4C30" w:rsidP="00E61634">
      <w:pPr>
        <w:pStyle w:val="P00"/>
        <w:spacing w:before="72"/>
        <w:ind w:left="0" w:right="1134"/>
        <w:rPr>
          <w:rStyle w:val="default"/>
          <w:rFonts w:cs="FrankRuehl" w:hint="cs"/>
          <w:rtl/>
        </w:rPr>
      </w:pPr>
      <w:r>
        <w:rPr>
          <w:rStyle w:val="default"/>
          <w:rFonts w:cs="FrankRuehl" w:hint="cs"/>
          <w:rtl/>
        </w:rPr>
        <w:tab/>
        <w:t xml:space="preserve">"מרפאה כירורגית" </w:t>
      </w:r>
      <w:r>
        <w:rPr>
          <w:rStyle w:val="default"/>
          <w:rFonts w:cs="FrankRuehl"/>
          <w:rtl/>
        </w:rPr>
        <w:t>–</w:t>
      </w:r>
      <w:r>
        <w:rPr>
          <w:rStyle w:val="default"/>
          <w:rFonts w:cs="FrankRuehl" w:hint="cs"/>
          <w:rtl/>
        </w:rPr>
        <w:t xml:space="preserve"> מרפאה כירורגית הרשומה לפי סעיף 34 לפקודה ותקנות בריאות העם (רישום מרפאות), התשמ"ז-1987, וכן מרפאה לכירורגיה קטנה או בינונית של קופת חולים, שאישר המנהל לעניין תקנות אלה;</w:t>
      </w:r>
    </w:p>
    <w:p w14:paraId="42BC248B" w14:textId="77777777" w:rsidR="00DD4C30" w:rsidRDefault="00DD4C30" w:rsidP="00E61634">
      <w:pPr>
        <w:pStyle w:val="P00"/>
        <w:spacing w:before="72"/>
        <w:ind w:left="0" w:right="1134"/>
        <w:rPr>
          <w:rStyle w:val="default"/>
          <w:rFonts w:cs="FrankRuehl" w:hint="cs"/>
          <w:rtl/>
        </w:rPr>
      </w:pPr>
      <w:r>
        <w:rPr>
          <w:rStyle w:val="default"/>
          <w:rFonts w:cs="FrankRuehl" w:hint="cs"/>
          <w:rtl/>
        </w:rPr>
        <w:tab/>
        <w:t xml:space="preserve">"רופא אחראי" </w:t>
      </w:r>
      <w:r>
        <w:rPr>
          <w:rStyle w:val="default"/>
          <w:rFonts w:cs="FrankRuehl"/>
          <w:rtl/>
        </w:rPr>
        <w:t>–</w:t>
      </w:r>
      <w:r>
        <w:rPr>
          <w:rStyle w:val="default"/>
          <w:rFonts w:cs="FrankRuehl" w:hint="cs"/>
          <w:rtl/>
        </w:rPr>
        <w:t xml:space="preserve"> רופא בעל תואר מומחה ביילוד וגיניקולוגיה או בגנטיקה רפואית שמינה מנהל בית החולים או המרפאה הכירורגית, לאחראי באותם בית חולים או מרפאה כירורגית לעניין תקנות אלה;</w:t>
      </w:r>
    </w:p>
    <w:p w14:paraId="46D2CEC6" w14:textId="77777777" w:rsidR="00DD4C30" w:rsidRDefault="00DD4C30" w:rsidP="00E61634">
      <w:pPr>
        <w:pStyle w:val="P00"/>
        <w:spacing w:before="72"/>
        <w:ind w:left="0" w:right="1134"/>
        <w:rPr>
          <w:rStyle w:val="default"/>
          <w:rFonts w:cs="FrankRuehl" w:hint="cs"/>
          <w:rtl/>
        </w:rPr>
      </w:pPr>
      <w:r>
        <w:rPr>
          <w:rStyle w:val="default"/>
          <w:rFonts w:cs="FrankRuehl" w:hint="cs"/>
          <w:rtl/>
        </w:rPr>
        <w:tab/>
        <w:t xml:space="preserve">"תואר מומחה" </w:t>
      </w:r>
      <w:r>
        <w:rPr>
          <w:rStyle w:val="default"/>
          <w:rFonts w:cs="FrankRuehl"/>
          <w:rtl/>
        </w:rPr>
        <w:t>–</w:t>
      </w:r>
      <w:r>
        <w:rPr>
          <w:rStyle w:val="default"/>
          <w:rFonts w:cs="FrankRuehl" w:hint="cs"/>
          <w:rtl/>
        </w:rPr>
        <w:t xml:space="preserve"> תואר מומחה ביילוד וגיניקולודיה או בגנטיקה רפואית כמשמעותו בתקנות הרופאים (אישור תואר מומחה ובחינות), התשל"ג-1973.</w:t>
      </w:r>
    </w:p>
    <w:p w14:paraId="20535973" w14:textId="77777777" w:rsidR="006A18F9" w:rsidRDefault="006A18F9" w:rsidP="00DD4C30">
      <w:pPr>
        <w:pStyle w:val="P00"/>
        <w:spacing w:before="72"/>
        <w:ind w:left="0" w:right="1134"/>
        <w:rPr>
          <w:rStyle w:val="default"/>
          <w:rFonts w:cs="FrankRuehl" w:hint="cs"/>
          <w:rtl/>
        </w:rPr>
      </w:pPr>
      <w:bookmarkStart w:id="1" w:name="Seif2"/>
      <w:bookmarkEnd w:id="1"/>
      <w:r>
        <w:rPr>
          <w:lang w:val="he-IL"/>
        </w:rPr>
        <w:pict w14:anchorId="17CE7931">
          <v:rect id="_x0000_s1413" style="position:absolute;left:0;text-align:left;margin-left:464.5pt;margin-top:8.05pt;width:75.05pt;height:21.65pt;z-index:251651584" o:allowincell="f" filled="f" stroked="f" strokecolor="lime" strokeweight=".25pt">
            <v:textbox style="mso-next-textbox:#_x0000_s1413" inset="0,0,0,0">
              <w:txbxContent>
                <w:p w14:paraId="301A3A27" w14:textId="77777777" w:rsidR="006A18F9" w:rsidRDefault="00DD4C30" w:rsidP="006A18F9">
                  <w:pPr>
                    <w:spacing w:line="160" w:lineRule="exact"/>
                    <w:jc w:val="left"/>
                    <w:rPr>
                      <w:rFonts w:cs="Miriam" w:hint="cs"/>
                      <w:szCs w:val="18"/>
                      <w:rtl/>
                    </w:rPr>
                  </w:pPr>
                  <w:r>
                    <w:rPr>
                      <w:rFonts w:cs="Miriam" w:hint="cs"/>
                      <w:szCs w:val="18"/>
                      <w:rtl/>
                    </w:rPr>
                    <w:t>בדיקת אבחנה פולשנית בהיריון</w:t>
                  </w:r>
                </w:p>
              </w:txbxContent>
            </v:textbox>
            <w10:anchorlock/>
          </v:rect>
        </w:pict>
      </w:r>
      <w:r>
        <w:rPr>
          <w:rStyle w:val="big-number"/>
          <w:rFonts w:hint="cs"/>
          <w:rtl/>
        </w:rPr>
        <w:t>2</w:t>
      </w:r>
      <w:r>
        <w:rPr>
          <w:rStyle w:val="default"/>
          <w:rFonts w:cs="FrankRuehl"/>
          <w:rtl/>
        </w:rPr>
        <w:t>.</w:t>
      </w:r>
      <w:r>
        <w:rPr>
          <w:rStyle w:val="default"/>
          <w:rFonts w:cs="FrankRuehl"/>
          <w:rtl/>
        </w:rPr>
        <w:tab/>
      </w:r>
      <w:r w:rsidR="00DD4C30">
        <w:rPr>
          <w:rStyle w:val="default"/>
          <w:rFonts w:cs="FrankRuehl" w:hint="cs"/>
          <w:rtl/>
        </w:rPr>
        <w:t>לא יבצע אדם בדיקת אבחנה פולשנית בהיריון, אלא בבית חולים או במרפאה כירורגית שאושרה לפי תקנות אלה, ובלבד שבדיקת מי שפיר לאחר תום 22 שבועות ו-6 ימים מתאריך המחזור האחרון של האישה ונטילת דגימה ברחם מעובר או מדמו, תבוצע בבית חולים שאושר לעניין זה בלבד</w:t>
      </w:r>
      <w:r>
        <w:rPr>
          <w:rStyle w:val="default"/>
          <w:rFonts w:cs="FrankRuehl" w:hint="cs"/>
          <w:rtl/>
        </w:rPr>
        <w:t>.</w:t>
      </w:r>
    </w:p>
    <w:p w14:paraId="389B4A40" w14:textId="77777777" w:rsidR="006A18F9" w:rsidRDefault="006A18F9" w:rsidP="00DD4C30">
      <w:pPr>
        <w:pStyle w:val="P00"/>
        <w:spacing w:before="72"/>
        <w:ind w:left="0" w:right="1134"/>
        <w:rPr>
          <w:rStyle w:val="default"/>
          <w:rFonts w:cs="FrankRuehl" w:hint="cs"/>
          <w:rtl/>
        </w:rPr>
      </w:pPr>
      <w:bookmarkStart w:id="2" w:name="Seif3"/>
      <w:bookmarkEnd w:id="2"/>
      <w:r>
        <w:rPr>
          <w:lang w:val="he-IL"/>
        </w:rPr>
        <w:pict w14:anchorId="670C0FDC">
          <v:rect id="_x0000_s1414" style="position:absolute;left:0;text-align:left;margin-left:464.5pt;margin-top:8.05pt;width:75.05pt;height:29.9pt;z-index:251652608" o:allowincell="f" filled="f" stroked="f" strokecolor="lime" strokeweight=".25pt">
            <v:textbox style="mso-next-textbox:#_x0000_s1414" inset="0,0,0,0">
              <w:txbxContent>
                <w:p w14:paraId="637E1B2B" w14:textId="77777777" w:rsidR="006A18F9" w:rsidRDefault="00DD4C30" w:rsidP="006A18F9">
                  <w:pPr>
                    <w:spacing w:line="160" w:lineRule="exact"/>
                    <w:jc w:val="left"/>
                    <w:rPr>
                      <w:rFonts w:cs="Miriam" w:hint="cs"/>
                      <w:szCs w:val="18"/>
                      <w:rtl/>
                    </w:rPr>
                  </w:pPr>
                  <w:r>
                    <w:rPr>
                      <w:rFonts w:cs="Miriam" w:hint="cs"/>
                      <w:szCs w:val="18"/>
                      <w:rtl/>
                    </w:rPr>
                    <w:t>תנאים מוקדמים לבדיקת אבחנה פולשנית בהיריון</w:t>
                  </w:r>
                </w:p>
              </w:txbxContent>
            </v:textbox>
            <w10:anchorlock/>
          </v:rect>
        </w:pict>
      </w:r>
      <w:r>
        <w:rPr>
          <w:rStyle w:val="big-number"/>
          <w:rFonts w:hint="cs"/>
          <w:rtl/>
        </w:rPr>
        <w:t>3</w:t>
      </w:r>
      <w:r>
        <w:rPr>
          <w:rStyle w:val="default"/>
          <w:rFonts w:cs="FrankRuehl"/>
          <w:rtl/>
        </w:rPr>
        <w:t>.</w:t>
      </w:r>
      <w:r>
        <w:rPr>
          <w:rStyle w:val="default"/>
          <w:rFonts w:cs="FrankRuehl"/>
          <w:rtl/>
        </w:rPr>
        <w:tab/>
      </w:r>
      <w:r w:rsidR="00DD4C30">
        <w:rPr>
          <w:rStyle w:val="default"/>
          <w:rFonts w:cs="FrankRuehl" w:hint="cs"/>
          <w:rtl/>
        </w:rPr>
        <w:t>(א)</w:t>
      </w:r>
      <w:r w:rsidR="00DD4C30">
        <w:rPr>
          <w:rStyle w:val="default"/>
          <w:rFonts w:cs="FrankRuehl" w:hint="cs"/>
          <w:rtl/>
        </w:rPr>
        <w:tab/>
        <w:t xml:space="preserve">בדיקת אבחנה פולשנית בהיריון לא תיעשה אלא אם כן האישה שבהיריון </w:t>
      </w:r>
      <w:r w:rsidR="00DD4C30">
        <w:rPr>
          <w:rStyle w:val="default"/>
          <w:rFonts w:cs="FrankRuehl"/>
          <w:rtl/>
        </w:rPr>
        <w:t>–</w:t>
      </w:r>
    </w:p>
    <w:p w14:paraId="387C38F1" w14:textId="77777777" w:rsidR="00DD4C30" w:rsidRDefault="00DD4C30" w:rsidP="00DD4C3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קיבלה הסבר וייעוץ גנטי מאדם המורשה לתת ייעוץ גנטי לפי סעיפים 9 ו-10 לחוק מידע גנטי;</w:t>
      </w:r>
    </w:p>
    <w:p w14:paraId="10A1382A" w14:textId="77777777" w:rsidR="00DD4C30" w:rsidRDefault="00DD4C30" w:rsidP="00DD4C3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נתנה את הסכמתה מדעת בכתב לביצוע בדיקת האבחנה הפולשנית בהיריון, לפי חוק זכויות החולה, התשנ"ו-1996, וחוק מידע גנטי.</w:t>
      </w:r>
    </w:p>
    <w:p w14:paraId="13F46918" w14:textId="77777777" w:rsidR="00DD4C30" w:rsidRDefault="00DD4C30" w:rsidP="00DD4C30">
      <w:pPr>
        <w:pStyle w:val="P00"/>
        <w:spacing w:before="72"/>
        <w:ind w:left="0" w:right="1134"/>
        <w:rPr>
          <w:rStyle w:val="default"/>
          <w:rFonts w:cs="FrankRuehl" w:hint="cs"/>
          <w:rtl/>
        </w:rPr>
      </w:pPr>
      <w:r>
        <w:rPr>
          <w:rStyle w:val="default"/>
          <w:rFonts w:cs="FrankRuehl" w:hint="cs"/>
          <w:rtl/>
        </w:rPr>
        <w:lastRenderedPageBreak/>
        <w:tab/>
        <w:t>(ב)</w:t>
      </w:r>
      <w:r>
        <w:rPr>
          <w:rStyle w:val="default"/>
          <w:rFonts w:cs="FrankRuehl" w:hint="cs"/>
          <w:rtl/>
        </w:rPr>
        <w:tab/>
        <w:t xml:space="preserve">על אף האמור בתקנת משנה (א) </w:t>
      </w:r>
      <w:r>
        <w:rPr>
          <w:rStyle w:val="default"/>
          <w:rFonts w:cs="FrankRuehl"/>
          <w:rtl/>
        </w:rPr>
        <w:t>–</w:t>
      </w:r>
    </w:p>
    <w:p w14:paraId="22707C49" w14:textId="77777777" w:rsidR="00DD4C30" w:rsidRDefault="00DD4C30" w:rsidP="00DD4C3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לאחר תום 22 שבועות ו-6 ימים מתאריך המחזור האחרון של האישה, יבצע רופא בדיקת אבחנה פולשנית בהיריון, רק אם גנטיקאי אחראי אישר מראש ובכתב שהיא נחוצה, כי קיימת אפשרות סבירה שהוולד יסבול מהפרעות גנטיות, מחלות או מומים מלידה, הניתנים לאבחנה באמצעות הבדיקה האמורה;</w:t>
      </w:r>
    </w:p>
    <w:p w14:paraId="505CC9B2" w14:textId="77777777" w:rsidR="00DD4C30" w:rsidRDefault="00DD4C30" w:rsidP="00DD4C3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ניטלו כדין מאישה מי שפיר או דגימת סיסי שיליה או דגימה ברחם מעובר או מדמו שלא לשם אבחנה, מותר לערוך בדגימה גם בדיקות מעבדה לשם אבחנה, ובלבד שהתקיימו התנאים שבתקנת משנה (א) לפני העברת הדגימות למעבדה לשם ביצוע אבחנה.</w:t>
      </w:r>
    </w:p>
    <w:p w14:paraId="12B28EF4" w14:textId="77777777" w:rsidR="006A18F9" w:rsidRDefault="006A18F9" w:rsidP="00DD4C30">
      <w:pPr>
        <w:pStyle w:val="P00"/>
        <w:spacing w:before="72"/>
        <w:ind w:left="0" w:right="1134"/>
        <w:rPr>
          <w:rStyle w:val="default"/>
          <w:rFonts w:cs="FrankRuehl" w:hint="cs"/>
          <w:rtl/>
        </w:rPr>
      </w:pPr>
      <w:bookmarkStart w:id="3" w:name="Seif4"/>
      <w:bookmarkEnd w:id="3"/>
      <w:r>
        <w:rPr>
          <w:lang w:val="he-IL"/>
        </w:rPr>
        <w:pict w14:anchorId="54C95A90">
          <v:rect id="_x0000_s1415" style="position:absolute;left:0;text-align:left;margin-left:464.5pt;margin-top:8.05pt;width:75.05pt;height:13.75pt;z-index:251653632" o:allowincell="f" filled="f" stroked="f" strokecolor="lime" strokeweight=".25pt">
            <v:textbox style="mso-next-textbox:#_x0000_s1415" inset="0,0,0,0">
              <w:txbxContent>
                <w:p w14:paraId="740B8A14" w14:textId="77777777" w:rsidR="006A18F9" w:rsidRDefault="00DD4C30" w:rsidP="006A18F9">
                  <w:pPr>
                    <w:spacing w:line="160" w:lineRule="exact"/>
                    <w:jc w:val="left"/>
                    <w:rPr>
                      <w:rFonts w:cs="Miriam" w:hint="cs"/>
                      <w:szCs w:val="18"/>
                      <w:rtl/>
                    </w:rPr>
                  </w:pPr>
                  <w:r>
                    <w:rPr>
                      <w:rFonts w:cs="Miriam" w:hint="cs"/>
                      <w:szCs w:val="18"/>
                      <w:rtl/>
                    </w:rPr>
                    <w:t>זכאות למימון בדיקה</w:t>
                  </w:r>
                </w:p>
              </w:txbxContent>
            </v:textbox>
            <w10:anchorlock/>
          </v:rect>
        </w:pict>
      </w:r>
      <w:r>
        <w:rPr>
          <w:rStyle w:val="big-number"/>
          <w:rFonts w:hint="cs"/>
          <w:rtl/>
        </w:rPr>
        <w:t>4</w:t>
      </w:r>
      <w:r>
        <w:rPr>
          <w:rStyle w:val="default"/>
          <w:rFonts w:cs="FrankRuehl"/>
          <w:rtl/>
        </w:rPr>
        <w:t>.</w:t>
      </w:r>
      <w:r>
        <w:rPr>
          <w:rStyle w:val="default"/>
          <w:rFonts w:cs="FrankRuehl"/>
          <w:rtl/>
        </w:rPr>
        <w:tab/>
      </w:r>
      <w:r w:rsidR="00DD4C30">
        <w:rPr>
          <w:rStyle w:val="default"/>
          <w:rFonts w:cs="FrankRuehl" w:hint="cs"/>
          <w:rtl/>
        </w:rPr>
        <w:t>אישה בהיריון שגילה היה 37 שנים לפחות בתחילת ההיריון, או שלהנחת דעתו של רופא אחראי קיימת אפשרות סבירה שוולדה עלול לסבול מהפרעות גנטיות, מחלות או מומים מלידה, הניתנים לאבחנה, זכאית למימון בדיקת אבחנה פולשנית בהיריון בהתאם לתקנות אלה.</w:t>
      </w:r>
    </w:p>
    <w:p w14:paraId="6722DF96" w14:textId="77777777" w:rsidR="006A18F9" w:rsidRDefault="006A18F9" w:rsidP="00DD4C30">
      <w:pPr>
        <w:pStyle w:val="P00"/>
        <w:spacing w:before="72"/>
        <w:ind w:left="0" w:right="1134"/>
        <w:rPr>
          <w:rStyle w:val="default"/>
          <w:rFonts w:cs="FrankRuehl" w:hint="cs"/>
          <w:rtl/>
        </w:rPr>
      </w:pPr>
      <w:bookmarkStart w:id="4" w:name="Seif5"/>
      <w:bookmarkEnd w:id="4"/>
      <w:r>
        <w:rPr>
          <w:lang w:val="he-IL"/>
        </w:rPr>
        <w:pict w14:anchorId="4BA438E1">
          <v:rect id="_x0000_s1416" style="position:absolute;left:0;text-align:left;margin-left:464.5pt;margin-top:8.05pt;width:75.05pt;height:21.5pt;z-index:251654656" o:allowincell="f" filled="f" stroked="f" strokecolor="lime" strokeweight=".25pt">
            <v:textbox style="mso-next-textbox:#_x0000_s1416" inset="0,0,0,0">
              <w:txbxContent>
                <w:p w14:paraId="7723FBA6" w14:textId="77777777" w:rsidR="006A18F9" w:rsidRDefault="00DD4C30" w:rsidP="006A18F9">
                  <w:pPr>
                    <w:spacing w:line="160" w:lineRule="exact"/>
                    <w:jc w:val="left"/>
                    <w:rPr>
                      <w:rFonts w:cs="Miriam" w:hint="cs"/>
                      <w:szCs w:val="18"/>
                      <w:rtl/>
                    </w:rPr>
                  </w:pPr>
                  <w:r>
                    <w:rPr>
                      <w:rFonts w:cs="Miriam" w:hint="cs"/>
                      <w:szCs w:val="18"/>
                      <w:rtl/>
                    </w:rPr>
                    <w:t>תחולת חוק מידע גנטי</w:t>
                  </w:r>
                </w:p>
              </w:txbxContent>
            </v:textbox>
            <w10:anchorlock/>
          </v:rect>
        </w:pict>
      </w:r>
      <w:r>
        <w:rPr>
          <w:rStyle w:val="big-number"/>
          <w:rFonts w:hint="cs"/>
          <w:rtl/>
        </w:rPr>
        <w:t>5</w:t>
      </w:r>
      <w:r>
        <w:rPr>
          <w:rStyle w:val="default"/>
          <w:rFonts w:cs="FrankRuehl"/>
          <w:rtl/>
        </w:rPr>
        <w:t>.</w:t>
      </w:r>
      <w:r>
        <w:rPr>
          <w:rStyle w:val="default"/>
          <w:rFonts w:cs="FrankRuehl"/>
          <w:rtl/>
        </w:rPr>
        <w:tab/>
      </w:r>
      <w:r w:rsidR="00DD4C30">
        <w:rPr>
          <w:rStyle w:val="default"/>
          <w:rFonts w:cs="FrankRuehl" w:hint="cs"/>
          <w:rtl/>
        </w:rPr>
        <w:t>ייעוץ גנטי, נטילת דגימה, עריכת בדיקה גנטית ומסירת תוצאות הבדיקה ייעשו לפי חוק מידע גנטי, בכפוף להוראות תקנה 11</w:t>
      </w:r>
      <w:r>
        <w:rPr>
          <w:rStyle w:val="default"/>
          <w:rFonts w:cs="FrankRuehl" w:hint="cs"/>
          <w:rtl/>
        </w:rPr>
        <w:t>.</w:t>
      </w:r>
    </w:p>
    <w:p w14:paraId="3FE85921" w14:textId="77777777" w:rsidR="006A18F9" w:rsidRDefault="006A18F9" w:rsidP="00DD4C30">
      <w:pPr>
        <w:pStyle w:val="P00"/>
        <w:spacing w:before="72"/>
        <w:ind w:left="0" w:right="1134"/>
        <w:rPr>
          <w:rStyle w:val="default"/>
          <w:rFonts w:cs="FrankRuehl" w:hint="cs"/>
          <w:rtl/>
        </w:rPr>
      </w:pPr>
      <w:bookmarkStart w:id="5" w:name="Seif6"/>
      <w:bookmarkEnd w:id="5"/>
      <w:r>
        <w:rPr>
          <w:lang w:val="he-IL"/>
        </w:rPr>
        <w:pict w14:anchorId="7626DF29">
          <v:rect id="_x0000_s1417" style="position:absolute;left:0;text-align:left;margin-left:464.5pt;margin-top:8.05pt;width:75.05pt;height:13.3pt;z-index:251655680" o:allowincell="f" filled="f" stroked="f" strokecolor="lime" strokeweight=".25pt">
            <v:textbox style="mso-next-textbox:#_x0000_s1417" inset="0,0,0,0">
              <w:txbxContent>
                <w:p w14:paraId="7170FDAC" w14:textId="77777777" w:rsidR="006A18F9" w:rsidRDefault="00DD4C30" w:rsidP="006A18F9">
                  <w:pPr>
                    <w:spacing w:line="160" w:lineRule="exact"/>
                    <w:jc w:val="left"/>
                    <w:rPr>
                      <w:rFonts w:cs="Miriam" w:hint="cs"/>
                      <w:szCs w:val="18"/>
                      <w:rtl/>
                    </w:rPr>
                  </w:pPr>
                  <w:r>
                    <w:rPr>
                      <w:rFonts w:cs="Miriam" w:hint="cs"/>
                      <w:szCs w:val="18"/>
                      <w:rtl/>
                    </w:rPr>
                    <w:t>ייחוד פעולה</w:t>
                  </w:r>
                </w:p>
              </w:txbxContent>
            </v:textbox>
            <w10:anchorlock/>
          </v:rect>
        </w:pict>
      </w:r>
      <w:r>
        <w:rPr>
          <w:rStyle w:val="big-number"/>
          <w:rFonts w:hint="cs"/>
          <w:rtl/>
        </w:rPr>
        <w:t>6</w:t>
      </w:r>
      <w:r>
        <w:rPr>
          <w:rStyle w:val="default"/>
          <w:rFonts w:cs="FrankRuehl"/>
          <w:rtl/>
        </w:rPr>
        <w:t>.</w:t>
      </w:r>
      <w:r>
        <w:rPr>
          <w:rStyle w:val="default"/>
          <w:rFonts w:cs="FrankRuehl"/>
          <w:rtl/>
        </w:rPr>
        <w:tab/>
      </w:r>
      <w:r w:rsidR="00DD4C30">
        <w:rPr>
          <w:rStyle w:val="default"/>
          <w:rFonts w:cs="FrankRuehl" w:hint="cs"/>
          <w:rtl/>
        </w:rPr>
        <w:t>בדיקה תיעשה רק בידי רופא בעל תואר מומחה ביילוד ובגיניקולוגיה או בידי רופא המתמחה לקראת תואר זה במוסד רפואי המוכר להתמחות ובפיקוחו של בעל תואר מומחה כאמור</w:t>
      </w:r>
      <w:r>
        <w:rPr>
          <w:rStyle w:val="default"/>
          <w:rFonts w:cs="FrankRuehl" w:hint="cs"/>
          <w:rtl/>
        </w:rPr>
        <w:t>.</w:t>
      </w:r>
    </w:p>
    <w:p w14:paraId="4FB02672" w14:textId="77777777" w:rsidR="006A18F9" w:rsidRDefault="006A18F9" w:rsidP="00DD4C30">
      <w:pPr>
        <w:pStyle w:val="P00"/>
        <w:spacing w:before="72"/>
        <w:ind w:left="0" w:right="1134"/>
        <w:rPr>
          <w:rStyle w:val="default"/>
          <w:rFonts w:cs="FrankRuehl" w:hint="cs"/>
          <w:rtl/>
        </w:rPr>
      </w:pPr>
      <w:bookmarkStart w:id="6" w:name="Seif7"/>
      <w:bookmarkEnd w:id="6"/>
      <w:r>
        <w:rPr>
          <w:lang w:val="he-IL"/>
        </w:rPr>
        <w:pict w14:anchorId="4C4C166A">
          <v:rect id="_x0000_s1418" style="position:absolute;left:0;text-align:left;margin-left:464.5pt;margin-top:8.05pt;width:75.05pt;height:13.4pt;z-index:251656704" o:allowincell="f" filled="f" stroked="f" strokecolor="lime" strokeweight=".25pt">
            <v:textbox style="mso-next-textbox:#_x0000_s1418" inset="0,0,0,0">
              <w:txbxContent>
                <w:p w14:paraId="7C3224BB" w14:textId="77777777" w:rsidR="006A18F9" w:rsidRDefault="00DD4C30" w:rsidP="006A18F9">
                  <w:pPr>
                    <w:spacing w:line="160" w:lineRule="exact"/>
                    <w:jc w:val="left"/>
                    <w:rPr>
                      <w:rFonts w:cs="Miriam" w:hint="cs"/>
                      <w:szCs w:val="18"/>
                      <w:rtl/>
                    </w:rPr>
                  </w:pPr>
                  <w:r>
                    <w:rPr>
                      <w:rFonts w:cs="Miriam" w:hint="cs"/>
                      <w:szCs w:val="18"/>
                      <w:rtl/>
                    </w:rPr>
                    <w:t>בדיקת הדגימה</w:t>
                  </w:r>
                </w:p>
              </w:txbxContent>
            </v:textbox>
            <w10:anchorlock/>
          </v:rect>
        </w:pict>
      </w:r>
      <w:r>
        <w:rPr>
          <w:rStyle w:val="big-number"/>
          <w:rFonts w:hint="cs"/>
          <w:rtl/>
        </w:rPr>
        <w:t>7</w:t>
      </w:r>
      <w:r>
        <w:rPr>
          <w:rStyle w:val="default"/>
          <w:rFonts w:cs="FrankRuehl"/>
          <w:rtl/>
        </w:rPr>
        <w:t>.</w:t>
      </w:r>
      <w:r>
        <w:rPr>
          <w:rStyle w:val="default"/>
          <w:rFonts w:cs="FrankRuehl"/>
          <w:rtl/>
        </w:rPr>
        <w:tab/>
      </w:r>
      <w:r w:rsidR="00DD4C30">
        <w:rPr>
          <w:rStyle w:val="default"/>
          <w:rFonts w:cs="FrankRuehl" w:hint="cs"/>
          <w:rtl/>
        </w:rPr>
        <w:t>דגימה שניטלה בבדיקת אבחנה פולשנית בהיריון תישלח למעבדה ציטוגנטית לבדיקת מעבדה; בדיקות שאינן ציטוגנטיות יבוצעו בהפניית רופא גנטיקאי בלבד ויישלחו למעבדה רפואית המורשית לפי תנאי רישיונה לבצע את הבדיקה הנדרשת.</w:t>
      </w:r>
    </w:p>
    <w:p w14:paraId="33BFCCFD" w14:textId="77777777" w:rsidR="007551B3" w:rsidRDefault="007551B3" w:rsidP="00DD4C30">
      <w:pPr>
        <w:pStyle w:val="P00"/>
        <w:spacing w:before="72"/>
        <w:ind w:left="0" w:right="1134"/>
        <w:rPr>
          <w:rStyle w:val="default"/>
          <w:rFonts w:cs="FrankRuehl" w:hint="cs"/>
          <w:rtl/>
        </w:rPr>
      </w:pPr>
      <w:bookmarkStart w:id="7" w:name="Seif8"/>
      <w:bookmarkEnd w:id="7"/>
      <w:r>
        <w:rPr>
          <w:lang w:val="he-IL"/>
        </w:rPr>
        <w:pict w14:anchorId="1E04B75A">
          <v:rect id="_x0000_s1419" style="position:absolute;left:0;text-align:left;margin-left:464.5pt;margin-top:8.05pt;width:75.05pt;height:18.45pt;z-index:251657728" o:allowincell="f" filled="f" stroked="f" strokecolor="lime" strokeweight=".25pt">
            <v:textbox style="mso-next-textbox:#_x0000_s1419" inset="0,0,0,0">
              <w:txbxContent>
                <w:p w14:paraId="04CCA520" w14:textId="77777777" w:rsidR="007551B3" w:rsidRDefault="00DD4C30" w:rsidP="007551B3">
                  <w:pPr>
                    <w:spacing w:line="160" w:lineRule="exact"/>
                    <w:jc w:val="left"/>
                    <w:rPr>
                      <w:rFonts w:cs="Miriam" w:hint="cs"/>
                      <w:szCs w:val="18"/>
                      <w:rtl/>
                    </w:rPr>
                  </w:pPr>
                  <w:r>
                    <w:rPr>
                      <w:rFonts w:cs="Miriam" w:hint="cs"/>
                      <w:szCs w:val="18"/>
                      <w:rtl/>
                    </w:rPr>
                    <w:t>העברת דגימה לבדיקת מעבדה</w:t>
                  </w:r>
                </w:p>
              </w:txbxContent>
            </v:textbox>
            <w10:anchorlock/>
          </v:rect>
        </w:pict>
      </w:r>
      <w:r w:rsidR="00DD4C30">
        <w:rPr>
          <w:rStyle w:val="big-number"/>
          <w:rFonts w:hint="cs"/>
          <w:rtl/>
        </w:rPr>
        <w:t>8</w:t>
      </w:r>
      <w:r>
        <w:rPr>
          <w:rStyle w:val="default"/>
          <w:rFonts w:cs="FrankRuehl"/>
          <w:rtl/>
        </w:rPr>
        <w:t>.</w:t>
      </w:r>
      <w:r>
        <w:rPr>
          <w:rStyle w:val="default"/>
          <w:rFonts w:cs="FrankRuehl"/>
          <w:rtl/>
        </w:rPr>
        <w:tab/>
      </w:r>
      <w:r w:rsidR="00DD4C30">
        <w:rPr>
          <w:rStyle w:val="default"/>
          <w:rFonts w:cs="FrankRuehl" w:hint="cs"/>
          <w:rtl/>
        </w:rPr>
        <w:t>(א)</w:t>
      </w:r>
      <w:r w:rsidR="00DD4C30">
        <w:rPr>
          <w:rStyle w:val="default"/>
          <w:rFonts w:cs="FrankRuehl" w:hint="cs"/>
          <w:rtl/>
        </w:rPr>
        <w:tab/>
        <w:t>הרופא האחראי יוודא העברת הדגימה שניטלה בבדיקת אבחנה פולשנית בהיריון, אל מעבדה ציטוגנטית מתאימה בתוך זמן סביר, ותוך הקפדה על הבטחת איכות הדגימה ושימורה מנטילתה ועד הגעתה למעבדה.</w:t>
      </w:r>
    </w:p>
    <w:p w14:paraId="6027DD20" w14:textId="77777777" w:rsidR="00DD4C30" w:rsidRDefault="00DD4C30" w:rsidP="00DD4C3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תאריך ושעת ביצוע הבדיקה, וכן תאריך ושעת המסירה למעבדה, ופרטי מוסר הדגימה ופרטי מקבלה יתועדו בכתב.</w:t>
      </w:r>
    </w:p>
    <w:p w14:paraId="745AFEF2" w14:textId="77777777" w:rsidR="007551B3" w:rsidRDefault="007551B3" w:rsidP="00DD4C30">
      <w:pPr>
        <w:pStyle w:val="P00"/>
        <w:spacing w:before="72"/>
        <w:ind w:left="0" w:right="1134"/>
        <w:rPr>
          <w:rStyle w:val="default"/>
          <w:rFonts w:cs="FrankRuehl" w:hint="cs"/>
          <w:rtl/>
        </w:rPr>
      </w:pPr>
      <w:bookmarkStart w:id="8" w:name="Seif9"/>
      <w:bookmarkEnd w:id="8"/>
      <w:r>
        <w:rPr>
          <w:lang w:val="he-IL"/>
        </w:rPr>
        <w:pict w14:anchorId="35FABF2E">
          <v:rect id="_x0000_s1420" style="position:absolute;left:0;text-align:left;margin-left:464.5pt;margin-top:8.05pt;width:75.05pt;height:21.35pt;z-index:251658752" o:allowincell="f" filled="f" stroked="f" strokecolor="lime" strokeweight=".25pt">
            <v:textbox style="mso-next-textbox:#_x0000_s1420" inset="0,0,0,0">
              <w:txbxContent>
                <w:p w14:paraId="4C3CA599" w14:textId="77777777" w:rsidR="007551B3" w:rsidRDefault="00DD4C30" w:rsidP="007551B3">
                  <w:pPr>
                    <w:spacing w:line="160" w:lineRule="exact"/>
                    <w:jc w:val="left"/>
                    <w:rPr>
                      <w:rFonts w:cs="Miriam" w:hint="cs"/>
                      <w:szCs w:val="18"/>
                      <w:rtl/>
                    </w:rPr>
                  </w:pPr>
                  <w:r>
                    <w:rPr>
                      <w:rFonts w:cs="Miriam" w:hint="cs"/>
                      <w:szCs w:val="18"/>
                      <w:rtl/>
                    </w:rPr>
                    <w:t>תנאים לאישור בית חולים</w:t>
                  </w:r>
                </w:p>
              </w:txbxContent>
            </v:textbox>
            <w10:anchorlock/>
          </v:rect>
        </w:pict>
      </w:r>
      <w:r w:rsidR="00DD4C30">
        <w:rPr>
          <w:rStyle w:val="big-number"/>
          <w:rFonts w:hint="cs"/>
          <w:rtl/>
        </w:rPr>
        <w:t>9</w:t>
      </w:r>
      <w:r>
        <w:rPr>
          <w:rStyle w:val="default"/>
          <w:rFonts w:cs="FrankRuehl"/>
          <w:rtl/>
        </w:rPr>
        <w:t>.</w:t>
      </w:r>
      <w:r>
        <w:rPr>
          <w:rStyle w:val="default"/>
          <w:rFonts w:cs="FrankRuehl"/>
          <w:rtl/>
        </w:rPr>
        <w:tab/>
      </w:r>
      <w:r w:rsidR="00DD4C30">
        <w:rPr>
          <w:rStyle w:val="default"/>
          <w:rFonts w:cs="FrankRuehl" w:hint="cs"/>
          <w:rtl/>
        </w:rPr>
        <w:t>(א)</w:t>
      </w:r>
      <w:r w:rsidR="00DD4C30">
        <w:rPr>
          <w:rStyle w:val="default"/>
          <w:rFonts w:cs="FrankRuehl" w:hint="cs"/>
          <w:rtl/>
        </w:rPr>
        <w:tab/>
        <w:t>לא יאשר המנהל בית חולים לעניין תקנות אלה, אלא אם כן התקיימו בו כל התנאים המפורטים להלן:</w:t>
      </w:r>
    </w:p>
    <w:p w14:paraId="61F38073" w14:textId="77777777" w:rsidR="00DD4C30" w:rsidRDefault="00DD4C30" w:rsidP="005F4D1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מנהל בית החולים מינה רופא אחראי;</w:t>
      </w:r>
    </w:p>
    <w:p w14:paraId="5593A367" w14:textId="77777777" w:rsidR="00DD4C30" w:rsidRDefault="00DD4C30" w:rsidP="005F4D1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בכל עת שמבוצעת בדיקת אבחנה פולשנית בהיריון, נוכח במקום שבו נערכת הבדיקה רופא נוסף או אחות או טכנאי על-קול (אולטרסאונד);</w:t>
      </w:r>
    </w:p>
    <w:p w14:paraId="1BF08847" w14:textId="77777777" w:rsidR="00DD4C30" w:rsidRDefault="00DD4C30" w:rsidP="005F4D1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בבית החולים קיימים נוהלי שמירה על סטריליות במהלך הבדיקה;</w:t>
      </w:r>
    </w:p>
    <w:p w14:paraId="75A8C7CF" w14:textId="77777777" w:rsidR="00DD4C30" w:rsidRDefault="00DD4C30" w:rsidP="005F4D1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בבית החולים יש מכשיר על-קול (אולטרסאונד) המתאים לביצוע הבדיקות;</w:t>
      </w:r>
    </w:p>
    <w:p w14:paraId="67063CFE" w14:textId="77777777" w:rsidR="00DD4C30" w:rsidRDefault="00DD4C30" w:rsidP="005F4D1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בסמוך למקום שמבוצעת בו בדיקת אבחנה פולשנית בהיריון יש חדר המתנה והתאוששות;</w:t>
      </w:r>
    </w:p>
    <w:p w14:paraId="755ED295" w14:textId="77777777" w:rsidR="00DD4C30" w:rsidRDefault="00DD4C30" w:rsidP="005F4D1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5F4D1A">
        <w:rPr>
          <w:rStyle w:val="default"/>
          <w:rFonts w:cs="FrankRuehl" w:hint="cs"/>
          <w:rtl/>
        </w:rPr>
        <w:t>העובדים העוסקים בביצוע הבדיקות בקיאים בהנחיות משרד הבריאות לביצוע בדיקות אבחנה פולשניות בהיריון ומקיימים אותן;</w:t>
      </w:r>
    </w:p>
    <w:p w14:paraId="51C19710" w14:textId="77777777" w:rsidR="005F4D1A" w:rsidRDefault="005F4D1A" w:rsidP="005F4D1A">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בבית חולים המבקש לקבל אישור לבצע גם נטילת דגימה ברחם מעובר ומדמו או בדיקת מי שפיר לאחר 22 שבועות ו-6 ימים להיריון יש חדר לידה ומחלקה לטיפול מיוחד ביילוד, הרשומים כחוק;</w:t>
      </w:r>
    </w:p>
    <w:p w14:paraId="0ACD2140" w14:textId="77777777" w:rsidR="005F4D1A" w:rsidRDefault="005F4D1A" w:rsidP="005F4D1A">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בבית חולים המבקש לקבל אישור לבצע בדיקת סיסי שיליה יש מיקרוסקופ "אינוורטד" ואדם המיומן בהפעלתו שמינה הרופא האחראי;</w:t>
      </w:r>
    </w:p>
    <w:p w14:paraId="7A813EF5" w14:textId="77777777" w:rsidR="005F4D1A" w:rsidRDefault="005F4D1A" w:rsidP="005F4D1A">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 xml:space="preserve">אין בבית החולים מעבדה ציטוגנטית שבה מועסק גנטיקאי אחראי </w:t>
      </w:r>
      <w:r>
        <w:rPr>
          <w:rStyle w:val="default"/>
          <w:rFonts w:cs="FrankRuehl"/>
          <w:rtl/>
        </w:rPr>
        <w:t>–</w:t>
      </w:r>
      <w:r>
        <w:rPr>
          <w:rStyle w:val="default"/>
          <w:rFonts w:cs="FrankRuehl" w:hint="cs"/>
          <w:rtl/>
        </w:rPr>
        <w:t xml:space="preserve"> בית החולים הציג למנהל הסכם בר-תוקף עם מעבדה ציטוגנטית כאמור, בישראל.</w:t>
      </w:r>
    </w:p>
    <w:p w14:paraId="4B592B5F" w14:textId="77777777" w:rsidR="005F4D1A" w:rsidRDefault="005F4D1A" w:rsidP="005F4D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רשאי לקבוע תנאים נוספים על המפורטים בתקנת משנה (א), לאישור בית חולים לעניין תקנות אלה, ולהסדיר בנהלים טפסים ומסמכים שיש להגישם במצורף לבקשת האישור.</w:t>
      </w:r>
    </w:p>
    <w:p w14:paraId="36E1CAC8" w14:textId="77777777" w:rsidR="007551B3" w:rsidRDefault="007551B3" w:rsidP="005F4D1A">
      <w:pPr>
        <w:pStyle w:val="P00"/>
        <w:spacing w:before="72"/>
        <w:ind w:left="0" w:right="1134"/>
        <w:rPr>
          <w:rStyle w:val="default"/>
          <w:rFonts w:cs="FrankRuehl" w:hint="cs"/>
          <w:rtl/>
        </w:rPr>
      </w:pPr>
      <w:bookmarkStart w:id="9" w:name="Seif10"/>
      <w:bookmarkEnd w:id="9"/>
      <w:r>
        <w:rPr>
          <w:lang w:val="he-IL"/>
        </w:rPr>
        <w:pict w14:anchorId="6F850620">
          <v:rect id="_x0000_s1421" style="position:absolute;left:0;text-align:left;margin-left:464.5pt;margin-top:8.05pt;width:75.05pt;height:20.35pt;z-index:251659776" o:allowincell="f" filled="f" stroked="f" strokecolor="lime" strokeweight=".25pt">
            <v:textbox style="mso-next-textbox:#_x0000_s1421" inset="0,0,0,0">
              <w:txbxContent>
                <w:p w14:paraId="74647CC2" w14:textId="77777777" w:rsidR="007551B3" w:rsidRDefault="005F4D1A" w:rsidP="007551B3">
                  <w:pPr>
                    <w:spacing w:line="160" w:lineRule="exact"/>
                    <w:jc w:val="left"/>
                    <w:rPr>
                      <w:rFonts w:cs="Miriam" w:hint="cs"/>
                      <w:szCs w:val="18"/>
                      <w:rtl/>
                    </w:rPr>
                  </w:pPr>
                  <w:r>
                    <w:rPr>
                      <w:rFonts w:cs="Miriam" w:hint="cs"/>
                      <w:szCs w:val="18"/>
                      <w:rtl/>
                    </w:rPr>
                    <w:t>תנאים לאישור מרפאה כירורגית</w:t>
                  </w:r>
                </w:p>
              </w:txbxContent>
            </v:textbox>
            <w10:anchorlock/>
          </v:rect>
        </w:pict>
      </w:r>
      <w:r>
        <w:rPr>
          <w:rStyle w:val="big-number"/>
          <w:rFonts w:hint="cs"/>
          <w:rtl/>
        </w:rPr>
        <w:t>10</w:t>
      </w:r>
      <w:r>
        <w:rPr>
          <w:rStyle w:val="default"/>
          <w:rFonts w:cs="FrankRuehl"/>
          <w:rtl/>
        </w:rPr>
        <w:t>.</w:t>
      </w:r>
      <w:r>
        <w:rPr>
          <w:rStyle w:val="default"/>
          <w:rFonts w:cs="FrankRuehl"/>
          <w:rtl/>
        </w:rPr>
        <w:tab/>
      </w:r>
      <w:r w:rsidR="005F4D1A">
        <w:rPr>
          <w:rStyle w:val="default"/>
          <w:rFonts w:cs="FrankRuehl" w:hint="cs"/>
          <w:rtl/>
        </w:rPr>
        <w:t>(א)</w:t>
      </w:r>
      <w:r w:rsidR="005F4D1A">
        <w:rPr>
          <w:rStyle w:val="default"/>
          <w:rFonts w:cs="FrankRuehl" w:hint="cs"/>
          <w:rtl/>
        </w:rPr>
        <w:tab/>
        <w:t>לא יאשר המנהל מרפאה כירורגית לעניין תקנות אלה, אלא אם כן התקיימו בה כל התנאים המפורטים בתקנה 9(א), למעט פסקה (7), בשינויים המחויבים.</w:t>
      </w:r>
    </w:p>
    <w:p w14:paraId="0F2D2A62" w14:textId="77777777" w:rsidR="005F4D1A" w:rsidRDefault="005F4D1A" w:rsidP="005F4D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תקנה 9(ב) תחול, בשינויים המחויבים, גם על מתן אישור למרפאה כירורגית.</w:t>
      </w:r>
    </w:p>
    <w:p w14:paraId="52BFAF44" w14:textId="77777777" w:rsidR="007551B3" w:rsidRDefault="007551B3" w:rsidP="005F4D1A">
      <w:pPr>
        <w:pStyle w:val="P00"/>
        <w:spacing w:before="72"/>
        <w:ind w:left="0" w:right="1134"/>
        <w:rPr>
          <w:rStyle w:val="default"/>
          <w:rFonts w:cs="FrankRuehl" w:hint="cs"/>
          <w:rtl/>
        </w:rPr>
      </w:pPr>
      <w:bookmarkStart w:id="10" w:name="Seif11"/>
      <w:bookmarkEnd w:id="10"/>
      <w:r>
        <w:rPr>
          <w:lang w:val="he-IL"/>
        </w:rPr>
        <w:pict w14:anchorId="5D48DF3A">
          <v:rect id="_x0000_s1422" style="position:absolute;left:0;text-align:left;margin-left:464.5pt;margin-top:8.05pt;width:75.05pt;height:13.4pt;z-index:251660800" o:allowincell="f" filled="f" stroked="f" strokecolor="lime" strokeweight=".25pt">
            <v:textbox style="mso-next-textbox:#_x0000_s1422" inset="0,0,0,0">
              <w:txbxContent>
                <w:p w14:paraId="196677BD" w14:textId="77777777" w:rsidR="007551B3" w:rsidRDefault="005F4D1A" w:rsidP="007551B3">
                  <w:pPr>
                    <w:spacing w:line="160" w:lineRule="exact"/>
                    <w:jc w:val="left"/>
                    <w:rPr>
                      <w:rFonts w:cs="Miriam" w:hint="cs"/>
                      <w:szCs w:val="18"/>
                      <w:rtl/>
                    </w:rPr>
                  </w:pPr>
                  <w:r>
                    <w:rPr>
                      <w:rFonts w:cs="Miriam" w:hint="cs"/>
                      <w:szCs w:val="18"/>
                      <w:rtl/>
                    </w:rPr>
                    <w:t>ממצאי הבדיקה</w:t>
                  </w:r>
                </w:p>
              </w:txbxContent>
            </v:textbox>
            <w10:anchorlock/>
          </v:rect>
        </w:pict>
      </w:r>
      <w:r>
        <w:rPr>
          <w:rStyle w:val="big-number"/>
          <w:rFonts w:hint="cs"/>
          <w:rtl/>
        </w:rPr>
        <w:t>1</w:t>
      </w:r>
      <w:r w:rsidR="005F4D1A">
        <w:rPr>
          <w:rStyle w:val="big-number"/>
          <w:rFonts w:hint="cs"/>
          <w:rtl/>
        </w:rPr>
        <w:t>1</w:t>
      </w:r>
      <w:r>
        <w:rPr>
          <w:rStyle w:val="default"/>
          <w:rFonts w:cs="FrankRuehl"/>
          <w:rtl/>
        </w:rPr>
        <w:t>.</w:t>
      </w:r>
      <w:r>
        <w:rPr>
          <w:rStyle w:val="default"/>
          <w:rFonts w:cs="FrankRuehl"/>
          <w:rtl/>
        </w:rPr>
        <w:tab/>
      </w:r>
      <w:r w:rsidR="005F4D1A">
        <w:rPr>
          <w:rStyle w:val="default"/>
          <w:rFonts w:cs="FrankRuehl" w:hint="cs"/>
          <w:rtl/>
        </w:rPr>
        <w:t>(א)</w:t>
      </w:r>
      <w:r w:rsidR="005F4D1A">
        <w:rPr>
          <w:rStyle w:val="default"/>
          <w:rFonts w:cs="FrankRuehl" w:hint="cs"/>
          <w:rtl/>
        </w:rPr>
        <w:tab/>
        <w:t>לא הצביעו ממצאי בדיקת האבחנה הפולשנית בהיריון, על הפרעות גנטיות, מחלות ומומים מלידה בוולד, ימסור מי שמינה לכך הרופא האחראי את תוצאות הבדיקה לאישה ולרופא המטפל בה בזיקה להיריונה.</w:t>
      </w:r>
    </w:p>
    <w:p w14:paraId="1EB3B05A" w14:textId="77777777" w:rsidR="005F4D1A" w:rsidRDefault="005F4D1A" w:rsidP="005F4D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הצביעו ממצאי הבדיקה על אפשרות של הפרעות גנטיות, מחלות ומומחים מלידה בוולד, ימסור הגנטיקאי האחראי לכך במעבדה הציטוגנטית, או רופא בעל תואר מומחה ביילוד וגיניקולוגיה או בגנטיקה רפואית, את התוצאות לאישה, וימסור אותן גם לרופא המטפל בה בזיקה להיריונה.</w:t>
      </w:r>
    </w:p>
    <w:p w14:paraId="6E812EB4" w14:textId="77777777" w:rsidR="005F4D1A" w:rsidRDefault="005F4D1A" w:rsidP="005F4D1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תוצאות הבדיקה כאמור לעיל יימסרו לנבדקת, בהקדם האפשרי ובתוך זמן סביר בנסיבות העניין, ויהיו גם בכתב.</w:t>
      </w:r>
    </w:p>
    <w:p w14:paraId="6CE9B091" w14:textId="77777777" w:rsidR="005F4D1A" w:rsidRDefault="005F4D1A" w:rsidP="005F4D1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בכל מקרה שבו הופסק ההיריון מחמת ממצאי בדיקת אבחנה פולשנית בהיריון תבוצע בדיקה לאימות האבחנה ביחס לעובר; הבדיקה תיעשה בשיטות המדעיות המקובלות.</w:t>
      </w:r>
    </w:p>
    <w:p w14:paraId="5C278A35" w14:textId="77777777" w:rsidR="007551B3" w:rsidRDefault="007551B3" w:rsidP="005F4D1A">
      <w:pPr>
        <w:pStyle w:val="P00"/>
        <w:spacing w:before="72"/>
        <w:ind w:left="0" w:right="1134"/>
        <w:rPr>
          <w:rStyle w:val="default"/>
          <w:rFonts w:cs="FrankRuehl" w:hint="cs"/>
          <w:rtl/>
        </w:rPr>
      </w:pPr>
      <w:bookmarkStart w:id="11" w:name="Seif12"/>
      <w:bookmarkEnd w:id="11"/>
      <w:r>
        <w:rPr>
          <w:lang w:val="he-IL"/>
        </w:rPr>
        <w:pict w14:anchorId="4FA89999">
          <v:rect id="_x0000_s1423" style="position:absolute;left:0;text-align:left;margin-left:464.5pt;margin-top:8.05pt;width:75.05pt;height:20.9pt;z-index:251661824" o:allowincell="f" filled="f" stroked="f" strokecolor="lime" strokeweight=".25pt">
            <v:textbox style="mso-next-textbox:#_x0000_s1423" inset="0,0,0,0">
              <w:txbxContent>
                <w:p w14:paraId="69513E3B" w14:textId="77777777" w:rsidR="007551B3" w:rsidRDefault="005F4D1A" w:rsidP="007551B3">
                  <w:pPr>
                    <w:spacing w:line="160" w:lineRule="exact"/>
                    <w:jc w:val="left"/>
                    <w:rPr>
                      <w:rFonts w:cs="Miriam" w:hint="cs"/>
                      <w:szCs w:val="18"/>
                      <w:rtl/>
                    </w:rPr>
                  </w:pPr>
                  <w:r>
                    <w:rPr>
                      <w:rFonts w:cs="Miriam" w:hint="cs"/>
                      <w:szCs w:val="18"/>
                      <w:rtl/>
                    </w:rPr>
                    <w:t>סמכות לקבוע הנחיות מקצועיות</w:t>
                  </w:r>
                </w:p>
              </w:txbxContent>
            </v:textbox>
            <w10:anchorlock/>
          </v:rect>
        </w:pict>
      </w:r>
      <w:r>
        <w:rPr>
          <w:rStyle w:val="big-number"/>
          <w:rFonts w:hint="cs"/>
          <w:rtl/>
        </w:rPr>
        <w:t>1</w:t>
      </w:r>
      <w:r w:rsidR="005F4D1A">
        <w:rPr>
          <w:rStyle w:val="big-number"/>
          <w:rFonts w:hint="cs"/>
          <w:rtl/>
        </w:rPr>
        <w:t>2</w:t>
      </w:r>
      <w:r>
        <w:rPr>
          <w:rStyle w:val="default"/>
          <w:rFonts w:cs="FrankRuehl"/>
          <w:rtl/>
        </w:rPr>
        <w:t>.</w:t>
      </w:r>
      <w:r>
        <w:rPr>
          <w:rStyle w:val="default"/>
          <w:rFonts w:cs="FrankRuehl"/>
          <w:rtl/>
        </w:rPr>
        <w:tab/>
      </w:r>
      <w:r w:rsidR="005F4D1A">
        <w:rPr>
          <w:rStyle w:val="default"/>
          <w:rFonts w:cs="FrankRuehl" w:hint="cs"/>
          <w:rtl/>
        </w:rPr>
        <w:t>המנהל רשאי לקבוע הנחיות מקצועיות וקווים מנחים קליניים לביצוע בדיקות אבחנה פולשניות בהיריון ולהתנות בקיומם את תוקפו של אישור לבית חולים או למרפאה כירורגית לפי תקנות אלה.</w:t>
      </w:r>
    </w:p>
    <w:p w14:paraId="73EE03DE" w14:textId="77777777" w:rsidR="007551B3" w:rsidRDefault="007551B3" w:rsidP="005F4D1A">
      <w:pPr>
        <w:pStyle w:val="P00"/>
        <w:spacing w:before="72"/>
        <w:ind w:left="0" w:right="1134"/>
        <w:rPr>
          <w:rStyle w:val="default"/>
          <w:rFonts w:cs="FrankRuehl" w:hint="cs"/>
          <w:rtl/>
        </w:rPr>
      </w:pPr>
      <w:bookmarkStart w:id="12" w:name="Seif13"/>
      <w:bookmarkEnd w:id="12"/>
      <w:r>
        <w:rPr>
          <w:lang w:val="he-IL"/>
        </w:rPr>
        <w:pict w14:anchorId="12196125">
          <v:rect id="_x0000_s1424" style="position:absolute;left:0;text-align:left;margin-left:464.5pt;margin-top:8.05pt;width:75.05pt;height:19.8pt;z-index:251662848" o:allowincell="f" filled="f" stroked="f" strokecolor="lime" strokeweight=".25pt">
            <v:textbox style="mso-next-textbox:#_x0000_s1424" inset="0,0,0,0">
              <w:txbxContent>
                <w:p w14:paraId="352CD62F" w14:textId="77777777" w:rsidR="007551B3" w:rsidRDefault="005F4D1A" w:rsidP="007551B3">
                  <w:pPr>
                    <w:spacing w:line="160" w:lineRule="exact"/>
                    <w:jc w:val="left"/>
                    <w:rPr>
                      <w:rFonts w:cs="Miriam" w:hint="cs"/>
                      <w:szCs w:val="18"/>
                      <w:rtl/>
                    </w:rPr>
                  </w:pPr>
                  <w:r>
                    <w:rPr>
                      <w:rFonts w:cs="Miriam" w:hint="cs"/>
                      <w:szCs w:val="18"/>
                      <w:rtl/>
                    </w:rPr>
                    <w:t>שמירת סמכויות וחובות</w:t>
                  </w:r>
                </w:p>
              </w:txbxContent>
            </v:textbox>
            <w10:anchorlock/>
          </v:rect>
        </w:pict>
      </w:r>
      <w:r>
        <w:rPr>
          <w:rStyle w:val="big-number"/>
          <w:rFonts w:hint="cs"/>
          <w:rtl/>
        </w:rPr>
        <w:t>1</w:t>
      </w:r>
      <w:r w:rsidR="005F4D1A">
        <w:rPr>
          <w:rStyle w:val="big-number"/>
          <w:rFonts w:hint="cs"/>
          <w:rtl/>
        </w:rPr>
        <w:t>3</w:t>
      </w:r>
      <w:r>
        <w:rPr>
          <w:rStyle w:val="default"/>
          <w:rFonts w:cs="FrankRuehl"/>
          <w:rtl/>
        </w:rPr>
        <w:t>.</w:t>
      </w:r>
      <w:r>
        <w:rPr>
          <w:rStyle w:val="default"/>
          <w:rFonts w:cs="FrankRuehl"/>
          <w:rtl/>
        </w:rPr>
        <w:tab/>
      </w:r>
      <w:r w:rsidR="005F4D1A">
        <w:rPr>
          <w:rStyle w:val="default"/>
          <w:rFonts w:cs="FrankRuehl" w:hint="cs"/>
          <w:rtl/>
        </w:rPr>
        <w:t>סמכות לפי תקנות אלה אינה גורעת מסמכות לפי חיקוק אחר וקיום חובה לפי תקנות אלה אינו פוטר מקיום חובה לפי חיקוק אחר.</w:t>
      </w:r>
    </w:p>
    <w:p w14:paraId="0D175C14" w14:textId="77777777" w:rsidR="007551B3" w:rsidRDefault="007551B3" w:rsidP="005F4D1A">
      <w:pPr>
        <w:pStyle w:val="P00"/>
        <w:spacing w:before="72"/>
        <w:ind w:left="0" w:right="1134"/>
        <w:rPr>
          <w:rStyle w:val="default"/>
          <w:rFonts w:cs="FrankRuehl" w:hint="cs"/>
          <w:rtl/>
        </w:rPr>
      </w:pPr>
      <w:bookmarkStart w:id="13" w:name="Seif14"/>
      <w:bookmarkEnd w:id="13"/>
      <w:r>
        <w:rPr>
          <w:lang w:val="he-IL"/>
        </w:rPr>
        <w:pict w14:anchorId="72B084C2">
          <v:rect id="_x0000_s1425" style="position:absolute;left:0;text-align:left;margin-left:464.5pt;margin-top:8.05pt;width:75.05pt;height:13.4pt;z-index:251663872" o:allowincell="f" filled="f" stroked="f" strokecolor="lime" strokeweight=".25pt">
            <v:textbox style="mso-next-textbox:#_x0000_s1425" inset="0,0,0,0">
              <w:txbxContent>
                <w:p w14:paraId="5935BFBA" w14:textId="77777777" w:rsidR="007551B3" w:rsidRDefault="005F4D1A" w:rsidP="007551B3">
                  <w:pPr>
                    <w:spacing w:line="160" w:lineRule="exact"/>
                    <w:jc w:val="left"/>
                    <w:rPr>
                      <w:rFonts w:cs="Miriam" w:hint="cs"/>
                      <w:szCs w:val="18"/>
                      <w:rtl/>
                    </w:rPr>
                  </w:pPr>
                  <w:r>
                    <w:rPr>
                      <w:rFonts w:cs="Miriam" w:hint="cs"/>
                      <w:szCs w:val="18"/>
                      <w:rtl/>
                    </w:rPr>
                    <w:t>ביטול</w:t>
                  </w:r>
                </w:p>
              </w:txbxContent>
            </v:textbox>
            <w10:anchorlock/>
          </v:rect>
        </w:pict>
      </w:r>
      <w:r>
        <w:rPr>
          <w:rStyle w:val="big-number"/>
          <w:rFonts w:hint="cs"/>
          <w:rtl/>
        </w:rPr>
        <w:t>1</w:t>
      </w:r>
      <w:r w:rsidR="005F4D1A">
        <w:rPr>
          <w:rStyle w:val="big-number"/>
          <w:rFonts w:hint="cs"/>
          <w:rtl/>
        </w:rPr>
        <w:t>4</w:t>
      </w:r>
      <w:r>
        <w:rPr>
          <w:rStyle w:val="default"/>
          <w:rFonts w:cs="FrankRuehl"/>
          <w:rtl/>
        </w:rPr>
        <w:t>.</w:t>
      </w:r>
      <w:r>
        <w:rPr>
          <w:rStyle w:val="default"/>
          <w:rFonts w:cs="FrankRuehl"/>
          <w:rtl/>
        </w:rPr>
        <w:tab/>
      </w:r>
      <w:r w:rsidR="005F4D1A">
        <w:rPr>
          <w:rStyle w:val="default"/>
          <w:rFonts w:cs="FrankRuehl" w:hint="cs"/>
          <w:rtl/>
        </w:rPr>
        <w:t xml:space="preserve">בטלות </w:t>
      </w:r>
      <w:r w:rsidR="005F4D1A">
        <w:rPr>
          <w:rStyle w:val="default"/>
          <w:rFonts w:cs="FrankRuehl"/>
          <w:rtl/>
        </w:rPr>
        <w:t>–</w:t>
      </w:r>
    </w:p>
    <w:p w14:paraId="54342BA1" w14:textId="77777777" w:rsidR="005F4D1A" w:rsidRDefault="005F4D1A" w:rsidP="005F4D1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תקנות בריאות העם (בדיקת מי שפיר), התש"ם-1980;</w:t>
      </w:r>
    </w:p>
    <w:p w14:paraId="707A9A73" w14:textId="77777777" w:rsidR="005F4D1A" w:rsidRDefault="005F4D1A" w:rsidP="005F4D1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אכרזת הפיקוח על מצרכים ושירותים (בדיקות מי שפיר), התש"ם-1980.</w:t>
      </w:r>
    </w:p>
    <w:p w14:paraId="2A841B40" w14:textId="77777777" w:rsidR="007551B3" w:rsidRDefault="007551B3" w:rsidP="005F4D1A">
      <w:pPr>
        <w:pStyle w:val="P00"/>
        <w:spacing w:before="72"/>
        <w:ind w:left="0" w:right="1134"/>
        <w:rPr>
          <w:rStyle w:val="default"/>
          <w:rFonts w:cs="FrankRuehl" w:hint="cs"/>
          <w:rtl/>
        </w:rPr>
      </w:pPr>
      <w:bookmarkStart w:id="14" w:name="Seif15"/>
      <w:bookmarkEnd w:id="14"/>
      <w:r>
        <w:rPr>
          <w:lang w:val="he-IL"/>
        </w:rPr>
        <w:pict w14:anchorId="78E1E8C8">
          <v:rect id="_x0000_s1426" style="position:absolute;left:0;text-align:left;margin-left:464.5pt;margin-top:8.05pt;width:75.05pt;height:13.4pt;z-index:251664896" o:allowincell="f" filled="f" stroked="f" strokecolor="lime" strokeweight=".25pt">
            <v:textbox style="mso-next-textbox:#_x0000_s1426" inset="0,0,0,0">
              <w:txbxContent>
                <w:p w14:paraId="3E2A6476" w14:textId="77777777" w:rsidR="007551B3" w:rsidRDefault="007551B3" w:rsidP="005F4D1A">
                  <w:pPr>
                    <w:spacing w:line="160" w:lineRule="exact"/>
                    <w:jc w:val="left"/>
                    <w:rPr>
                      <w:rFonts w:cs="Miriam" w:hint="cs"/>
                      <w:szCs w:val="18"/>
                      <w:rtl/>
                    </w:rPr>
                  </w:pPr>
                  <w:r>
                    <w:rPr>
                      <w:rFonts w:cs="Miriam" w:hint="cs"/>
                      <w:szCs w:val="18"/>
                      <w:rtl/>
                    </w:rPr>
                    <w:t>תח</w:t>
                  </w:r>
                  <w:r w:rsidR="005F4D1A">
                    <w:rPr>
                      <w:rFonts w:cs="Miriam" w:hint="cs"/>
                      <w:szCs w:val="18"/>
                      <w:rtl/>
                    </w:rPr>
                    <w:t>י</w:t>
                  </w:r>
                  <w:r>
                    <w:rPr>
                      <w:rFonts w:cs="Miriam" w:hint="cs"/>
                      <w:szCs w:val="18"/>
                      <w:rtl/>
                    </w:rPr>
                    <w:t>לה</w:t>
                  </w:r>
                </w:p>
              </w:txbxContent>
            </v:textbox>
            <w10:anchorlock/>
          </v:rect>
        </w:pict>
      </w:r>
      <w:r>
        <w:rPr>
          <w:rStyle w:val="big-number"/>
          <w:rFonts w:hint="cs"/>
          <w:rtl/>
        </w:rPr>
        <w:t>1</w:t>
      </w:r>
      <w:r w:rsidR="005F4D1A">
        <w:rPr>
          <w:rStyle w:val="big-number"/>
          <w:rFonts w:hint="cs"/>
          <w:rtl/>
        </w:rPr>
        <w:t>5</w:t>
      </w:r>
      <w:r>
        <w:rPr>
          <w:rStyle w:val="default"/>
          <w:rFonts w:cs="FrankRuehl"/>
          <w:rtl/>
        </w:rPr>
        <w:t>.</w:t>
      </w:r>
      <w:r>
        <w:rPr>
          <w:rStyle w:val="default"/>
          <w:rFonts w:cs="FrankRuehl"/>
          <w:rtl/>
        </w:rPr>
        <w:tab/>
      </w:r>
      <w:r w:rsidR="005F4D1A">
        <w:rPr>
          <w:rStyle w:val="default"/>
          <w:rFonts w:cs="FrankRuehl" w:hint="cs"/>
          <w:rtl/>
        </w:rPr>
        <w:t>תחילתן של תקנות אלה שישים ימים מיום פרסומן.</w:t>
      </w:r>
    </w:p>
    <w:p w14:paraId="29162843" w14:textId="77777777" w:rsidR="003A263B" w:rsidRDefault="003A263B">
      <w:pPr>
        <w:pStyle w:val="P00"/>
        <w:spacing w:before="72"/>
        <w:ind w:left="0" w:right="1134"/>
        <w:rPr>
          <w:rStyle w:val="default"/>
          <w:rFonts w:cs="FrankRuehl" w:hint="cs"/>
          <w:rtl/>
        </w:rPr>
      </w:pPr>
    </w:p>
    <w:p w14:paraId="52136D27" w14:textId="77777777" w:rsidR="00AB08E5" w:rsidRDefault="00AB08E5">
      <w:pPr>
        <w:pStyle w:val="P00"/>
        <w:spacing w:before="72"/>
        <w:ind w:left="0" w:right="1134"/>
        <w:rPr>
          <w:rStyle w:val="default"/>
          <w:rFonts w:cs="FrankRuehl" w:hint="cs"/>
          <w:rtl/>
        </w:rPr>
      </w:pPr>
    </w:p>
    <w:p w14:paraId="4E4F50B3" w14:textId="77777777" w:rsidR="001153D7" w:rsidRDefault="005F4D1A" w:rsidP="005F4D1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ד' בתשרי</w:t>
      </w:r>
      <w:r w:rsidR="00417C35">
        <w:rPr>
          <w:rFonts w:hint="cs"/>
          <w:rtl/>
        </w:rPr>
        <w:t xml:space="preserve"> התשע"ב (</w:t>
      </w:r>
      <w:r>
        <w:rPr>
          <w:rFonts w:hint="cs"/>
          <w:rtl/>
        </w:rPr>
        <w:t>2 באוקטובר</w:t>
      </w:r>
      <w:r w:rsidR="00C76B56">
        <w:rPr>
          <w:rFonts w:hint="cs"/>
          <w:rtl/>
        </w:rPr>
        <w:t xml:space="preserve"> 2011</w:t>
      </w:r>
      <w:r w:rsidR="001153D7">
        <w:rPr>
          <w:rFonts w:hint="cs"/>
          <w:rtl/>
        </w:rPr>
        <w:t>)</w:t>
      </w:r>
      <w:r w:rsidR="001153D7">
        <w:rPr>
          <w:rFonts w:hint="cs"/>
          <w:rtl/>
        </w:rPr>
        <w:tab/>
      </w:r>
      <w:r>
        <w:rPr>
          <w:rFonts w:hint="cs"/>
          <w:rtl/>
        </w:rPr>
        <w:t>בנימין נתניהו</w:t>
      </w:r>
    </w:p>
    <w:p w14:paraId="53D7D392" w14:textId="77777777" w:rsidR="00D14E13" w:rsidRDefault="00D14E13" w:rsidP="005F4D1A">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5F4D1A">
        <w:rPr>
          <w:rFonts w:hint="cs"/>
          <w:sz w:val="22"/>
          <w:szCs w:val="22"/>
          <w:rtl/>
        </w:rPr>
        <w:t>ראש הממשלה ושר הבריאות</w:t>
      </w:r>
    </w:p>
    <w:p w14:paraId="19DC5B23" w14:textId="77777777" w:rsidR="007551B3" w:rsidRDefault="007551B3">
      <w:pPr>
        <w:pStyle w:val="P00"/>
        <w:spacing w:before="72"/>
        <w:ind w:left="0" w:right="1134"/>
        <w:rPr>
          <w:rFonts w:hint="cs"/>
          <w:rtl/>
        </w:rPr>
      </w:pPr>
    </w:p>
    <w:p w14:paraId="35A1120D" w14:textId="77777777" w:rsidR="007C3ABE" w:rsidRDefault="007C3ABE">
      <w:pPr>
        <w:pStyle w:val="P00"/>
        <w:spacing w:before="72"/>
        <w:ind w:left="0" w:right="1134"/>
        <w:rPr>
          <w:rFonts w:hint="cs"/>
          <w:rtl/>
        </w:rPr>
      </w:pPr>
    </w:p>
    <w:p w14:paraId="7F3E495F" w14:textId="77777777" w:rsidR="008C165B" w:rsidRDefault="008C165B">
      <w:pPr>
        <w:pStyle w:val="P00"/>
        <w:spacing w:before="72"/>
        <w:ind w:left="0" w:right="1134"/>
        <w:rPr>
          <w:rtl/>
        </w:rPr>
      </w:pPr>
    </w:p>
    <w:p w14:paraId="1391BAC0" w14:textId="77777777" w:rsidR="008C165B" w:rsidRDefault="008C165B">
      <w:pPr>
        <w:pStyle w:val="P00"/>
        <w:spacing w:before="72"/>
        <w:ind w:left="0" w:right="1134"/>
        <w:rPr>
          <w:rtl/>
        </w:rPr>
      </w:pPr>
    </w:p>
    <w:p w14:paraId="58B60754" w14:textId="77777777" w:rsidR="008C165B" w:rsidRDefault="008C165B" w:rsidP="008C165B">
      <w:pPr>
        <w:pStyle w:val="P00"/>
        <w:spacing w:before="72"/>
        <w:ind w:left="0" w:right="1134"/>
        <w:jc w:val="center"/>
        <w:rPr>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5A440877" w14:textId="77777777" w:rsidR="006415BC" w:rsidRPr="008C165B" w:rsidRDefault="006415BC" w:rsidP="008C165B">
      <w:pPr>
        <w:pStyle w:val="P00"/>
        <w:spacing w:before="72"/>
        <w:ind w:left="0" w:right="1134"/>
        <w:jc w:val="center"/>
        <w:rPr>
          <w:rFonts w:cs="David" w:hint="cs"/>
          <w:color w:val="0000FF"/>
          <w:szCs w:val="24"/>
          <w:u w:val="single"/>
          <w:rtl/>
        </w:rPr>
      </w:pPr>
    </w:p>
    <w:sectPr w:rsidR="006415BC" w:rsidRPr="008C165B">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1F4A0" w14:textId="77777777" w:rsidR="00311E10" w:rsidRDefault="00311E10" w:rsidP="001153D7">
      <w:pPr>
        <w:pStyle w:val="P00"/>
      </w:pPr>
      <w:r>
        <w:separator/>
      </w:r>
    </w:p>
  </w:endnote>
  <w:endnote w:type="continuationSeparator" w:id="0">
    <w:p w14:paraId="04822A45" w14:textId="77777777" w:rsidR="00311E10" w:rsidRDefault="00311E10"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A208B" w14:textId="77777777" w:rsidR="00A02041" w:rsidRDefault="00A0204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35DF767F" w14:textId="77777777" w:rsidR="00A02041" w:rsidRDefault="00A020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8D1C598" w14:textId="77777777" w:rsidR="00A02041" w:rsidRDefault="00A020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6DFF6" w14:textId="77777777" w:rsidR="00A02041" w:rsidRDefault="00A0204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8C165B">
      <w:rPr>
        <w:rFonts w:hAnsi="FrankRuehl"/>
        <w:noProof/>
        <w:sz w:val="24"/>
        <w:szCs w:val="24"/>
        <w:rtl/>
      </w:rPr>
      <w:t>4</w:t>
    </w:r>
    <w:r>
      <w:rPr>
        <w:rFonts w:hAnsi="FrankRuehl"/>
        <w:sz w:val="24"/>
        <w:szCs w:val="24"/>
        <w:rtl/>
      </w:rPr>
      <w:fldChar w:fldCharType="end"/>
    </w:r>
  </w:p>
  <w:p w14:paraId="5AAACAB1" w14:textId="77777777" w:rsidR="00A02041" w:rsidRDefault="00A020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52ECF7A" w14:textId="77777777" w:rsidR="00A02041" w:rsidRDefault="00A020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C267D" w14:textId="77777777" w:rsidR="00311E10" w:rsidRDefault="00311E10">
      <w:pPr>
        <w:spacing w:before="60" w:line="240" w:lineRule="auto"/>
        <w:ind w:right="1134"/>
      </w:pPr>
      <w:r>
        <w:separator/>
      </w:r>
    </w:p>
  </w:footnote>
  <w:footnote w:type="continuationSeparator" w:id="0">
    <w:p w14:paraId="4D4B2BF7" w14:textId="77777777" w:rsidR="00311E10" w:rsidRDefault="00311E10">
      <w:r>
        <w:separator/>
      </w:r>
    </w:p>
  </w:footnote>
  <w:footnote w:id="1">
    <w:p w14:paraId="567EEA65" w14:textId="77777777" w:rsidR="001D22FA" w:rsidRDefault="00A02041" w:rsidP="001D22F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Pr>
          <w:rFonts w:hint="cs"/>
          <w:sz w:val="20"/>
          <w:rtl/>
        </w:rPr>
        <w:t xml:space="preserve">מו </w:t>
      </w:r>
      <w:hyperlink r:id="rId1" w:history="1">
        <w:r w:rsidRPr="001D22FA">
          <w:rPr>
            <w:rStyle w:val="Hyperlink"/>
            <w:rFonts w:hint="cs"/>
            <w:sz w:val="20"/>
            <w:rtl/>
          </w:rPr>
          <w:t>ק"ת תשע"ב מס' 70</w:t>
        </w:r>
        <w:r w:rsidR="006A18F9" w:rsidRPr="001D22FA">
          <w:rPr>
            <w:rStyle w:val="Hyperlink"/>
            <w:rFonts w:hint="cs"/>
            <w:sz w:val="20"/>
            <w:rtl/>
          </w:rPr>
          <w:t>5</w:t>
        </w:r>
        <w:r w:rsidR="007551B3" w:rsidRPr="001D22FA">
          <w:rPr>
            <w:rStyle w:val="Hyperlink"/>
            <w:rFonts w:hint="cs"/>
            <w:sz w:val="20"/>
            <w:rtl/>
          </w:rPr>
          <w:t>1</w:t>
        </w:r>
      </w:hyperlink>
      <w:r>
        <w:rPr>
          <w:rFonts w:hint="cs"/>
          <w:sz w:val="20"/>
          <w:rtl/>
        </w:rPr>
        <w:t xml:space="preserve"> מיום </w:t>
      </w:r>
      <w:r w:rsidR="006A18F9">
        <w:rPr>
          <w:rFonts w:hint="cs"/>
          <w:sz w:val="20"/>
          <w:rtl/>
        </w:rPr>
        <w:t>2</w:t>
      </w:r>
      <w:r w:rsidR="007551B3">
        <w:rPr>
          <w:rFonts w:hint="cs"/>
          <w:sz w:val="20"/>
          <w:rtl/>
        </w:rPr>
        <w:t>1</w:t>
      </w:r>
      <w:r>
        <w:rPr>
          <w:rFonts w:hint="cs"/>
          <w:sz w:val="20"/>
          <w:rtl/>
        </w:rPr>
        <w:t xml:space="preserve">.11.2011 עמ' </w:t>
      </w:r>
      <w:r w:rsidR="006A18F9">
        <w:rPr>
          <w:rFonts w:hint="cs"/>
          <w:sz w:val="20"/>
          <w:rtl/>
        </w:rPr>
        <w:t>16</w:t>
      </w:r>
      <w:r w:rsidR="007551B3">
        <w:rPr>
          <w:rFonts w:hint="cs"/>
          <w:sz w:val="20"/>
          <w:rtl/>
        </w:rPr>
        <w:t>8</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EA29C" w14:textId="77777777" w:rsidR="00A02041" w:rsidRDefault="00A02041">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32E13255" w14:textId="77777777" w:rsidR="00A02041" w:rsidRDefault="00A0204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454C3CB" w14:textId="77777777" w:rsidR="00A02041" w:rsidRDefault="00A02041">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6AADC" w14:textId="77777777" w:rsidR="00A02041" w:rsidRDefault="00535CC5" w:rsidP="007551B3">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 xml:space="preserve">תקנות </w:t>
    </w:r>
    <w:r w:rsidR="007551B3">
      <w:rPr>
        <w:rFonts w:hAnsi="FrankRuehl" w:hint="cs"/>
        <w:color w:val="000000"/>
        <w:sz w:val="28"/>
        <w:szCs w:val="28"/>
        <w:rtl/>
      </w:rPr>
      <w:t>בריאות העם (בדיקת אבחנה פולשנית בהיריון</w:t>
    </w:r>
    <w:r w:rsidR="00A02041">
      <w:rPr>
        <w:rFonts w:hAnsi="FrankRuehl" w:hint="cs"/>
        <w:color w:val="000000"/>
        <w:sz w:val="28"/>
        <w:szCs w:val="28"/>
        <w:rtl/>
      </w:rPr>
      <w:t>),</w:t>
    </w:r>
    <w:r w:rsidR="00A02041">
      <w:rPr>
        <w:rFonts w:hAnsi="FrankRuehl"/>
        <w:color w:val="000000"/>
        <w:sz w:val="28"/>
        <w:szCs w:val="28"/>
        <w:rtl/>
      </w:rPr>
      <w:t xml:space="preserve"> </w:t>
    </w:r>
    <w:r w:rsidR="00A02041">
      <w:rPr>
        <w:rFonts w:hAnsi="FrankRuehl" w:hint="cs"/>
        <w:color w:val="000000"/>
        <w:sz w:val="28"/>
        <w:szCs w:val="28"/>
        <w:rtl/>
      </w:rPr>
      <w:t>תשע"ב-2011</w:t>
    </w:r>
  </w:p>
  <w:p w14:paraId="21459782" w14:textId="77777777" w:rsidR="00A02041" w:rsidRDefault="00A0204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5D22B0D" w14:textId="77777777" w:rsidR="00A02041" w:rsidRDefault="00A02041">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604D6"/>
    <w:rsid w:val="00062DA7"/>
    <w:rsid w:val="00070291"/>
    <w:rsid w:val="0007387F"/>
    <w:rsid w:val="000764DF"/>
    <w:rsid w:val="000A2305"/>
    <w:rsid w:val="000C3D03"/>
    <w:rsid w:val="000D457A"/>
    <w:rsid w:val="000F7AD1"/>
    <w:rsid w:val="00104663"/>
    <w:rsid w:val="00111ABB"/>
    <w:rsid w:val="001153D7"/>
    <w:rsid w:val="00117487"/>
    <w:rsid w:val="0012009D"/>
    <w:rsid w:val="0012244D"/>
    <w:rsid w:val="00147D1D"/>
    <w:rsid w:val="001555E4"/>
    <w:rsid w:val="00171A6D"/>
    <w:rsid w:val="00190AF4"/>
    <w:rsid w:val="001C2251"/>
    <w:rsid w:val="001C3E05"/>
    <w:rsid w:val="001D22FA"/>
    <w:rsid w:val="001D75C6"/>
    <w:rsid w:val="001E5CC5"/>
    <w:rsid w:val="001F5448"/>
    <w:rsid w:val="001F773B"/>
    <w:rsid w:val="002005AF"/>
    <w:rsid w:val="0021551A"/>
    <w:rsid w:val="002167E6"/>
    <w:rsid w:val="00216A99"/>
    <w:rsid w:val="00237811"/>
    <w:rsid w:val="00240149"/>
    <w:rsid w:val="00240188"/>
    <w:rsid w:val="00256B53"/>
    <w:rsid w:val="00271669"/>
    <w:rsid w:val="00290B14"/>
    <w:rsid w:val="00292CC1"/>
    <w:rsid w:val="002A4BB3"/>
    <w:rsid w:val="002B0FB3"/>
    <w:rsid w:val="002B1A66"/>
    <w:rsid w:val="00301E70"/>
    <w:rsid w:val="00311E10"/>
    <w:rsid w:val="003305DA"/>
    <w:rsid w:val="003404D2"/>
    <w:rsid w:val="0034342A"/>
    <w:rsid w:val="0034739E"/>
    <w:rsid w:val="00387C3F"/>
    <w:rsid w:val="003A1471"/>
    <w:rsid w:val="003A263B"/>
    <w:rsid w:val="003C645B"/>
    <w:rsid w:val="003C76B8"/>
    <w:rsid w:val="003D20B9"/>
    <w:rsid w:val="003E2D9B"/>
    <w:rsid w:val="003F001F"/>
    <w:rsid w:val="004110E9"/>
    <w:rsid w:val="00413942"/>
    <w:rsid w:val="00415410"/>
    <w:rsid w:val="00417C35"/>
    <w:rsid w:val="00461A97"/>
    <w:rsid w:val="004625E2"/>
    <w:rsid w:val="00493778"/>
    <w:rsid w:val="00497258"/>
    <w:rsid w:val="004B1BC6"/>
    <w:rsid w:val="004B3AB3"/>
    <w:rsid w:val="004F3CDA"/>
    <w:rsid w:val="00535CC5"/>
    <w:rsid w:val="00550DF9"/>
    <w:rsid w:val="005A6225"/>
    <w:rsid w:val="005B05B8"/>
    <w:rsid w:val="005C15CB"/>
    <w:rsid w:val="005D245F"/>
    <w:rsid w:val="005D582D"/>
    <w:rsid w:val="005E0E13"/>
    <w:rsid w:val="005F4D1A"/>
    <w:rsid w:val="005F7021"/>
    <w:rsid w:val="00600F57"/>
    <w:rsid w:val="0060619B"/>
    <w:rsid w:val="0061159D"/>
    <w:rsid w:val="00615319"/>
    <w:rsid w:val="00622C7D"/>
    <w:rsid w:val="006415BC"/>
    <w:rsid w:val="00642FBF"/>
    <w:rsid w:val="00647114"/>
    <w:rsid w:val="006516ED"/>
    <w:rsid w:val="006A18F9"/>
    <w:rsid w:val="006B097D"/>
    <w:rsid w:val="006B4DFA"/>
    <w:rsid w:val="006D567F"/>
    <w:rsid w:val="006E0BEF"/>
    <w:rsid w:val="0071029B"/>
    <w:rsid w:val="0073201B"/>
    <w:rsid w:val="007551B3"/>
    <w:rsid w:val="00756CAB"/>
    <w:rsid w:val="00766404"/>
    <w:rsid w:val="00784556"/>
    <w:rsid w:val="007A7DCC"/>
    <w:rsid w:val="007C3ABE"/>
    <w:rsid w:val="007D08CF"/>
    <w:rsid w:val="007F7072"/>
    <w:rsid w:val="00800CDF"/>
    <w:rsid w:val="008C165B"/>
    <w:rsid w:val="008D3627"/>
    <w:rsid w:val="008D4DB8"/>
    <w:rsid w:val="008D4DBF"/>
    <w:rsid w:val="008D7430"/>
    <w:rsid w:val="008E2561"/>
    <w:rsid w:val="008E3F93"/>
    <w:rsid w:val="00920730"/>
    <w:rsid w:val="00954AEA"/>
    <w:rsid w:val="00976D3D"/>
    <w:rsid w:val="009C5F92"/>
    <w:rsid w:val="009F4699"/>
    <w:rsid w:val="009F65F4"/>
    <w:rsid w:val="00A02041"/>
    <w:rsid w:val="00A14553"/>
    <w:rsid w:val="00A1570F"/>
    <w:rsid w:val="00A21BAF"/>
    <w:rsid w:val="00A335E8"/>
    <w:rsid w:val="00A35851"/>
    <w:rsid w:val="00A44A3F"/>
    <w:rsid w:val="00A478B2"/>
    <w:rsid w:val="00A50CD4"/>
    <w:rsid w:val="00A53ADF"/>
    <w:rsid w:val="00A66A32"/>
    <w:rsid w:val="00A706E7"/>
    <w:rsid w:val="00A971C7"/>
    <w:rsid w:val="00A974FD"/>
    <w:rsid w:val="00AB08E5"/>
    <w:rsid w:val="00AB7A67"/>
    <w:rsid w:val="00AD0C71"/>
    <w:rsid w:val="00AD4A85"/>
    <w:rsid w:val="00B02404"/>
    <w:rsid w:val="00B11453"/>
    <w:rsid w:val="00B1453E"/>
    <w:rsid w:val="00B23890"/>
    <w:rsid w:val="00B2613D"/>
    <w:rsid w:val="00B263ED"/>
    <w:rsid w:val="00B306DE"/>
    <w:rsid w:val="00B679F1"/>
    <w:rsid w:val="00B92511"/>
    <w:rsid w:val="00B93388"/>
    <w:rsid w:val="00BC6821"/>
    <w:rsid w:val="00BD3960"/>
    <w:rsid w:val="00BF4052"/>
    <w:rsid w:val="00C12988"/>
    <w:rsid w:val="00C463D8"/>
    <w:rsid w:val="00C52951"/>
    <w:rsid w:val="00C65047"/>
    <w:rsid w:val="00C76B56"/>
    <w:rsid w:val="00C97091"/>
    <w:rsid w:val="00CB7E37"/>
    <w:rsid w:val="00CC6E39"/>
    <w:rsid w:val="00CD41CB"/>
    <w:rsid w:val="00CF0B2A"/>
    <w:rsid w:val="00D14E13"/>
    <w:rsid w:val="00D268E8"/>
    <w:rsid w:val="00D26B78"/>
    <w:rsid w:val="00D57B76"/>
    <w:rsid w:val="00D702B8"/>
    <w:rsid w:val="00D706C7"/>
    <w:rsid w:val="00D74842"/>
    <w:rsid w:val="00DC7087"/>
    <w:rsid w:val="00DC7731"/>
    <w:rsid w:val="00DD4C30"/>
    <w:rsid w:val="00DD7598"/>
    <w:rsid w:val="00DF433F"/>
    <w:rsid w:val="00E05922"/>
    <w:rsid w:val="00E07DA5"/>
    <w:rsid w:val="00E13678"/>
    <w:rsid w:val="00E26F4A"/>
    <w:rsid w:val="00E30ABF"/>
    <w:rsid w:val="00E4424C"/>
    <w:rsid w:val="00E61634"/>
    <w:rsid w:val="00E66CC0"/>
    <w:rsid w:val="00EB7F7B"/>
    <w:rsid w:val="00ED227B"/>
    <w:rsid w:val="00EE5228"/>
    <w:rsid w:val="00EF6CF7"/>
    <w:rsid w:val="00F24B0F"/>
    <w:rsid w:val="00F26384"/>
    <w:rsid w:val="00F35A91"/>
    <w:rsid w:val="00F70FC4"/>
    <w:rsid w:val="00F74789"/>
    <w:rsid w:val="00F86EA4"/>
    <w:rsid w:val="00FC11F7"/>
    <w:rsid w:val="00FD7271"/>
    <w:rsid w:val="00FE2F36"/>
    <w:rsid w:val="00FF77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2E06F9A"/>
  <w15:chartTrackingRefBased/>
  <w15:docId w15:val="{4BD40E94-2784-47F0-9A8C-1D631DFA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0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8429</CharactersWithSpaces>
  <SharedDoc>false</SharedDoc>
  <HLinks>
    <vt:vector size="102" baseType="variant">
      <vt:variant>
        <vt:i4>393283</vt:i4>
      </vt:variant>
      <vt:variant>
        <vt:i4>90</vt:i4>
      </vt:variant>
      <vt:variant>
        <vt:i4>0</vt:i4>
      </vt:variant>
      <vt:variant>
        <vt:i4>5</vt:i4>
      </vt:variant>
      <vt:variant>
        <vt:lpwstr>http://www.nevo.co.il/advertisements/nevo-100.doc</vt:lpwstr>
      </vt:variant>
      <vt:variant>
        <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8060937</vt:i4>
      </vt:variant>
      <vt:variant>
        <vt:i4>0</vt:i4>
      </vt:variant>
      <vt:variant>
        <vt:i4>0</vt:i4>
      </vt:variant>
      <vt:variant>
        <vt:i4>5</vt:i4>
      </vt:variant>
      <vt:variant>
        <vt:lpwstr>http://www.nevo.co.il/Law_word/law06/TAK-7051.pdf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בריאות</vt:lpwstr>
  </property>
  <property fmtid="{D5CDD505-2E9C-101B-9397-08002B2CF9AE}" pid="4" name="LAWNAME">
    <vt:lpwstr>תקנות בריאות העם (בדיקת אבחנה פולשנית בהיריון), תשע"ב-2011</vt:lpwstr>
  </property>
  <property fmtid="{D5CDD505-2E9C-101B-9397-08002B2CF9AE}" pid="5" name="LAWNUMBER">
    <vt:lpwstr>0585</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LINKK2">
    <vt:lpwstr/>
  </property>
  <property fmtid="{D5CDD505-2E9C-101B-9397-08002B2CF9AE}" pid="22" name="NOSE11">
    <vt:lpwstr>בריאות</vt:lpwstr>
  </property>
  <property fmtid="{D5CDD505-2E9C-101B-9397-08002B2CF9AE}" pid="23" name="NOSE21">
    <vt:lpwstr>בריאות העם</vt:lpwstr>
  </property>
  <property fmtid="{D5CDD505-2E9C-101B-9397-08002B2CF9AE}" pid="24" name="NOSE31">
    <vt:lpwstr>טיפולים רפואיים</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פקודת בריאות העם</vt:lpwstr>
  </property>
  <property fmtid="{D5CDD505-2E9C-101B-9397-08002B2CF9AE}" pid="63" name="MEKOR_SAIF1">
    <vt:lpwstr>34XאX;33X</vt:lpwstr>
  </property>
  <property fmtid="{D5CDD505-2E9C-101B-9397-08002B2CF9AE}" pid="64" name="MEKOR_NAME2">
    <vt:lpwstr>חוק הפיקוח על מצרכים ושירותים</vt:lpwstr>
  </property>
  <property fmtid="{D5CDD505-2E9C-101B-9397-08002B2CF9AE}" pid="65" name="MEKOR_SAIF2">
    <vt:lpwstr>4X;5X;15X;38X</vt:lpwstr>
  </property>
  <property fmtid="{D5CDD505-2E9C-101B-9397-08002B2CF9AE}" pid="66" name="MEKOR_NAME3">
    <vt:lpwstr>חוק הפיקוח על מצרכים ושירותים</vt:lpwstr>
  </property>
  <property fmtid="{D5CDD505-2E9C-101B-9397-08002B2CF9AE}" pid="67" name="MEKOR_SAIF3">
    <vt:lpwstr>43X</vt:lpwstr>
  </property>
  <property fmtid="{D5CDD505-2E9C-101B-9397-08002B2CF9AE}" pid="68" name="MEKOR_NAME4">
    <vt:lpwstr>פקודת הרופאים</vt:lpwstr>
  </property>
  <property fmtid="{D5CDD505-2E9C-101B-9397-08002B2CF9AE}" pid="69" name="MEKOR_SAIF4">
    <vt:lpwstr>17אX</vt:lpwstr>
  </property>
  <property fmtid="{D5CDD505-2E9C-101B-9397-08002B2CF9AE}" pid="70" name="MEKOR_NAME5">
    <vt:lpwstr>חוק-יסוד: הממשלה</vt:lpwstr>
  </property>
  <property fmtid="{D5CDD505-2E9C-101B-9397-08002B2CF9AE}" pid="71" name="MEKOR_SAIF5">
    <vt:lpwstr>34X</vt:lpwstr>
  </property>
  <property fmtid="{D5CDD505-2E9C-101B-9397-08002B2CF9AE}" pid="72" name="MEKOR_NAME6">
    <vt:lpwstr>חוק-יסוד: הכנסת</vt:lpwstr>
  </property>
  <property fmtid="{D5CDD505-2E9C-101B-9397-08002B2CF9AE}" pid="73" name="MEKOR_SAIF6">
    <vt:lpwstr>21אXאX</vt:lpwstr>
  </property>
  <property fmtid="{D5CDD505-2E9C-101B-9397-08002B2CF9AE}" pid="74" name="MEKOR_NAME7">
    <vt:lpwstr>חוק העונשין</vt:lpwstr>
  </property>
  <property fmtid="{D5CDD505-2E9C-101B-9397-08002B2CF9AE}" pid="75" name="MEKOR_SAIF7">
    <vt:lpwstr>2XבX</vt:lpwstr>
  </property>
  <property fmtid="{D5CDD505-2E9C-101B-9397-08002B2CF9AE}" pid="76" name="LINKK1">
    <vt:lpwstr>http://www.nevo.co.il/Law_word/law06/TAK-7051.pdf;‎רשומות - תקנות כלליות#פורסמו ק"ת תשע"ב ‏מס' 7051 #מיום 21.11.2011 עמ' 168‏</vt:lpwstr>
  </property>
</Properties>
</file>