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E8A" w:rsidRDefault="00675E8A" w:rsidP="006433B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(סימון גלוטן), תשנ"ו</w:t>
      </w:r>
      <w:r w:rsidR="006433B3">
        <w:rPr>
          <w:rFonts w:hint="cs"/>
          <w:rtl/>
        </w:rPr>
        <w:t>-</w:t>
      </w:r>
      <w:r>
        <w:rPr>
          <w:rtl/>
        </w:rPr>
        <w:t>1996</w:t>
      </w:r>
    </w:p>
    <w:p w:rsidR="004432EC" w:rsidRDefault="004432EC" w:rsidP="004432EC">
      <w:pPr>
        <w:spacing w:line="320" w:lineRule="auto"/>
        <w:jc w:val="left"/>
        <w:rPr>
          <w:rFonts w:hint="cs"/>
          <w:rtl/>
        </w:rPr>
      </w:pPr>
    </w:p>
    <w:p w:rsidR="0081236F" w:rsidRDefault="0081236F" w:rsidP="004432EC">
      <w:pPr>
        <w:spacing w:line="320" w:lineRule="auto"/>
        <w:jc w:val="left"/>
        <w:rPr>
          <w:rFonts w:hint="cs"/>
          <w:rtl/>
        </w:rPr>
      </w:pPr>
    </w:p>
    <w:p w:rsidR="004432EC" w:rsidRPr="004432EC" w:rsidRDefault="004432EC" w:rsidP="004432EC">
      <w:pPr>
        <w:spacing w:line="320" w:lineRule="auto"/>
        <w:jc w:val="left"/>
        <w:rPr>
          <w:rFonts w:cs="Miriam" w:hint="cs"/>
          <w:szCs w:val="22"/>
          <w:rtl/>
        </w:rPr>
      </w:pPr>
      <w:r w:rsidRPr="004432EC">
        <w:rPr>
          <w:rFonts w:cs="Miriam"/>
          <w:szCs w:val="22"/>
          <w:rtl/>
        </w:rPr>
        <w:t>בריאות</w:t>
      </w:r>
      <w:r w:rsidRPr="004432EC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675E8A" w:rsidRDefault="00675E8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75E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5E8A" w:rsidRDefault="00675E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75E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hyperlink w:anchor="Seif1" w:tooltip="סימון גלוט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5E8A" w:rsidRDefault="00675E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גלוטן</w:t>
            </w:r>
          </w:p>
        </w:tc>
        <w:tc>
          <w:tcPr>
            <w:tcW w:w="124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75E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hyperlink w:anchor="Seif2" w:tooltip="סימון ללא גלוט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5E8A" w:rsidRDefault="00675E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ללא גלוטן</w:t>
            </w:r>
          </w:p>
        </w:tc>
        <w:tc>
          <w:tcPr>
            <w:tcW w:w="124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75E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5E8A" w:rsidRDefault="00675E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75E8A" w:rsidRDefault="00675E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675E8A" w:rsidRDefault="00675E8A">
      <w:pPr>
        <w:pStyle w:val="big-header"/>
        <w:ind w:left="0" w:right="1134"/>
        <w:rPr>
          <w:rtl/>
        </w:rPr>
      </w:pPr>
    </w:p>
    <w:p w:rsidR="00675E8A" w:rsidRDefault="00675E8A" w:rsidP="006433B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(סימון גלוטן), תשנ"ו</w:t>
      </w:r>
      <w:r w:rsidR="006433B3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6433B3">
        <w:rPr>
          <w:rStyle w:val="a6"/>
          <w:rtl/>
        </w:rPr>
        <w:footnoteReference w:customMarkFollows="1" w:id="1"/>
        <w:t>*</w:t>
      </w:r>
    </w:p>
    <w:p w:rsidR="00675E8A" w:rsidRDefault="00675E8A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הציבור (מזון) [נוסח חדש], תשמ"ג</w:t>
      </w:r>
      <w:r w:rsidR="00643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מתקין תקנות אלה:</w:t>
      </w:r>
    </w:p>
    <w:p w:rsidR="00675E8A" w:rsidRDefault="00675E8A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4656" o:allowincell="f" filled="f" stroked="f" strokecolor="lime" strokeweight=".25pt">
            <v:textbox inset="0,0,0,0">
              <w:txbxContent>
                <w:p w:rsidR="00675E8A" w:rsidRDefault="00675E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"גלוטן" </w:t>
      </w:r>
      <w:r w:rsidR="00643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חלבון מן הצומח הנמצא בגרעינים של חיטה, שיפון, שעורה, שיבולת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שועל ומוצריהם, לרבות עמילנים, לתת וסובין.</w:t>
      </w:r>
    </w:p>
    <w:p w:rsidR="00675E8A" w:rsidRDefault="00675E8A" w:rsidP="00091D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1pt;z-index:251655680" o:allowincell="f" filled="f" stroked="f" strokecolor="lime" strokeweight=".25pt">
            <v:textbox inset="0,0,0,0">
              <w:txbxContent>
                <w:p w:rsidR="00675E8A" w:rsidRDefault="00675E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ן גלוטן</w:t>
                  </w:r>
                </w:p>
                <w:p w:rsidR="00091D71" w:rsidRDefault="00091D7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091D71">
        <w:rPr>
          <w:rStyle w:val="default"/>
          <w:rFonts w:cs="FrankRuehl"/>
          <w:rtl/>
        </w:rPr>
        <w:t>.</w:t>
      </w:r>
      <w:r w:rsidRPr="00091D71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ייצר אדם מזון שיש בו או שהוסף לו גלוטן בשיעור </w:t>
      </w:r>
      <w:r w:rsidR="00091D71" w:rsidRPr="00091D71">
        <w:rPr>
          <w:rStyle w:val="default"/>
          <w:rFonts w:cs="FrankRuehl" w:hint="cs"/>
          <w:rtl/>
        </w:rPr>
        <w:t>העולה על 20 חלקים למיליון</w:t>
      </w:r>
      <w:r>
        <w:rPr>
          <w:rStyle w:val="default"/>
          <w:rFonts w:cs="FrankRuehl" w:hint="cs"/>
          <w:rtl/>
        </w:rPr>
        <w:t>, לא ייבאו ולא ישווקו אלא אם כן צויינו ברשימת הרכיבים במזון שם הצמח מקור הגלוטן והמלים "מכיל גלוטן".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091D7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1.3.2011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1D7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תשע"א-2011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91D7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6982</w:t>
        </w:r>
      </w:hyperlink>
      <w:r w:rsidRPr="00091D7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1.3.2011 עמ' 733</w:t>
      </w:r>
    </w:p>
    <w:p w:rsidR="00091D71" w:rsidRPr="00091D71" w:rsidRDefault="00091D71" w:rsidP="00091D7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91D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91D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ייצר אדם מזון שיש בו או שהוסף לו </w:t>
      </w:r>
      <w:r w:rsidRPr="00091D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גלוטן בשיעור כלשהו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91D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גלוטן בשיעור העולה על 20 חלקים למיליון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ייבאו ולא ישווקו אלא אם כן צויינו ברשימת הרכיבים במזון שם הצמח מקור הגלוטן והמלים "מכיל גלוטן".</w:t>
      </w:r>
      <w:bookmarkEnd w:id="2"/>
    </w:p>
    <w:p w:rsidR="00675E8A" w:rsidRDefault="00675E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1.55pt;z-index:251656704" o:allowincell="f" filled="f" stroked="f" strokecolor="lime" strokeweight=".25pt">
            <v:textbox inset="0,0,0,0">
              <w:txbxContent>
                <w:p w:rsidR="00675E8A" w:rsidRDefault="00675E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ללא גלוטן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כול שמזון יסומן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לים "ללא גלוטן" אם נתקיימו לגביו התנאים שלהלן:</w:t>
      </w:r>
    </w:p>
    <w:p w:rsidR="00675E8A" w:rsidRDefault="00091D71" w:rsidP="00091D7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8.8pt;z-index:251659776" filled="f" stroked="f">
            <v:textbox inset="1mm,0,1mm,0">
              <w:txbxContent>
                <w:p w:rsidR="00091D71" w:rsidRDefault="00091D71" w:rsidP="00091D7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675E8A">
        <w:rPr>
          <w:rStyle w:val="default"/>
          <w:rFonts w:cs="FrankRuehl"/>
          <w:rtl/>
        </w:rPr>
        <w:t>(1)</w:t>
      </w:r>
      <w:r w:rsidR="00675E8A">
        <w:rPr>
          <w:rStyle w:val="default"/>
          <w:rFonts w:cs="FrankRuehl"/>
          <w:rtl/>
        </w:rPr>
        <w:tab/>
      </w:r>
      <w:r w:rsidRPr="00091D71">
        <w:rPr>
          <w:rStyle w:val="default"/>
          <w:rFonts w:cs="FrankRuehl" w:hint="cs"/>
          <w:rtl/>
        </w:rPr>
        <w:t>שיעור הגלוטן בו אינו עולה או שווה ל-20 חלקים למיליון</w:t>
      </w:r>
      <w:r w:rsidR="00675E8A">
        <w:rPr>
          <w:rStyle w:val="default"/>
          <w:rFonts w:cs="FrankRuehl" w:hint="cs"/>
          <w:rtl/>
        </w:rPr>
        <w:t>;</w:t>
      </w:r>
    </w:p>
    <w:p w:rsidR="00675E8A" w:rsidRDefault="00675E8A" w:rsidP="006433B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8.65pt;z-index:251657728" o:allowincell="f" filled="f" stroked="f" strokecolor="lime" strokeweight=".25pt">
            <v:textbox inset="0,0,0,0">
              <w:txbxContent>
                <w:p w:rsidR="00675E8A" w:rsidRDefault="00675E8A" w:rsidP="0064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</w:t>
                  </w:r>
                  <w:r w:rsidR="006433B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יוצר בתנאי ייצור נאותים כהגדרתם בתקנות בריאות הציבור (מזון) (תנאי ייצור נאותים), תשנ"ג</w:t>
      </w:r>
      <w:r w:rsidR="00643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1993, להנחת דעתו של המנהל;</w:t>
      </w:r>
    </w:p>
    <w:p w:rsidR="00675E8A" w:rsidRDefault="00091D71" w:rsidP="00091D7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35" type="#_x0000_t202" style="position:absolute;left:0;text-align:left;margin-left:470.25pt;margin-top:7.1pt;width:1in;height:11.2pt;z-index:251660800" filled="f" stroked="f">
            <v:textbox inset="1mm,0,1mm,0">
              <w:txbxContent>
                <w:p w:rsidR="00091D71" w:rsidRDefault="00091D71" w:rsidP="00091D7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675E8A">
        <w:rPr>
          <w:rStyle w:val="default"/>
          <w:rFonts w:cs="FrankRuehl"/>
          <w:rtl/>
        </w:rPr>
        <w:t>(3)</w:t>
      </w:r>
      <w:r w:rsidR="00675E8A">
        <w:rPr>
          <w:rStyle w:val="default"/>
          <w:rFonts w:cs="FrankRuehl"/>
          <w:rtl/>
        </w:rPr>
        <w:tab/>
      </w:r>
      <w:r w:rsidR="00675E8A">
        <w:rPr>
          <w:rStyle w:val="default"/>
          <w:rFonts w:cs="FrankRuehl" w:hint="cs"/>
          <w:rtl/>
        </w:rPr>
        <w:t xml:space="preserve">ננקטו הצעדים הדרושים </w:t>
      </w:r>
      <w:r w:rsidRPr="00091D71">
        <w:rPr>
          <w:rStyle w:val="default"/>
          <w:rFonts w:cs="FrankRuehl" w:hint="cs"/>
          <w:rtl/>
        </w:rPr>
        <w:t>כדי להבטיח כי רמת הגלוטן בחומר הגלם ובמזון לא תעלה על 20 חלקים למיליון</w:t>
      </w:r>
      <w:r w:rsidR="00675E8A">
        <w:rPr>
          <w:rStyle w:val="default"/>
          <w:rFonts w:cs="FrankRuehl" w:hint="cs"/>
          <w:rtl/>
        </w:rPr>
        <w:t>.</w:t>
      </w:r>
    </w:p>
    <w:p w:rsidR="006433B3" w:rsidRPr="00091D71" w:rsidRDefault="006433B3" w:rsidP="006433B3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8"/>
      <w:r w:rsidRPr="00091D71">
        <w:rPr>
          <w:rFonts w:hint="cs"/>
          <w:vanish/>
          <w:color w:val="FF0000"/>
          <w:szCs w:val="20"/>
          <w:shd w:val="clear" w:color="auto" w:fill="FFFF99"/>
          <w:rtl/>
        </w:rPr>
        <w:t>מיום 8.9.1997</w:t>
      </w:r>
    </w:p>
    <w:p w:rsidR="006433B3" w:rsidRPr="00091D71" w:rsidRDefault="006433B3" w:rsidP="006433B3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91D71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6433B3" w:rsidRPr="00091D71" w:rsidRDefault="006433B3" w:rsidP="006433B3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91D7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5849</w:t>
        </w:r>
      </w:hyperlink>
      <w:r w:rsidRPr="00091D71">
        <w:rPr>
          <w:rFonts w:hint="cs"/>
          <w:vanish/>
          <w:szCs w:val="20"/>
          <w:shd w:val="clear" w:color="auto" w:fill="FFFF99"/>
          <w:rtl/>
        </w:rPr>
        <w:t xml:space="preserve"> מיום 8.9.1997 עמ' 1130</w:t>
      </w:r>
    </w:p>
    <w:p w:rsidR="006433B3" w:rsidRPr="00091D71" w:rsidRDefault="006433B3" w:rsidP="006433B3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91D71">
        <w:rPr>
          <w:rFonts w:hint="cs"/>
          <w:b/>
          <w:bCs/>
          <w:vanish/>
          <w:szCs w:val="20"/>
          <w:shd w:val="clear" w:color="auto" w:fill="FFFF99"/>
          <w:rtl/>
        </w:rPr>
        <w:t>החלפת פסקה 3(2)</w:t>
      </w:r>
    </w:p>
    <w:p w:rsidR="006433B3" w:rsidRPr="00091D71" w:rsidRDefault="006433B3" w:rsidP="006433B3">
      <w:pPr>
        <w:pStyle w:val="P0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091D7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6433B3" w:rsidRPr="00091D71" w:rsidRDefault="006433B3" w:rsidP="006433B3">
      <w:pPr>
        <w:pStyle w:val="P00"/>
        <w:spacing w:before="0"/>
        <w:ind w:left="624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091D71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091D7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הוא יוצר בקו ייצור שאינו משמש לייצור מזון המכיל גלוטן;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1D7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1.3.2011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91D7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תשע"א-2011</w:t>
      </w:r>
    </w:p>
    <w:p w:rsidR="00091D71" w:rsidRPr="00091D71" w:rsidRDefault="00091D71" w:rsidP="00091D7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91D7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6982</w:t>
        </w:r>
      </w:hyperlink>
      <w:r w:rsidRPr="00091D7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1.3.2011 עמ' 733</w:t>
      </w:r>
    </w:p>
    <w:p w:rsidR="00091D71" w:rsidRPr="00091D71" w:rsidRDefault="00091D71" w:rsidP="00091D7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91D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91D7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כול שמזון יסומן ב</w:t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לים "ללא גלוטן" אם נתקיימו לגביו התנאים שלהלן:</w:t>
      </w:r>
    </w:p>
    <w:p w:rsidR="00091D71" w:rsidRPr="00091D71" w:rsidRDefault="00091D71" w:rsidP="00091D7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1D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אינו מכיל גלוטן בשיעור כלשהו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91D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שיעור הגלוטן בו אינו עולה או שווה ל-20 חלקים למיליון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091D71" w:rsidRPr="00091D71" w:rsidRDefault="00091D71" w:rsidP="00091D71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יוצר בתנאי ייצור נאותים כהגדרתם בתקנות בריאות הציבור (מזון) (תנאי ייצור נאותים), תשנ"ג-1993, להנחת דעתו של המנהל;</w:t>
      </w:r>
    </w:p>
    <w:p w:rsidR="00091D71" w:rsidRPr="00091D71" w:rsidRDefault="00091D71" w:rsidP="00091D71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91D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ננקטו הצעדים הדרושים </w:t>
      </w:r>
      <w:r w:rsidRPr="00091D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כדי</w:t>
      </w:r>
      <w:r w:rsidRPr="00091D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91D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לוודא כי לא זוהם בגלוטן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91D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כדי להבטיח כי רמת הגלוטן בחומר הגלם ובמזון לא תעלה על 20 חלקים למיליון</w:t>
      </w:r>
      <w:r w:rsidRPr="00091D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675E8A" w:rsidRDefault="00675E8A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0" style="position:absolute;left:0;text-align:left;margin-left:464.5pt;margin-top:8.05pt;width:75.05pt;height:10.45pt;z-index:251658752" o:allowincell="f" filled="f" stroked="f" strokecolor="lime" strokeweight=".25pt">
            <v:textbox inset="0,0,0,0">
              <w:txbxContent>
                <w:p w:rsidR="00675E8A" w:rsidRDefault="00675E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חילתה של תקנה 2 שנה מיום פרסומן של תקנות אלה ותחילתה של תקנה 3 </w:t>
      </w:r>
      <w:r w:rsidR="00643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שלושים ימים מיום פרסומן.</w:t>
      </w:r>
    </w:p>
    <w:p w:rsidR="00675E8A" w:rsidRDefault="00675E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33B3" w:rsidRDefault="00643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75E8A" w:rsidRDefault="00675E8A" w:rsidP="006433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 w:firstLine="0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באייר תשנ"ו (25 באפר</w:t>
      </w:r>
      <w:r w:rsidR="006433B3">
        <w:rPr>
          <w:rFonts w:hint="cs"/>
          <w:rtl/>
        </w:rPr>
        <w:t>יל 1996)</w:t>
      </w:r>
      <w:r w:rsidR="006433B3">
        <w:rPr>
          <w:rFonts w:hint="cs"/>
          <w:rtl/>
        </w:rPr>
        <w:tab/>
      </w:r>
      <w:r>
        <w:rPr>
          <w:rFonts w:hint="cs"/>
          <w:rtl/>
        </w:rPr>
        <w:t>מאיר אורן</w:t>
      </w:r>
    </w:p>
    <w:p w:rsidR="00675E8A" w:rsidRPr="006433B3" w:rsidRDefault="006433B3" w:rsidP="006433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 w:firstLine="0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675E8A" w:rsidRPr="006433B3">
        <w:rPr>
          <w:rFonts w:hint="cs"/>
          <w:sz w:val="22"/>
          <w:szCs w:val="22"/>
          <w:rtl/>
        </w:rPr>
        <w:t>המנהל הכללי של משרד הבריאות</w:t>
      </w:r>
    </w:p>
    <w:p w:rsidR="00675E8A" w:rsidRDefault="006433B3" w:rsidP="006433B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75E8A">
        <w:rPr>
          <w:rStyle w:val="default"/>
          <w:rFonts w:cs="FrankRuehl"/>
          <w:rtl/>
        </w:rPr>
        <w:t>נ</w:t>
      </w:r>
      <w:r w:rsidR="00675E8A">
        <w:rPr>
          <w:rStyle w:val="default"/>
          <w:rFonts w:cs="FrankRuehl" w:hint="cs"/>
          <w:rtl/>
        </w:rPr>
        <w:t>תאשר.</w:t>
      </w:r>
    </w:p>
    <w:p w:rsidR="00675E8A" w:rsidRPr="006433B3" w:rsidRDefault="00675E8A" w:rsidP="006433B3">
      <w:pPr>
        <w:pStyle w:val="sig-1"/>
        <w:widowControl/>
        <w:spacing w:before="60"/>
        <w:ind w:left="0" w:right="1134"/>
        <w:rPr>
          <w:sz w:val="26"/>
          <w:szCs w:val="26"/>
          <w:rtl/>
        </w:rPr>
      </w:pPr>
      <w:r w:rsidRPr="006433B3">
        <w:rPr>
          <w:sz w:val="26"/>
          <w:szCs w:val="26"/>
          <w:rtl/>
        </w:rPr>
        <w:tab/>
      </w:r>
      <w:r w:rsidRPr="006433B3">
        <w:rPr>
          <w:sz w:val="26"/>
          <w:szCs w:val="26"/>
          <w:rtl/>
        </w:rPr>
        <w:tab/>
      </w:r>
      <w:r w:rsidRPr="006433B3">
        <w:rPr>
          <w:sz w:val="26"/>
          <w:szCs w:val="26"/>
          <w:rtl/>
        </w:rPr>
        <w:t> </w:t>
      </w:r>
      <w:r w:rsidRPr="006433B3">
        <w:rPr>
          <w:sz w:val="26"/>
          <w:szCs w:val="26"/>
          <w:rtl/>
        </w:rPr>
        <w:t> </w:t>
      </w:r>
      <w:r w:rsidRPr="006433B3">
        <w:rPr>
          <w:sz w:val="26"/>
          <w:szCs w:val="26"/>
          <w:rtl/>
        </w:rPr>
        <w:t> </w:t>
      </w:r>
      <w:r w:rsidRPr="006433B3">
        <w:rPr>
          <w:sz w:val="26"/>
          <w:szCs w:val="26"/>
          <w:rtl/>
        </w:rPr>
        <w:t>א</w:t>
      </w:r>
      <w:r w:rsidRPr="006433B3">
        <w:rPr>
          <w:rFonts w:hint="cs"/>
          <w:sz w:val="26"/>
          <w:szCs w:val="26"/>
          <w:rtl/>
        </w:rPr>
        <w:t>פרים סנה</w:t>
      </w:r>
    </w:p>
    <w:p w:rsidR="00675E8A" w:rsidRDefault="00675E8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ש</w:t>
      </w:r>
      <w:r>
        <w:rPr>
          <w:rFonts w:hint="cs"/>
          <w:rtl/>
        </w:rPr>
        <w:t>ר הבריא</w:t>
      </w:r>
      <w:r>
        <w:rPr>
          <w:rtl/>
        </w:rPr>
        <w:t>ו</w:t>
      </w:r>
      <w:r>
        <w:rPr>
          <w:rFonts w:hint="cs"/>
          <w:rtl/>
        </w:rPr>
        <w:t>ת</w:t>
      </w:r>
    </w:p>
    <w:p w:rsidR="00675E8A" w:rsidRPr="006433B3" w:rsidRDefault="00675E8A" w:rsidP="00643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33B3" w:rsidRPr="006433B3" w:rsidRDefault="006433B3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75E8A" w:rsidRPr="006433B3" w:rsidRDefault="00675E8A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675E8A" w:rsidRPr="006433B3" w:rsidRDefault="00675E8A" w:rsidP="0064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75E8A" w:rsidRPr="006433B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3202" w:rsidRDefault="00003202">
      <w:r>
        <w:separator/>
      </w:r>
    </w:p>
  </w:endnote>
  <w:endnote w:type="continuationSeparator" w:id="0">
    <w:p w:rsidR="00003202" w:rsidRDefault="0000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E8A" w:rsidRDefault="00675E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75E8A" w:rsidRDefault="00675E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75E8A" w:rsidRDefault="00675E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E8A" w:rsidRDefault="00675E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7F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75E8A" w:rsidRDefault="00675E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75E8A" w:rsidRDefault="00675E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3202" w:rsidRDefault="00003202">
      <w:r>
        <w:separator/>
      </w:r>
    </w:p>
  </w:footnote>
  <w:footnote w:type="continuationSeparator" w:id="0">
    <w:p w:rsidR="00003202" w:rsidRDefault="00003202">
      <w:r>
        <w:continuationSeparator/>
      </w:r>
    </w:p>
  </w:footnote>
  <w:footnote w:id="1">
    <w:p w:rsidR="006433B3" w:rsidRDefault="006433B3" w:rsidP="00643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433B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0401C">
          <w:rPr>
            <w:rStyle w:val="Hyperlink"/>
            <w:rFonts w:hint="cs"/>
            <w:sz w:val="20"/>
            <w:rtl/>
          </w:rPr>
          <w:t>ק"ת תש</w:t>
        </w:r>
        <w:r w:rsidRPr="00F0401C">
          <w:rPr>
            <w:rStyle w:val="Hyperlink"/>
            <w:rFonts w:hint="cs"/>
            <w:sz w:val="20"/>
            <w:rtl/>
          </w:rPr>
          <w:t>נ"ו מס' 5749</w:t>
        </w:r>
      </w:hyperlink>
      <w:r>
        <w:rPr>
          <w:rFonts w:hint="cs"/>
          <w:sz w:val="20"/>
          <w:rtl/>
        </w:rPr>
        <w:t xml:space="preserve"> מיום 15.5.1996 עמ' 853.</w:t>
      </w:r>
    </w:p>
    <w:p w:rsidR="006433B3" w:rsidRDefault="006433B3" w:rsidP="00643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433B3">
        <w:rPr>
          <w:rFonts w:hint="cs"/>
          <w:sz w:val="20"/>
          <w:rtl/>
        </w:rPr>
        <w:t xml:space="preserve">תוקנו </w:t>
      </w:r>
      <w:hyperlink r:id="rId2" w:history="1">
        <w:r w:rsidRPr="006433B3">
          <w:rPr>
            <w:rStyle w:val="Hyperlink"/>
            <w:rFonts w:hint="cs"/>
            <w:sz w:val="20"/>
            <w:rtl/>
          </w:rPr>
          <w:t>ק"</w:t>
        </w:r>
        <w:r w:rsidRPr="006433B3">
          <w:rPr>
            <w:rStyle w:val="Hyperlink"/>
            <w:rFonts w:hint="cs"/>
            <w:sz w:val="20"/>
            <w:rtl/>
          </w:rPr>
          <w:t>ת</w:t>
        </w:r>
        <w:r w:rsidRPr="006433B3">
          <w:rPr>
            <w:rStyle w:val="Hyperlink"/>
            <w:rtl/>
          </w:rPr>
          <w:t xml:space="preserve"> </w:t>
        </w:r>
        <w:r w:rsidRPr="006433B3">
          <w:rPr>
            <w:rStyle w:val="Hyperlink"/>
            <w:rFonts w:hint="cs"/>
            <w:sz w:val="20"/>
            <w:rtl/>
          </w:rPr>
          <w:t>תשנ"ז מס'</w:t>
        </w:r>
        <w:r w:rsidRPr="006433B3">
          <w:rPr>
            <w:rStyle w:val="Hyperlink"/>
            <w:sz w:val="20"/>
            <w:rtl/>
          </w:rPr>
          <w:t xml:space="preserve"> 5849</w:t>
        </w:r>
      </w:hyperlink>
      <w:r w:rsidRPr="006433B3">
        <w:rPr>
          <w:rFonts w:hint="cs"/>
          <w:sz w:val="20"/>
          <w:rtl/>
        </w:rPr>
        <w:t xml:space="preserve"> מיום </w:t>
      </w:r>
      <w:r w:rsidRPr="006433B3">
        <w:rPr>
          <w:sz w:val="20"/>
          <w:rtl/>
        </w:rPr>
        <w:t>8.9.1997 עמ' 1130</w:t>
      </w:r>
      <w:r w:rsidRPr="006433B3">
        <w:rPr>
          <w:rFonts w:hint="cs"/>
          <w:sz w:val="20"/>
          <w:rtl/>
        </w:rPr>
        <w:t xml:space="preserve"> </w:t>
      </w:r>
      <w:r w:rsidRPr="006433B3">
        <w:rPr>
          <w:sz w:val="20"/>
          <w:rtl/>
        </w:rPr>
        <w:t>–</w:t>
      </w:r>
      <w:r w:rsidRPr="006433B3">
        <w:rPr>
          <w:rFonts w:hint="cs"/>
          <w:sz w:val="20"/>
          <w:rtl/>
        </w:rPr>
        <w:t xml:space="preserve"> תק' תשנ"ז-1997</w:t>
      </w:r>
      <w:r w:rsidRPr="006433B3">
        <w:rPr>
          <w:sz w:val="20"/>
          <w:rtl/>
        </w:rPr>
        <w:t>.</w:t>
      </w:r>
    </w:p>
    <w:p w:rsidR="00E97F4F" w:rsidRPr="006433B3" w:rsidRDefault="00E97F4F" w:rsidP="00E97F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</w:rPr>
      </w:pPr>
      <w:hyperlink r:id="rId3" w:history="1">
        <w:r w:rsidR="00091D71" w:rsidRPr="00E97F4F">
          <w:rPr>
            <w:rStyle w:val="Hyperlink"/>
            <w:rFonts w:hint="cs"/>
            <w:sz w:val="20"/>
            <w:rtl/>
          </w:rPr>
          <w:t>ק"ת תשע"א מס' 6982</w:t>
        </w:r>
      </w:hyperlink>
      <w:r w:rsidR="00091D71">
        <w:rPr>
          <w:rFonts w:hint="cs"/>
          <w:sz w:val="20"/>
          <w:rtl/>
        </w:rPr>
        <w:t xml:space="preserve"> מיום 1.3.2011 עמ' 733 </w:t>
      </w:r>
      <w:r w:rsidR="00091D71">
        <w:rPr>
          <w:sz w:val="20"/>
          <w:rtl/>
        </w:rPr>
        <w:t>–</w:t>
      </w:r>
      <w:r w:rsidR="00091D71">
        <w:rPr>
          <w:rFonts w:hint="cs"/>
          <w:sz w:val="20"/>
          <w:rtl/>
        </w:rPr>
        <w:t xml:space="preserve"> תק'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E8A" w:rsidRDefault="00675E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(סימון גלוטן), תשנ"ו–1996</w:t>
    </w:r>
  </w:p>
  <w:p w:rsidR="00675E8A" w:rsidRDefault="00675E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5E8A" w:rsidRDefault="00675E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E8A" w:rsidRDefault="00675E8A" w:rsidP="006433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(סימון גלוטן), תשנ"ו</w:t>
    </w:r>
    <w:r w:rsidR="006433B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675E8A" w:rsidRDefault="00675E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5E8A" w:rsidRDefault="00675E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2EC"/>
    <w:rsid w:val="00003202"/>
    <w:rsid w:val="00091D71"/>
    <w:rsid w:val="00204BC8"/>
    <w:rsid w:val="0024542D"/>
    <w:rsid w:val="003D3134"/>
    <w:rsid w:val="004432EC"/>
    <w:rsid w:val="006433B3"/>
    <w:rsid w:val="00675E8A"/>
    <w:rsid w:val="00791C51"/>
    <w:rsid w:val="0081236F"/>
    <w:rsid w:val="00980EB1"/>
    <w:rsid w:val="00E97F4F"/>
    <w:rsid w:val="00F0401C"/>
    <w:rsid w:val="00F120DD"/>
    <w:rsid w:val="00F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29607A3-4434-49E5-9F06-95BB604C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0401C"/>
    <w:rPr>
      <w:color w:val="800080"/>
      <w:u w:val="single"/>
    </w:rPr>
  </w:style>
  <w:style w:type="paragraph" w:styleId="a5">
    <w:name w:val="footnote text"/>
    <w:basedOn w:val="a"/>
    <w:semiHidden/>
    <w:rsid w:val="006433B3"/>
    <w:rPr>
      <w:sz w:val="20"/>
      <w:szCs w:val="20"/>
    </w:rPr>
  </w:style>
  <w:style w:type="character" w:styleId="a6">
    <w:name w:val="footnote reference"/>
    <w:basedOn w:val="a0"/>
    <w:semiHidden/>
    <w:rsid w:val="006433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82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84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98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982.pdf" TargetMode="External"/><Relationship Id="rId2" Type="http://schemas.openxmlformats.org/officeDocument/2006/relationships/hyperlink" Target="http://www.nevo.co.il/Law_word/law06/TAK-5849.pdf" TargetMode="External"/><Relationship Id="rId1" Type="http://schemas.openxmlformats.org/officeDocument/2006/relationships/hyperlink" Target="http://www.nevo.co.il/Law_word/law06/TAK-5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2565</CharactersWithSpaces>
  <SharedDoc>false</SharedDoc>
  <HLinks>
    <vt:vector size="60" baseType="variant">
      <vt:variant>
        <vt:i4>7798787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7864329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http://www.nevo.co.il/Law_word/law06/TAK-5849.pdf</vt:lpwstr>
      </vt:variant>
      <vt:variant>
        <vt:lpwstr/>
      </vt:variant>
      <vt:variant>
        <vt:i4>7798787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http://www.nevo.co.il/Law_word/law06/TAK-5849.pdf</vt:lpwstr>
      </vt:variant>
      <vt:variant>
        <vt:lpwstr/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(סימון גלוטן), תשנ"ו-1996</vt:lpwstr>
  </property>
  <property fmtid="{D5CDD505-2E9C-101B-9397-08002B2CF9AE}" pid="5" name="LAWNUMBER">
    <vt:lpwstr>0097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אריזה וסימון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הציבור (מזון) [נוסח חדש]</vt:lpwstr>
  </property>
  <property fmtid="{D5CDD505-2E9C-101B-9397-08002B2CF9AE}" pid="48" name="MEKOR_SAIF1">
    <vt:lpwstr>3X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http://www.nevo.co.il/Law_word/law06/TAK-6982.pdf;‎רשומות - תקנות כלליות#ק"ת תשע"א מס' ‏‏6982 #מיום 1.3.2011 עמ' 733 – תק' תשע"א-2011‏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