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4BE" w:rsidRDefault="008934BE">
      <w:pPr>
        <w:pStyle w:val="big-header"/>
        <w:ind w:left="0" w:right="1134"/>
        <w:rPr>
          <w:rFonts w:hint="cs"/>
          <w:rtl/>
        </w:rPr>
      </w:pPr>
      <w:r>
        <w:rPr>
          <w:rtl/>
        </w:rPr>
        <w:t>תקנות בריאות הציבור (מזון) (תוספי מזון), תשס"א</w:t>
      </w:r>
      <w:r>
        <w:rPr>
          <w:rFonts w:hint="cs"/>
          <w:rtl/>
        </w:rPr>
        <w:t>-</w:t>
      </w:r>
      <w:r>
        <w:rPr>
          <w:rtl/>
        </w:rPr>
        <w:t>2001</w:t>
      </w:r>
    </w:p>
    <w:p w:rsidR="007D38EE" w:rsidRDefault="007D38EE" w:rsidP="007D38EE">
      <w:pPr>
        <w:spacing w:line="320" w:lineRule="auto"/>
        <w:jc w:val="left"/>
        <w:rPr>
          <w:rFonts w:cs="FrankRuehl" w:hint="cs"/>
          <w:szCs w:val="26"/>
          <w:rtl/>
        </w:rPr>
      </w:pPr>
    </w:p>
    <w:p w:rsidR="00E929B7" w:rsidRPr="007D38EE" w:rsidRDefault="00E929B7" w:rsidP="007D38EE">
      <w:pPr>
        <w:spacing w:line="320" w:lineRule="auto"/>
        <w:jc w:val="left"/>
        <w:rPr>
          <w:rFonts w:cs="FrankRuehl" w:hint="cs"/>
          <w:szCs w:val="26"/>
          <w:rtl/>
        </w:rPr>
      </w:pPr>
    </w:p>
    <w:p w:rsidR="007D38EE" w:rsidRPr="007D38EE" w:rsidRDefault="007D38EE" w:rsidP="007D38EE">
      <w:pPr>
        <w:spacing w:line="320" w:lineRule="auto"/>
        <w:jc w:val="left"/>
        <w:rPr>
          <w:rFonts w:cs="Miriam" w:hint="cs"/>
          <w:szCs w:val="22"/>
          <w:rtl/>
        </w:rPr>
      </w:pPr>
      <w:r w:rsidRPr="007D38EE">
        <w:rPr>
          <w:rFonts w:cs="Miriam"/>
          <w:szCs w:val="22"/>
          <w:rtl/>
        </w:rPr>
        <w:t>בריאות</w:t>
      </w:r>
      <w:r w:rsidRPr="007D38EE">
        <w:rPr>
          <w:rFonts w:cs="FrankRuehl"/>
          <w:szCs w:val="26"/>
          <w:rtl/>
        </w:rPr>
        <w:t xml:space="preserve"> – בריאות הציבור (מזון)</w:t>
      </w:r>
    </w:p>
    <w:p w:rsidR="008934BE" w:rsidRDefault="008934B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259C1">
              <w:rPr>
                <w:noProof/>
                <w:sz w:val="24"/>
                <w:rtl/>
              </w:rPr>
              <w:t>2</w:t>
            </w:r>
            <w:r>
              <w:rPr>
                <w:sz w:val="24"/>
                <w:rtl/>
              </w:rPr>
              <w:fldChar w:fldCharType="end"/>
            </w:r>
          </w:p>
        </w:tc>
        <w:tc>
          <w:tcPr>
            <w:tcW w:w="567" w:type="dxa"/>
          </w:tcPr>
          <w:p w:rsidR="008934BE" w:rsidRDefault="008934BE">
            <w:pPr>
              <w:spacing w:line="240" w:lineRule="auto"/>
              <w:rPr>
                <w:sz w:val="24"/>
              </w:rPr>
            </w:pPr>
            <w:hyperlink w:anchor="Seif0" w:tooltip="הגדרות" w:history="1">
              <w:r>
                <w:rPr>
                  <w:rStyle w:val="Hyperlink"/>
                </w:rPr>
                <w:t>Go</w:t>
              </w:r>
            </w:hyperlink>
          </w:p>
        </w:tc>
        <w:tc>
          <w:tcPr>
            <w:tcW w:w="5669" w:type="dxa"/>
          </w:tcPr>
          <w:p w:rsidR="008934BE" w:rsidRDefault="008934BE">
            <w:pPr>
              <w:spacing w:line="240" w:lineRule="auto"/>
              <w:rPr>
                <w:sz w:val="24"/>
                <w:rtl/>
              </w:rPr>
            </w:pPr>
            <w:r>
              <w:rPr>
                <w:sz w:val="24"/>
                <w:rtl/>
              </w:rPr>
              <w:t>הגדרות</w:t>
            </w:r>
          </w:p>
        </w:tc>
        <w:tc>
          <w:tcPr>
            <w:tcW w:w="1247" w:type="dxa"/>
          </w:tcPr>
          <w:p w:rsidR="008934BE" w:rsidRDefault="008934BE">
            <w:pPr>
              <w:spacing w:line="240" w:lineRule="auto"/>
              <w:rPr>
                <w:sz w:val="24"/>
              </w:rPr>
            </w:pPr>
            <w:r>
              <w:rPr>
                <w:sz w:val="24"/>
                <w:rtl/>
              </w:rPr>
              <w:t xml:space="preserve">סעיף 1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1" w:tooltip="השימוש בתוספי מזון" w:history="1">
              <w:r>
                <w:rPr>
                  <w:rStyle w:val="Hyperlink"/>
                </w:rPr>
                <w:t>Go</w:t>
              </w:r>
            </w:hyperlink>
          </w:p>
        </w:tc>
        <w:tc>
          <w:tcPr>
            <w:tcW w:w="5669" w:type="dxa"/>
          </w:tcPr>
          <w:p w:rsidR="008934BE" w:rsidRDefault="008934BE">
            <w:pPr>
              <w:spacing w:line="240" w:lineRule="auto"/>
              <w:rPr>
                <w:sz w:val="24"/>
                <w:rtl/>
              </w:rPr>
            </w:pPr>
            <w:r>
              <w:rPr>
                <w:sz w:val="24"/>
                <w:rtl/>
              </w:rPr>
              <w:t>השימוש בתוספי מזון</w:t>
            </w:r>
          </w:p>
        </w:tc>
        <w:tc>
          <w:tcPr>
            <w:tcW w:w="1247" w:type="dxa"/>
          </w:tcPr>
          <w:p w:rsidR="008934BE" w:rsidRDefault="008934BE">
            <w:pPr>
              <w:spacing w:line="240" w:lineRule="auto"/>
              <w:rPr>
                <w:sz w:val="24"/>
              </w:rPr>
            </w:pPr>
            <w:r>
              <w:rPr>
                <w:sz w:val="24"/>
                <w:rtl/>
              </w:rPr>
              <w:t xml:space="preserve">סעיף 2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2" w:tooltip="תוספי מזון מותרים" w:history="1">
              <w:r>
                <w:rPr>
                  <w:rStyle w:val="Hyperlink"/>
                </w:rPr>
                <w:t>Go</w:t>
              </w:r>
            </w:hyperlink>
          </w:p>
        </w:tc>
        <w:tc>
          <w:tcPr>
            <w:tcW w:w="5669" w:type="dxa"/>
          </w:tcPr>
          <w:p w:rsidR="008934BE" w:rsidRDefault="008934BE">
            <w:pPr>
              <w:spacing w:line="240" w:lineRule="auto"/>
              <w:rPr>
                <w:sz w:val="24"/>
                <w:rtl/>
              </w:rPr>
            </w:pPr>
            <w:r>
              <w:rPr>
                <w:sz w:val="24"/>
                <w:rtl/>
              </w:rPr>
              <w:t>תוספי מזון מותרים</w:t>
            </w:r>
          </w:p>
        </w:tc>
        <w:tc>
          <w:tcPr>
            <w:tcW w:w="1247" w:type="dxa"/>
          </w:tcPr>
          <w:p w:rsidR="008934BE" w:rsidRDefault="008934BE">
            <w:pPr>
              <w:spacing w:line="240" w:lineRule="auto"/>
              <w:rPr>
                <w:sz w:val="24"/>
              </w:rPr>
            </w:pPr>
            <w:r>
              <w:rPr>
                <w:sz w:val="24"/>
                <w:rtl/>
              </w:rPr>
              <w:t xml:space="preserve">סעיף 3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3" w:tooltip="כמות מרבית של תוסף מזון" w:history="1">
              <w:r>
                <w:rPr>
                  <w:rStyle w:val="Hyperlink"/>
                </w:rPr>
                <w:t>Go</w:t>
              </w:r>
            </w:hyperlink>
          </w:p>
        </w:tc>
        <w:tc>
          <w:tcPr>
            <w:tcW w:w="5669" w:type="dxa"/>
          </w:tcPr>
          <w:p w:rsidR="008934BE" w:rsidRDefault="008934BE">
            <w:pPr>
              <w:spacing w:line="240" w:lineRule="auto"/>
              <w:rPr>
                <w:sz w:val="24"/>
                <w:rtl/>
              </w:rPr>
            </w:pPr>
            <w:r>
              <w:rPr>
                <w:sz w:val="24"/>
                <w:rtl/>
              </w:rPr>
              <w:t>כמות מרבית של תוסף מזון</w:t>
            </w:r>
          </w:p>
        </w:tc>
        <w:tc>
          <w:tcPr>
            <w:tcW w:w="1247" w:type="dxa"/>
          </w:tcPr>
          <w:p w:rsidR="008934BE" w:rsidRDefault="008934BE">
            <w:pPr>
              <w:spacing w:line="240" w:lineRule="auto"/>
              <w:rPr>
                <w:sz w:val="24"/>
              </w:rPr>
            </w:pPr>
            <w:r>
              <w:rPr>
                <w:sz w:val="24"/>
                <w:rtl/>
              </w:rPr>
              <w:t xml:space="preserve">סעיף 4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4" w:tooltip="ייצור תוספי מזון" w:history="1">
              <w:r>
                <w:rPr>
                  <w:rStyle w:val="Hyperlink"/>
                </w:rPr>
                <w:t>Go</w:t>
              </w:r>
            </w:hyperlink>
          </w:p>
        </w:tc>
        <w:tc>
          <w:tcPr>
            <w:tcW w:w="5669" w:type="dxa"/>
          </w:tcPr>
          <w:p w:rsidR="008934BE" w:rsidRDefault="008934BE">
            <w:pPr>
              <w:spacing w:line="240" w:lineRule="auto"/>
              <w:rPr>
                <w:sz w:val="24"/>
                <w:rtl/>
              </w:rPr>
            </w:pPr>
            <w:r>
              <w:rPr>
                <w:sz w:val="24"/>
                <w:rtl/>
              </w:rPr>
              <w:t>ייצור תוספי מזון</w:t>
            </w:r>
          </w:p>
        </w:tc>
        <w:tc>
          <w:tcPr>
            <w:tcW w:w="1247" w:type="dxa"/>
          </w:tcPr>
          <w:p w:rsidR="008934BE" w:rsidRDefault="008934BE">
            <w:pPr>
              <w:spacing w:line="240" w:lineRule="auto"/>
              <w:rPr>
                <w:sz w:val="24"/>
              </w:rPr>
            </w:pPr>
            <w:r>
              <w:rPr>
                <w:sz w:val="24"/>
                <w:rtl/>
              </w:rPr>
              <w:t xml:space="preserve">סעיף 5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5" w:tooltip="סימון מזון המכיל תוסף מזון" w:history="1">
              <w:r>
                <w:rPr>
                  <w:rStyle w:val="Hyperlink"/>
                </w:rPr>
                <w:t>Go</w:t>
              </w:r>
            </w:hyperlink>
          </w:p>
        </w:tc>
        <w:tc>
          <w:tcPr>
            <w:tcW w:w="5669" w:type="dxa"/>
          </w:tcPr>
          <w:p w:rsidR="008934BE" w:rsidRDefault="008934BE">
            <w:pPr>
              <w:spacing w:line="240" w:lineRule="auto"/>
              <w:rPr>
                <w:sz w:val="24"/>
                <w:rtl/>
              </w:rPr>
            </w:pPr>
            <w:r>
              <w:rPr>
                <w:sz w:val="24"/>
                <w:rtl/>
              </w:rPr>
              <w:t>סימון מזון המכיל תוסף מזון</w:t>
            </w:r>
          </w:p>
        </w:tc>
        <w:tc>
          <w:tcPr>
            <w:tcW w:w="1247" w:type="dxa"/>
          </w:tcPr>
          <w:p w:rsidR="008934BE" w:rsidRDefault="008934BE">
            <w:pPr>
              <w:spacing w:line="240" w:lineRule="auto"/>
              <w:rPr>
                <w:sz w:val="24"/>
              </w:rPr>
            </w:pPr>
            <w:r>
              <w:rPr>
                <w:sz w:val="24"/>
                <w:rtl/>
              </w:rPr>
              <w:t xml:space="preserve">סעיף 6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6" w:tooltip="שיטות בדיקה" w:history="1">
              <w:r>
                <w:rPr>
                  <w:rStyle w:val="Hyperlink"/>
                </w:rPr>
                <w:t>Go</w:t>
              </w:r>
            </w:hyperlink>
          </w:p>
        </w:tc>
        <w:tc>
          <w:tcPr>
            <w:tcW w:w="5669" w:type="dxa"/>
          </w:tcPr>
          <w:p w:rsidR="008934BE" w:rsidRDefault="008934BE">
            <w:pPr>
              <w:spacing w:line="240" w:lineRule="auto"/>
              <w:rPr>
                <w:sz w:val="24"/>
                <w:rtl/>
              </w:rPr>
            </w:pPr>
            <w:r>
              <w:rPr>
                <w:sz w:val="24"/>
                <w:rtl/>
              </w:rPr>
              <w:t>שיטות בדיקה</w:t>
            </w:r>
          </w:p>
        </w:tc>
        <w:tc>
          <w:tcPr>
            <w:tcW w:w="1247" w:type="dxa"/>
          </w:tcPr>
          <w:p w:rsidR="008934BE" w:rsidRDefault="008934BE">
            <w:pPr>
              <w:spacing w:line="240" w:lineRule="auto"/>
              <w:rPr>
                <w:sz w:val="24"/>
              </w:rPr>
            </w:pPr>
            <w:r>
              <w:rPr>
                <w:sz w:val="24"/>
                <w:rtl/>
              </w:rPr>
              <w:t xml:space="preserve">סעיף 7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259C1">
              <w:rPr>
                <w:noProof/>
                <w:sz w:val="24"/>
                <w:rtl/>
              </w:rPr>
              <w:t>3</w:t>
            </w:r>
            <w:r>
              <w:rPr>
                <w:sz w:val="24"/>
                <w:rtl/>
              </w:rPr>
              <w:fldChar w:fldCharType="end"/>
            </w:r>
          </w:p>
        </w:tc>
        <w:tc>
          <w:tcPr>
            <w:tcW w:w="567" w:type="dxa"/>
          </w:tcPr>
          <w:p w:rsidR="008934BE" w:rsidRDefault="008934BE">
            <w:pPr>
              <w:spacing w:line="240" w:lineRule="auto"/>
              <w:rPr>
                <w:sz w:val="24"/>
              </w:rPr>
            </w:pPr>
            <w:hyperlink w:anchor="Seif7" w:tooltip="שמירת תקן" w:history="1">
              <w:r>
                <w:rPr>
                  <w:rStyle w:val="Hyperlink"/>
                </w:rPr>
                <w:t>Go</w:t>
              </w:r>
            </w:hyperlink>
          </w:p>
        </w:tc>
        <w:tc>
          <w:tcPr>
            <w:tcW w:w="5669" w:type="dxa"/>
          </w:tcPr>
          <w:p w:rsidR="008934BE" w:rsidRDefault="008934BE">
            <w:pPr>
              <w:spacing w:line="240" w:lineRule="auto"/>
              <w:rPr>
                <w:sz w:val="24"/>
                <w:rtl/>
              </w:rPr>
            </w:pPr>
            <w:r>
              <w:rPr>
                <w:sz w:val="24"/>
                <w:rtl/>
              </w:rPr>
              <w:t>שמירת תקן</w:t>
            </w:r>
          </w:p>
        </w:tc>
        <w:tc>
          <w:tcPr>
            <w:tcW w:w="1247" w:type="dxa"/>
          </w:tcPr>
          <w:p w:rsidR="008934BE" w:rsidRDefault="008934BE">
            <w:pPr>
              <w:spacing w:line="240" w:lineRule="auto"/>
              <w:rPr>
                <w:sz w:val="24"/>
              </w:rPr>
            </w:pPr>
            <w:r>
              <w:rPr>
                <w:sz w:val="24"/>
                <w:rtl/>
              </w:rPr>
              <w:t xml:space="preserve">סעיף 8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7259C1">
              <w:rPr>
                <w:noProof/>
                <w:sz w:val="24"/>
                <w:rtl/>
              </w:rPr>
              <w:t>4</w:t>
            </w:r>
            <w:r>
              <w:rPr>
                <w:sz w:val="24"/>
                <w:rtl/>
              </w:rPr>
              <w:fldChar w:fldCharType="end"/>
            </w:r>
          </w:p>
        </w:tc>
        <w:tc>
          <w:tcPr>
            <w:tcW w:w="567" w:type="dxa"/>
          </w:tcPr>
          <w:p w:rsidR="008934BE" w:rsidRDefault="008934BE">
            <w:pPr>
              <w:spacing w:line="240" w:lineRule="auto"/>
              <w:rPr>
                <w:sz w:val="24"/>
              </w:rPr>
            </w:pPr>
            <w:hyperlink w:anchor="Seif8" w:tooltip="ביטול" w:history="1">
              <w:r>
                <w:rPr>
                  <w:rStyle w:val="Hyperlink"/>
                </w:rPr>
                <w:t>Go</w:t>
              </w:r>
            </w:hyperlink>
          </w:p>
        </w:tc>
        <w:tc>
          <w:tcPr>
            <w:tcW w:w="5669" w:type="dxa"/>
          </w:tcPr>
          <w:p w:rsidR="008934BE" w:rsidRDefault="008934BE">
            <w:pPr>
              <w:spacing w:line="240" w:lineRule="auto"/>
              <w:rPr>
                <w:sz w:val="24"/>
                <w:rtl/>
              </w:rPr>
            </w:pPr>
            <w:r>
              <w:rPr>
                <w:sz w:val="24"/>
                <w:rtl/>
              </w:rPr>
              <w:t>ביטול</w:t>
            </w:r>
          </w:p>
        </w:tc>
        <w:tc>
          <w:tcPr>
            <w:tcW w:w="1247" w:type="dxa"/>
          </w:tcPr>
          <w:p w:rsidR="008934BE" w:rsidRDefault="008934BE">
            <w:pPr>
              <w:spacing w:line="240" w:lineRule="auto"/>
              <w:rPr>
                <w:sz w:val="24"/>
              </w:rPr>
            </w:pPr>
            <w:r>
              <w:rPr>
                <w:sz w:val="24"/>
                <w:rtl/>
              </w:rPr>
              <w:t xml:space="preserve">סעיף 9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7259C1">
              <w:rPr>
                <w:noProof/>
                <w:sz w:val="24"/>
                <w:rtl/>
              </w:rPr>
              <w:t>4</w:t>
            </w:r>
            <w:r>
              <w:rPr>
                <w:sz w:val="24"/>
                <w:rtl/>
              </w:rPr>
              <w:fldChar w:fldCharType="end"/>
            </w:r>
          </w:p>
        </w:tc>
        <w:tc>
          <w:tcPr>
            <w:tcW w:w="567" w:type="dxa"/>
          </w:tcPr>
          <w:p w:rsidR="008934BE" w:rsidRDefault="008934BE">
            <w:pPr>
              <w:spacing w:line="240" w:lineRule="auto"/>
              <w:rPr>
                <w:sz w:val="24"/>
              </w:rPr>
            </w:pPr>
            <w:hyperlink w:anchor="Seif9" w:tooltip="תחילה" w:history="1">
              <w:r>
                <w:rPr>
                  <w:rStyle w:val="Hyperlink"/>
                </w:rPr>
                <w:t>Go</w:t>
              </w:r>
            </w:hyperlink>
          </w:p>
        </w:tc>
        <w:tc>
          <w:tcPr>
            <w:tcW w:w="5669" w:type="dxa"/>
          </w:tcPr>
          <w:p w:rsidR="008934BE" w:rsidRDefault="008934BE">
            <w:pPr>
              <w:spacing w:line="240" w:lineRule="auto"/>
              <w:rPr>
                <w:sz w:val="24"/>
                <w:rtl/>
              </w:rPr>
            </w:pPr>
            <w:r>
              <w:rPr>
                <w:sz w:val="24"/>
                <w:rtl/>
              </w:rPr>
              <w:t>תחילה</w:t>
            </w:r>
          </w:p>
        </w:tc>
        <w:tc>
          <w:tcPr>
            <w:tcW w:w="1247" w:type="dxa"/>
          </w:tcPr>
          <w:p w:rsidR="008934BE" w:rsidRDefault="008934BE">
            <w:pPr>
              <w:spacing w:line="240" w:lineRule="auto"/>
              <w:rPr>
                <w:sz w:val="24"/>
              </w:rPr>
            </w:pPr>
            <w:r>
              <w:rPr>
                <w:sz w:val="24"/>
                <w:rtl/>
              </w:rPr>
              <w:t xml:space="preserve">סעיף 10 </w:t>
            </w:r>
          </w:p>
        </w:tc>
      </w:tr>
      <w:tr w:rsidR="008934BE">
        <w:tblPrEx>
          <w:tblCellMar>
            <w:top w:w="0" w:type="dxa"/>
            <w:bottom w:w="0" w:type="dxa"/>
          </w:tblCellMar>
        </w:tblPrEx>
        <w:tc>
          <w:tcPr>
            <w:tcW w:w="850" w:type="dxa"/>
          </w:tcPr>
          <w:p w:rsidR="008934BE" w:rsidRDefault="008934B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7259C1">
              <w:rPr>
                <w:noProof/>
                <w:sz w:val="24"/>
                <w:rtl/>
              </w:rPr>
              <w:t>4</w:t>
            </w:r>
            <w:r>
              <w:rPr>
                <w:sz w:val="24"/>
                <w:rtl/>
              </w:rPr>
              <w:fldChar w:fldCharType="end"/>
            </w:r>
          </w:p>
        </w:tc>
        <w:tc>
          <w:tcPr>
            <w:tcW w:w="567" w:type="dxa"/>
          </w:tcPr>
          <w:p w:rsidR="008934BE" w:rsidRDefault="008934BE">
            <w:pPr>
              <w:spacing w:line="240" w:lineRule="auto"/>
              <w:rPr>
                <w:sz w:val="24"/>
              </w:rPr>
            </w:pPr>
            <w:hyperlink w:anchor="med0" w:tooltip="תוספי מזון שיש לסמן את שמם על אריזת מזון" w:history="1">
              <w:r>
                <w:rPr>
                  <w:rStyle w:val="Hyperlink"/>
                </w:rPr>
                <w:t>Go</w:t>
              </w:r>
            </w:hyperlink>
          </w:p>
        </w:tc>
        <w:tc>
          <w:tcPr>
            <w:tcW w:w="5669" w:type="dxa"/>
          </w:tcPr>
          <w:p w:rsidR="008934BE" w:rsidRDefault="008934BE">
            <w:pPr>
              <w:spacing w:line="240" w:lineRule="auto"/>
              <w:rPr>
                <w:sz w:val="24"/>
              </w:rPr>
            </w:pPr>
            <w:r>
              <w:rPr>
                <w:sz w:val="24"/>
                <w:rtl/>
              </w:rPr>
              <w:t>תוספי מזון שיש לסמן את שמם על אריזת מזון</w:t>
            </w:r>
          </w:p>
        </w:tc>
        <w:tc>
          <w:tcPr>
            <w:tcW w:w="1247" w:type="dxa"/>
          </w:tcPr>
          <w:p w:rsidR="008934BE" w:rsidRDefault="008934BE">
            <w:pPr>
              <w:spacing w:line="240" w:lineRule="auto"/>
              <w:rPr>
                <w:sz w:val="24"/>
              </w:rPr>
            </w:pPr>
          </w:p>
        </w:tc>
      </w:tr>
    </w:tbl>
    <w:p w:rsidR="008934BE" w:rsidRDefault="008934BE">
      <w:pPr>
        <w:pStyle w:val="big-header"/>
        <w:ind w:left="0" w:right="1134"/>
        <w:rPr>
          <w:rtl/>
        </w:rPr>
      </w:pPr>
    </w:p>
    <w:p w:rsidR="008934BE" w:rsidRPr="007D38EE" w:rsidRDefault="008934BE" w:rsidP="007D38EE">
      <w:pPr>
        <w:pStyle w:val="big-header"/>
        <w:ind w:left="0" w:right="1134"/>
        <w:rPr>
          <w:rStyle w:val="default"/>
          <w:rFonts w:cs="FrankRuehl" w:hint="cs"/>
          <w:szCs w:val="32"/>
          <w:rtl/>
        </w:rPr>
      </w:pPr>
      <w:r>
        <w:rPr>
          <w:rtl/>
        </w:rPr>
        <w:br w:type="page"/>
      </w:r>
      <w:r>
        <w:rPr>
          <w:rtl/>
        </w:rPr>
        <w:lastRenderedPageBreak/>
        <w:t>ת</w:t>
      </w:r>
      <w:r>
        <w:rPr>
          <w:rFonts w:hint="cs"/>
          <w:rtl/>
        </w:rPr>
        <w:t>קנות בריאות הציבור (מזון) (תוספי מזון), תשס"א-2001</w:t>
      </w:r>
      <w:r w:rsidR="007259C1">
        <w:rPr>
          <w:rStyle w:val="a7"/>
          <w:rtl/>
        </w:rPr>
        <w:footnoteReference w:customMarkFollows="1" w:id="1"/>
        <w:t>*</w:t>
      </w:r>
    </w:p>
    <w:p w:rsidR="008934BE" w:rsidRDefault="008934B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 לפקודת בריאות הציבור (מזון) [נוסח חדש], תשמ"ג-1983, ובאישור ועדת העבודה הרווחה והבריאות של הכנסת לפי סעיף 2(ב) לחוק העונשין, תשל"ז-1977, אני מתקין תקנות אלה:</w:t>
      </w:r>
    </w:p>
    <w:p w:rsidR="008934BE" w:rsidRDefault="008934B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6pt;z-index:251651584"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259C1">
        <w:rPr>
          <w:rStyle w:val="default"/>
          <w:rFonts w:cs="FrankRuehl"/>
          <w:rtl/>
        </w:rPr>
        <w:t>–</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אצווה" </w:t>
      </w:r>
      <w:r w:rsidR="007259C1">
        <w:rPr>
          <w:rStyle w:val="default"/>
          <w:rFonts w:cs="FrankRuehl" w:hint="cs"/>
          <w:rtl/>
        </w:rPr>
        <w:t>-</w:t>
      </w:r>
      <w:r>
        <w:rPr>
          <w:rStyle w:val="default"/>
          <w:rFonts w:cs="FrankRuehl" w:hint="cs"/>
          <w:rtl/>
        </w:rPr>
        <w:t xml:space="preserve"> כמות של תוסף מזון שיוצרה ביום אחד או בתהליך ייצור אחד;</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7259C1">
        <w:rPr>
          <w:rStyle w:val="default"/>
          <w:rFonts w:cs="FrankRuehl" w:hint="cs"/>
          <w:rtl/>
        </w:rPr>
        <w:t>-</w:t>
      </w:r>
      <w:r>
        <w:rPr>
          <w:rStyle w:val="default"/>
          <w:rFonts w:cs="FrankRuehl" w:hint="cs"/>
          <w:rtl/>
        </w:rPr>
        <w:t xml:space="preserve"> מנהל שירות המזון הארצי של משרד הבריאות או מי שהוא הסמיכו לענין תקנות אלה;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הספריה" </w:t>
      </w:r>
      <w:r w:rsidR="007259C1">
        <w:rPr>
          <w:rStyle w:val="default"/>
          <w:rFonts w:cs="FrankRuehl" w:hint="cs"/>
          <w:rtl/>
        </w:rPr>
        <w:t>-</w:t>
      </w:r>
      <w:r>
        <w:rPr>
          <w:rStyle w:val="default"/>
          <w:rFonts w:cs="FrankRuehl" w:hint="cs"/>
          <w:rtl/>
        </w:rPr>
        <w:t xml:space="preserve"> ספריית משרד הבריאות, רח' רבקה 29, ירושלים, טלפון </w:t>
      </w:r>
      <w:r w:rsidR="007259C1">
        <w:rPr>
          <w:rStyle w:val="default"/>
          <w:rFonts w:cs="FrankRuehl" w:hint="cs"/>
          <w:rtl/>
        </w:rPr>
        <w:t>02-</w:t>
      </w:r>
      <w:r>
        <w:rPr>
          <w:rStyle w:val="default"/>
          <w:rFonts w:cs="FrankRuehl" w:hint="cs"/>
          <w:rtl/>
        </w:rPr>
        <w:t xml:space="preserve">6725813; </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הרשימ</w:t>
      </w:r>
      <w:r>
        <w:rPr>
          <w:rStyle w:val="default"/>
          <w:rFonts w:cs="FrankRuehl"/>
          <w:rtl/>
        </w:rPr>
        <w:t>ה</w:t>
      </w:r>
      <w:r>
        <w:rPr>
          <w:rStyle w:val="default"/>
          <w:rFonts w:cs="FrankRuehl" w:hint="cs"/>
          <w:rtl/>
        </w:rPr>
        <w:t xml:space="preserve">" </w:t>
      </w:r>
      <w:r w:rsidR="007259C1">
        <w:rPr>
          <w:rStyle w:val="default"/>
          <w:rFonts w:cs="FrankRuehl" w:hint="cs"/>
          <w:rtl/>
        </w:rPr>
        <w:t>-</w:t>
      </w:r>
      <w:r>
        <w:rPr>
          <w:rStyle w:val="default"/>
          <w:rFonts w:cs="FrankRuehl" w:hint="cs"/>
          <w:rtl/>
        </w:rPr>
        <w:t xml:space="preserve"> רשימה של תוספי מזון המותרים בשימוש במזון, כמותם המרבית והוראות השימוש בהם, שערך מנהל שירות המזון הארצי במשרד הבריאות, והמעודכנת מזמן לזמן, שהופקדה לעיון הציבור בשירות המזון הארצי, בלשכות המחוזיות של משרד הבריאות ובספריה;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טעם וריח" </w:t>
      </w:r>
      <w:r w:rsidR="007259C1">
        <w:rPr>
          <w:rStyle w:val="default"/>
          <w:rFonts w:cs="FrankRuehl" w:hint="cs"/>
          <w:rtl/>
        </w:rPr>
        <w:t>-</w:t>
      </w:r>
      <w:r>
        <w:rPr>
          <w:rStyle w:val="default"/>
          <w:rFonts w:cs="FrankRuehl" w:hint="cs"/>
          <w:rtl/>
        </w:rPr>
        <w:t xml:space="preserve"> חומר המוסף </w:t>
      </w:r>
      <w:r>
        <w:rPr>
          <w:rStyle w:val="default"/>
          <w:rFonts w:cs="FrankRuehl"/>
          <w:rtl/>
        </w:rPr>
        <w:t>ל</w:t>
      </w:r>
      <w:r>
        <w:rPr>
          <w:rStyle w:val="default"/>
          <w:rFonts w:cs="FrankRuehl" w:hint="cs"/>
          <w:rtl/>
        </w:rPr>
        <w:t>מזון והנועד להקנות לו טעם או ריח מסוימים, למעט חומרי המתקה, חומצות מאכל וחומר טעם מלוח שאינו מלח (נתרן כלורי);</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מסייע ייצור" </w:t>
      </w:r>
      <w:r w:rsidR="007259C1">
        <w:rPr>
          <w:rStyle w:val="default"/>
          <w:rFonts w:cs="FrankRuehl" w:hint="cs"/>
          <w:rtl/>
        </w:rPr>
        <w:t>-</w:t>
      </w:r>
      <w:r>
        <w:rPr>
          <w:rStyle w:val="default"/>
          <w:rFonts w:cs="FrankRuehl" w:hint="cs"/>
          <w:rtl/>
        </w:rPr>
        <w:t xml:space="preserve"> חומר המוסף למזון למטרה טכנולוגית הנוגעת לזמן ייצור המזון בלבד, אשר שאריות שלו עלולות להימצא במזון, ושאינו מפורט ברשימה;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ייצור" </w:t>
      </w:r>
      <w:r w:rsidR="007259C1">
        <w:rPr>
          <w:rStyle w:val="default"/>
          <w:rFonts w:cs="FrankRuehl" w:hint="cs"/>
          <w:rtl/>
        </w:rPr>
        <w:t>-</w:t>
      </w:r>
      <w:r>
        <w:rPr>
          <w:rStyle w:val="default"/>
          <w:rFonts w:cs="FrankRuehl" w:hint="cs"/>
          <w:rtl/>
        </w:rPr>
        <w:t xml:space="preserve"> לרבות אריזה;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מטרה טכנולוגית" </w:t>
      </w:r>
      <w:r w:rsidR="007259C1">
        <w:rPr>
          <w:rStyle w:val="default"/>
          <w:rFonts w:cs="FrankRuehl" w:hint="cs"/>
          <w:rtl/>
        </w:rPr>
        <w:t>-</w:t>
      </w:r>
      <w:r>
        <w:rPr>
          <w:rStyle w:val="default"/>
          <w:rFonts w:cs="FrankRuehl" w:hint="cs"/>
          <w:rtl/>
        </w:rPr>
        <w:t xml:space="preserve"> מטרה הקשורה לייצור, עיבוד, הכנה, טיפול, אריזה, הוב</w:t>
      </w:r>
      <w:r>
        <w:rPr>
          <w:rStyle w:val="default"/>
          <w:rFonts w:cs="FrankRuehl"/>
          <w:rtl/>
        </w:rPr>
        <w:t>ל</w:t>
      </w:r>
      <w:r>
        <w:rPr>
          <w:rStyle w:val="default"/>
          <w:rFonts w:cs="FrankRuehl" w:hint="cs"/>
          <w:rtl/>
        </w:rPr>
        <w:t>ה או אחסון של מזון, לרבות שיפור מראהו, ריחו, מרקמו, טעמו או צבעו;</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w:t>
      </w:r>
      <w:r>
        <w:rPr>
          <w:rStyle w:val="default"/>
          <w:rFonts w:cs="FrankRuehl"/>
        </w:rPr>
        <w:t>E</w:t>
      </w:r>
      <w:r>
        <w:rPr>
          <w:rStyle w:val="default"/>
          <w:rFonts w:cs="FrankRuehl"/>
          <w:rtl/>
        </w:rPr>
        <w:t xml:space="preserve">" </w:t>
      </w:r>
      <w:r w:rsidR="007259C1">
        <w:rPr>
          <w:rStyle w:val="default"/>
          <w:rFonts w:cs="FrankRuehl" w:hint="cs"/>
          <w:rtl/>
        </w:rPr>
        <w:t>-</w:t>
      </w:r>
      <w:r>
        <w:rPr>
          <w:rStyle w:val="default"/>
          <w:rFonts w:cs="FrankRuehl" w:hint="cs"/>
          <w:rtl/>
        </w:rPr>
        <w:t xml:space="preserve"> מספר הניתן לתוסף מזון בקהילה האירופית כמפורט ברשימה;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7259C1">
        <w:rPr>
          <w:rStyle w:val="default"/>
          <w:rFonts w:cs="FrankRuehl" w:hint="cs"/>
          <w:rtl/>
        </w:rPr>
        <w:t>-</w:t>
      </w:r>
      <w:r>
        <w:rPr>
          <w:rStyle w:val="default"/>
          <w:rFonts w:cs="FrankRuehl" w:hint="cs"/>
          <w:rtl/>
        </w:rPr>
        <w:t xml:space="preserve"> מעבדה שהכיר בה המנהל לענין תקנות אלה;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ספר השיטות" </w:t>
      </w:r>
      <w:r w:rsidR="007259C1">
        <w:rPr>
          <w:rStyle w:val="default"/>
          <w:rFonts w:cs="FrankRuehl" w:hint="cs"/>
          <w:rtl/>
        </w:rPr>
        <w:t>-</w:t>
      </w:r>
      <w:r>
        <w:rPr>
          <w:rStyle w:val="default"/>
          <w:rFonts w:cs="FrankRuehl" w:hint="cs"/>
          <w:rtl/>
        </w:rPr>
        <w:t xml:space="preserve"> הספר </w:t>
      </w:r>
      <w:r>
        <w:rPr>
          <w:rStyle w:val="default"/>
          <w:rFonts w:cs="FrankRuehl"/>
        </w:rPr>
        <w:t>Official Methods of the Association of Official Analytical Chemists</w:t>
      </w:r>
      <w:r>
        <w:rPr>
          <w:rStyle w:val="default"/>
          <w:rFonts w:cs="FrankRuehl"/>
          <w:rtl/>
        </w:rPr>
        <w:t xml:space="preserve"> </w:t>
      </w:r>
      <w:r>
        <w:rPr>
          <w:rStyle w:val="default"/>
          <w:rFonts w:cs="FrankRuehl" w:hint="cs"/>
          <w:rtl/>
        </w:rPr>
        <w:t>מהדורה 1999, או מהדורה מעודכנת שלו, שהופקדה לעיון הציבור בספריה ובמעבדות לבריאות הציבור של משרד הבריאות בחיפה, תל אביב ובאר שבע;</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קובץ מפרטים של תוספי מזון" </w:t>
      </w:r>
      <w:r w:rsidR="007259C1">
        <w:rPr>
          <w:rStyle w:val="default"/>
          <w:rFonts w:cs="FrankRuehl" w:hint="cs"/>
          <w:rtl/>
        </w:rPr>
        <w:t>-</w:t>
      </w:r>
      <w:r>
        <w:rPr>
          <w:rStyle w:val="default"/>
          <w:rFonts w:cs="FrankRuehl" w:hint="cs"/>
          <w:rtl/>
        </w:rPr>
        <w:t xml:space="preserve"> </w:t>
      </w:r>
      <w:r>
        <w:rPr>
          <w:rStyle w:val="default"/>
          <w:rFonts w:cs="FrankRuehl"/>
        </w:rPr>
        <w:t>Compendium of Food Additive Specifications</w:t>
      </w:r>
      <w:r>
        <w:rPr>
          <w:rStyle w:val="default"/>
          <w:rFonts w:cs="FrankRuehl"/>
          <w:rtl/>
        </w:rPr>
        <w:t xml:space="preserve"> </w:t>
      </w:r>
      <w:r>
        <w:rPr>
          <w:rStyle w:val="default"/>
          <w:rFonts w:cs="FrankRuehl" w:hint="cs"/>
          <w:rtl/>
        </w:rPr>
        <w:t>של ועדת המומחים לתוספי מזון מטעם ארגון הבריאות העולמי וארגון המזון והחקלאות של האו"ם, רומא, 1992, או מהדורה מעודכנת יותר, שהופקדה לעיון הציבור בספריה, בשירות המזון הארצי ובלשכת הבריאות המחוזית בחיפה;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קודקס הכימיקלים למזון" </w:t>
      </w:r>
      <w:r w:rsidR="007259C1">
        <w:rPr>
          <w:rStyle w:val="default"/>
          <w:rFonts w:cs="FrankRuehl" w:hint="cs"/>
          <w:rtl/>
        </w:rPr>
        <w:t>-</w:t>
      </w:r>
      <w:r>
        <w:rPr>
          <w:rStyle w:val="default"/>
          <w:rFonts w:cs="FrankRuehl" w:hint="cs"/>
          <w:rtl/>
        </w:rPr>
        <w:t xml:space="preserve"> </w:t>
      </w:r>
      <w:r>
        <w:rPr>
          <w:rStyle w:val="default"/>
          <w:rFonts w:cs="FrankRuehl"/>
        </w:rPr>
        <w:t>(F.C.C.) Food Chemical Codex</w:t>
      </w:r>
      <w:r>
        <w:rPr>
          <w:rStyle w:val="default"/>
          <w:rFonts w:cs="FrankRuehl"/>
          <w:rtl/>
        </w:rPr>
        <w:t xml:space="preserve"> </w:t>
      </w:r>
      <w:r>
        <w:rPr>
          <w:rStyle w:val="default"/>
          <w:rFonts w:cs="FrankRuehl" w:hint="cs"/>
          <w:rtl/>
        </w:rPr>
        <w:t>של האקדמיה הלאומית למדעים בארה"ב, משנת 1996 או מהדורה מעודכנת שלו, שהופקדה בספריה, בשירות המזון הארצי ובלשכת הבריאות המחוזית בחיפה;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שיווק" </w:t>
      </w:r>
      <w:r w:rsidR="007259C1">
        <w:rPr>
          <w:rStyle w:val="default"/>
          <w:rFonts w:cs="FrankRuehl" w:hint="cs"/>
          <w:rtl/>
        </w:rPr>
        <w:t>-</w:t>
      </w:r>
      <w:r>
        <w:rPr>
          <w:rStyle w:val="default"/>
          <w:rFonts w:cs="FrankRuehl" w:hint="cs"/>
          <w:rtl/>
        </w:rPr>
        <w:t xml:space="preserve"> העברה לאחר בכל דרך מדרכי ההעברה;</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תוסף מזון" </w:t>
      </w:r>
      <w:r w:rsidR="007259C1">
        <w:rPr>
          <w:rStyle w:val="default"/>
          <w:rFonts w:cs="FrankRuehl" w:hint="cs"/>
          <w:rtl/>
        </w:rPr>
        <w:t>-</w:t>
      </w:r>
      <w:r>
        <w:rPr>
          <w:rStyle w:val="default"/>
          <w:rFonts w:cs="FrankRuehl" w:hint="cs"/>
          <w:rtl/>
        </w:rPr>
        <w:t xml:space="preserve"> חומר המוסף למזון למטרה טכנולוגית, שאינו נועד לצרי</w:t>
      </w:r>
      <w:r>
        <w:rPr>
          <w:rStyle w:val="default"/>
          <w:rFonts w:cs="FrankRuehl"/>
          <w:rtl/>
        </w:rPr>
        <w:t>כ</w:t>
      </w:r>
      <w:r>
        <w:rPr>
          <w:rStyle w:val="default"/>
          <w:rFonts w:cs="FrankRuehl" w:hint="cs"/>
          <w:rtl/>
        </w:rPr>
        <w:t>ה כשלעצמו כמזון או כרכיב בו, ולמעט חומר מסייע ייצור, תוסף תזונה וחומר טעם וריח;</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תוסף תזונה" </w:t>
      </w:r>
      <w:r w:rsidR="007259C1">
        <w:rPr>
          <w:rStyle w:val="default"/>
          <w:rFonts w:cs="FrankRuehl" w:hint="cs"/>
          <w:rtl/>
        </w:rPr>
        <w:t>-</w:t>
      </w:r>
      <w:r>
        <w:rPr>
          <w:rStyle w:val="default"/>
          <w:rFonts w:cs="FrankRuehl" w:hint="cs"/>
          <w:rtl/>
        </w:rPr>
        <w:t xml:space="preserve"> כהגדרתו בתקנות בריאות הציבור (מזון) (תוספי מזון), תשנ"ז</w:t>
      </w:r>
      <w:r w:rsidR="007259C1">
        <w:rPr>
          <w:rStyle w:val="default"/>
          <w:rFonts w:cs="FrankRuehl" w:hint="cs"/>
          <w:rtl/>
        </w:rPr>
        <w:t>-</w:t>
      </w:r>
      <w:r>
        <w:rPr>
          <w:rStyle w:val="default"/>
          <w:rFonts w:cs="FrankRuehl" w:hint="cs"/>
          <w:rtl/>
        </w:rPr>
        <w:t xml:space="preserve">1997; </w:t>
      </w:r>
    </w:p>
    <w:p w:rsidR="008934BE" w:rsidRDefault="008934BE" w:rsidP="007259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תסחיב" </w:t>
      </w:r>
      <w:r w:rsidR="007259C1">
        <w:rPr>
          <w:rStyle w:val="default"/>
          <w:rFonts w:cs="FrankRuehl" w:hint="cs"/>
          <w:rtl/>
        </w:rPr>
        <w:t>-</w:t>
      </w:r>
      <w:r>
        <w:rPr>
          <w:rStyle w:val="default"/>
          <w:rFonts w:cs="FrankRuehl" w:hint="cs"/>
          <w:rtl/>
        </w:rPr>
        <w:t xml:space="preserve"> תוסף מזון במוצר מזון, שמקורו בחומר הגלם, או ברכיב, שממנו יוצר מוצר המזון, ושאין לו מט</w:t>
      </w:r>
      <w:r>
        <w:rPr>
          <w:rStyle w:val="default"/>
          <w:rFonts w:cs="FrankRuehl"/>
          <w:rtl/>
        </w:rPr>
        <w:t>ר</w:t>
      </w:r>
      <w:r>
        <w:rPr>
          <w:rStyle w:val="default"/>
          <w:rFonts w:cs="FrankRuehl" w:hint="cs"/>
          <w:rtl/>
        </w:rPr>
        <w:t>ה טכנולוגית במוצר המזון הסופי.</w:t>
      </w:r>
    </w:p>
    <w:p w:rsidR="008934BE" w:rsidRDefault="008934B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75.65pt;margin-top:8.05pt;width:63.9pt;height:28.55pt;z-index:251652608"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ה</w:t>
                  </w:r>
                  <w:r>
                    <w:rPr>
                      <w:rFonts w:cs="Miriam" w:hint="cs"/>
                      <w:szCs w:val="18"/>
                      <w:rtl/>
                    </w:rPr>
                    <w:t>שימוש בתוספי מזון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ייצר אדם מזון המכיל תוסף מזון, לא ייבאו, לא ישווקו ולא יחסינו, אלא אם כן יש בשימוש בתוסף המזון מטרה טכנולוגית במזון המיוצר או ברכיב שלו, אשר לא ניתן להשיגה </w:t>
      </w:r>
      <w:r>
        <w:rPr>
          <w:rStyle w:val="default"/>
          <w:rFonts w:cs="FrankRuehl" w:hint="cs"/>
          <w:rtl/>
        </w:rPr>
        <w:lastRenderedPageBreak/>
        <w:t>באמצעים סבירים אחרים.</w:t>
      </w:r>
    </w:p>
    <w:p w:rsidR="008934BE" w:rsidRDefault="008934B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7pt;z-index:251653632"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ת</w:t>
                  </w:r>
                  <w:r>
                    <w:rPr>
                      <w:rFonts w:cs="Miriam" w:hint="cs"/>
                      <w:szCs w:val="18"/>
                      <w:rtl/>
                    </w:rPr>
                    <w:t>וספי מזון מותרים</w:t>
                  </w:r>
                </w:p>
              </w:txbxContent>
            </v:textbox>
            <w10:anchorlock/>
          </v:rect>
        </w:pict>
      </w:r>
      <w:r>
        <w:rPr>
          <w:rStyle w:val="big-number"/>
          <w:rtl/>
        </w:rPr>
        <w:t>3</w:t>
      </w:r>
      <w:r w:rsidRPr="00E929B7">
        <w:rPr>
          <w:rStyle w:val="default"/>
          <w:rFonts w:cs="FrankRuehl"/>
          <w:rtl/>
        </w:rPr>
        <w:t>.</w:t>
      </w:r>
      <w:r w:rsidR="00E929B7">
        <w:rPr>
          <w:rStyle w:val="a7"/>
          <w:rtl/>
        </w:rPr>
        <w:footnoteReference w:id="2"/>
      </w:r>
      <w:r w:rsidRPr="00E929B7">
        <w:rPr>
          <w:rStyle w:val="default"/>
          <w:rFonts w:cs="FrankRuehl"/>
          <w:rtl/>
        </w:rPr>
        <w:tab/>
      </w:r>
      <w:r>
        <w:rPr>
          <w:rStyle w:val="default"/>
          <w:rFonts w:cs="FrankRuehl"/>
          <w:rtl/>
        </w:rPr>
        <w:t>ל</w:t>
      </w:r>
      <w:r>
        <w:rPr>
          <w:rStyle w:val="default"/>
          <w:rFonts w:cs="FrankRuehl" w:hint="cs"/>
          <w:rtl/>
        </w:rPr>
        <w:t>א ייצר אדם תוסף מזון או מזון המכיל תוסף מזון, לא ייבאו, לא ישווקו ולא יחסינו אלא אם כן תוסף המזון הוא אחד מן המפורטים ברשימה והתקיימו לגביו שאר הוראות תקנות אלה.</w:t>
      </w:r>
    </w:p>
    <w:p w:rsidR="008934BE" w:rsidRDefault="008934B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95pt;z-index:251654656" o:allowincell="f" filled="f" stroked="f" strokecolor="lime" strokeweight=".25pt">
            <v:textbox inset="0,0,0,0">
              <w:txbxContent>
                <w:p w:rsidR="008934BE" w:rsidRDefault="008934BE" w:rsidP="007259C1">
                  <w:pPr>
                    <w:spacing w:line="160" w:lineRule="exact"/>
                    <w:jc w:val="left"/>
                    <w:rPr>
                      <w:rFonts w:cs="Miriam"/>
                      <w:noProof/>
                      <w:szCs w:val="18"/>
                      <w:rtl/>
                    </w:rPr>
                  </w:pPr>
                  <w:r>
                    <w:rPr>
                      <w:rFonts w:cs="Miriam"/>
                      <w:szCs w:val="18"/>
                      <w:rtl/>
                    </w:rPr>
                    <w:t>כ</w:t>
                  </w:r>
                  <w:r>
                    <w:rPr>
                      <w:rFonts w:cs="Miriam" w:hint="cs"/>
                      <w:szCs w:val="18"/>
                      <w:rtl/>
                    </w:rPr>
                    <w:t>מות מרבית</w:t>
                  </w:r>
                  <w:r w:rsidR="007259C1">
                    <w:rPr>
                      <w:rFonts w:cs="Miriam" w:hint="cs"/>
                      <w:szCs w:val="18"/>
                      <w:rtl/>
                    </w:rPr>
                    <w:t xml:space="preserve"> </w:t>
                  </w:r>
                  <w:r>
                    <w:rPr>
                      <w:rFonts w:cs="Miriam"/>
                      <w:szCs w:val="18"/>
                      <w:rtl/>
                    </w:rPr>
                    <w:t>ש</w:t>
                  </w:r>
                  <w:r>
                    <w:rPr>
                      <w:rFonts w:cs="Miriam" w:hint="cs"/>
                      <w:szCs w:val="18"/>
                      <w:rtl/>
                    </w:rPr>
                    <w:t>ל תוסף מזון</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כמות המרבית במזון של תוסף מזון</w:t>
      </w:r>
      <w:r>
        <w:rPr>
          <w:rStyle w:val="default"/>
          <w:rFonts w:cs="FrankRuehl"/>
          <w:rtl/>
        </w:rPr>
        <w:t xml:space="preserve"> </w:t>
      </w:r>
      <w:r>
        <w:rPr>
          <w:rStyle w:val="default"/>
          <w:rFonts w:cs="FrankRuehl" w:hint="cs"/>
          <w:rtl/>
        </w:rPr>
        <w:t>לא תעלה על המפורט ברשימה.</w:t>
      </w:r>
    </w:p>
    <w:p w:rsidR="008934BE" w:rsidRDefault="008934BE">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16pt;z-index:251655680" o:allowincell="f" filled="f" stroked="f" strokecolor="lime" strokeweight=".25pt">
            <v:textbox inset="0,0,0,0">
              <w:txbxContent>
                <w:p w:rsidR="008934BE" w:rsidRDefault="008934BE" w:rsidP="007259C1">
                  <w:pPr>
                    <w:spacing w:line="160" w:lineRule="exact"/>
                    <w:jc w:val="left"/>
                    <w:rPr>
                      <w:rFonts w:cs="Miriam"/>
                      <w:noProof/>
                      <w:szCs w:val="18"/>
                      <w:rtl/>
                    </w:rPr>
                  </w:pPr>
                  <w:r>
                    <w:rPr>
                      <w:rFonts w:cs="Miriam"/>
                      <w:szCs w:val="18"/>
                      <w:rtl/>
                    </w:rPr>
                    <w:t>י</w:t>
                  </w:r>
                  <w:r>
                    <w:rPr>
                      <w:rFonts w:cs="Miriam" w:hint="cs"/>
                      <w:szCs w:val="18"/>
                      <w:rtl/>
                    </w:rPr>
                    <w:t>יצור תוספי</w:t>
                  </w:r>
                  <w:r w:rsidR="007259C1">
                    <w:rPr>
                      <w:rFonts w:cs="Miriam" w:hint="cs"/>
                      <w:szCs w:val="18"/>
                      <w:rtl/>
                    </w:rPr>
                    <w:t xml:space="preserve"> </w:t>
                  </w:r>
                  <w:r>
                    <w:rPr>
                      <w:rFonts w:cs="Miriam"/>
                      <w:szCs w:val="18"/>
                      <w:rtl/>
                    </w:rPr>
                    <w:t>מ</w:t>
                  </w:r>
                  <w:r>
                    <w:rPr>
                      <w:rFonts w:cs="Miriam" w:hint="cs"/>
                      <w:szCs w:val="18"/>
                      <w:rtl/>
                    </w:rPr>
                    <w:t>זון</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 xml:space="preserve">א ייצר אדם תוסף מזון, לא ייבאו, לא ישווקו ולא יחסינו אלא אם כן </w:t>
      </w:r>
      <w:r w:rsidR="007259C1">
        <w:rPr>
          <w:rStyle w:val="default"/>
          <w:rFonts w:cs="FrankRuehl"/>
          <w:rtl/>
        </w:rPr>
        <w:t>–</w:t>
      </w:r>
    </w:p>
    <w:p w:rsidR="008934BE" w:rsidRDefault="008934BE" w:rsidP="007259C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בתוסף המזון מתקיימות דרישות המפרט שנקבע לו בקודקס הכימיקלים למזון או בקובץ המפרטים של תוספי מזון (להלן כל אחד מאלה </w:t>
      </w:r>
      <w:r w:rsidR="007259C1">
        <w:rPr>
          <w:rStyle w:val="default"/>
          <w:rFonts w:cs="FrankRuehl" w:hint="cs"/>
          <w:rtl/>
        </w:rPr>
        <w:t>-</w:t>
      </w:r>
      <w:r>
        <w:rPr>
          <w:rStyle w:val="default"/>
          <w:rFonts w:cs="FrankRuehl" w:hint="cs"/>
          <w:rtl/>
        </w:rPr>
        <w:t xml:space="preserve"> מפרט), ואם הוא תערו</w:t>
      </w:r>
      <w:r>
        <w:rPr>
          <w:rStyle w:val="default"/>
          <w:rFonts w:cs="FrankRuehl"/>
          <w:rtl/>
        </w:rPr>
        <w:t>ב</w:t>
      </w:r>
      <w:r>
        <w:rPr>
          <w:rStyle w:val="default"/>
          <w:rFonts w:cs="FrankRuehl" w:hint="cs"/>
          <w:rtl/>
        </w:rPr>
        <w:t xml:space="preserve">ת של תוספי מזון </w:t>
      </w:r>
      <w:r w:rsidR="007259C1">
        <w:rPr>
          <w:rStyle w:val="default"/>
          <w:rFonts w:cs="FrankRuehl" w:hint="cs"/>
          <w:rtl/>
        </w:rPr>
        <w:t>-</w:t>
      </w:r>
      <w:r>
        <w:rPr>
          <w:rStyle w:val="default"/>
          <w:rFonts w:cs="FrankRuehl" w:hint="cs"/>
          <w:rtl/>
        </w:rPr>
        <w:t xml:space="preserve"> בכל תוסף מזון שבתערובת מתקיימות הדרישות כאמור;</w:t>
      </w:r>
    </w:p>
    <w:p w:rsidR="008934BE" w:rsidRDefault="008934BE" w:rsidP="007259C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אריזת תוסף המזון מתאימה לתקנות בריאות הציבור (מזון) (חמרי אריזה), תשל"ז</w:t>
      </w:r>
      <w:r w:rsidR="007259C1">
        <w:rPr>
          <w:rStyle w:val="default"/>
          <w:rFonts w:cs="FrankRuehl" w:hint="cs"/>
          <w:rtl/>
        </w:rPr>
        <w:t>-</w:t>
      </w:r>
      <w:r>
        <w:rPr>
          <w:rStyle w:val="default"/>
          <w:rFonts w:cs="FrankRuehl" w:hint="cs"/>
          <w:rtl/>
        </w:rPr>
        <w:t xml:space="preserve">1977; </w:t>
      </w:r>
    </w:p>
    <w:p w:rsidR="008934BE" w:rsidRDefault="008934BE" w:rsidP="007259C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סימון אריזת תוסף המזון כולל את הפרטים שלהלן בעברית, והשם כאמור בפסקת משנה (א) להלן </w:t>
      </w:r>
      <w:r w:rsidR="007259C1">
        <w:rPr>
          <w:rStyle w:val="default"/>
          <w:rFonts w:cs="FrankRuehl" w:hint="cs"/>
          <w:rtl/>
        </w:rPr>
        <w:t>-</w:t>
      </w:r>
      <w:r>
        <w:rPr>
          <w:rStyle w:val="default"/>
          <w:rFonts w:cs="FrankRuehl" w:hint="cs"/>
          <w:rtl/>
        </w:rPr>
        <w:t xml:space="preserve"> גם באנגלית:</w:t>
      </w:r>
    </w:p>
    <w:p w:rsidR="008934BE" w:rsidRDefault="008934BE" w:rsidP="007259C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w:t>
      </w:r>
      <w:r>
        <w:rPr>
          <w:rStyle w:val="default"/>
          <w:rFonts w:cs="FrankRuehl"/>
          <w:rtl/>
        </w:rPr>
        <w:t xml:space="preserve"> </w:t>
      </w:r>
      <w:r>
        <w:rPr>
          <w:rStyle w:val="default"/>
          <w:rFonts w:cs="FrankRuehl" w:hint="cs"/>
          <w:rtl/>
        </w:rPr>
        <w:t>תוסף המזון כפי שהוא מופיע ברשימה, בקובץ</w:t>
      </w:r>
      <w:r>
        <w:rPr>
          <w:rStyle w:val="default"/>
          <w:rFonts w:cs="FrankRuehl"/>
          <w:rtl/>
        </w:rPr>
        <w:t xml:space="preserve"> </w:t>
      </w:r>
      <w:r>
        <w:rPr>
          <w:rStyle w:val="default"/>
          <w:rFonts w:cs="FrankRuehl" w:hint="cs"/>
          <w:rtl/>
        </w:rPr>
        <w:t>מפרטים של תוספי מזון או בקודקס הכימיקלים למזון; אם החומר מורכב מתערובת תוספי מזון או מתערובת של תוסף מזון עם רכיב מזון, שמות כל תוספי המזון והרכיבים, בסדר תכולה יורד, לפי משקלם היחסי;</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המילים "מתאים למזון" או "</w:t>
      </w:r>
      <w:r>
        <w:rPr>
          <w:rStyle w:val="default"/>
          <w:rFonts w:cs="FrankRuehl"/>
        </w:rPr>
        <w:t>Food Grade</w:t>
      </w:r>
      <w:r>
        <w:rPr>
          <w:rStyle w:val="default"/>
          <w:rFonts w:cs="FrankRuehl"/>
          <w:rtl/>
        </w:rPr>
        <w:t>";</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לאחסון ולשימוש, לפי הצורך;</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אצווה ותאריך ייצור;</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ומען של היצרן;</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משקל נקי;</w:t>
      </w:r>
    </w:p>
    <w:p w:rsidR="008934BE" w:rsidRDefault="008934BE">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אם תוסף המזון מיועד לשיווק קמעוני, סימון בהתאם לתקן ישראלי ת"י 1145 (סימון מזון ארוז מראש) מיולי 1982 ותיקוניו;</w:t>
      </w:r>
    </w:p>
    <w:p w:rsidR="008934BE" w:rsidRDefault="008934B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תוסף מזון שאינו ארוז </w:t>
      </w:r>
      <w:r>
        <w:rPr>
          <w:rStyle w:val="default"/>
          <w:rFonts w:cs="FrankRuehl"/>
          <w:rtl/>
        </w:rPr>
        <w:t>י</w:t>
      </w:r>
      <w:r>
        <w:rPr>
          <w:rStyle w:val="default"/>
          <w:rFonts w:cs="FrankRuehl" w:hint="cs"/>
          <w:rtl/>
        </w:rPr>
        <w:t xml:space="preserve">לווה, בכל עת, בתעודה שבה יפורטו הפרטים שבפסקה (3); </w:t>
      </w:r>
    </w:p>
    <w:p w:rsidR="008934BE" w:rsidRDefault="008934BE">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שלבי הייצור, האחסנה, ההובלה והשיווק של תוסף מזון יהיו בתנאי תברואה נאותים הדרושים למזון.</w:t>
      </w:r>
    </w:p>
    <w:p w:rsidR="008934BE" w:rsidRDefault="008934BE">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8.5pt;z-index:251656704"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ס</w:t>
                  </w:r>
                  <w:r>
                    <w:rPr>
                      <w:rFonts w:cs="Miriam" w:hint="cs"/>
                      <w:szCs w:val="18"/>
                      <w:rtl/>
                    </w:rPr>
                    <w:t>ימון מזון המכיל תוסף מזון</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מזון ארוז מראש המכיל תוסף מזון מן המפורטים ב</w:t>
      </w:r>
      <w:r>
        <w:rPr>
          <w:rStyle w:val="default"/>
          <w:rFonts w:cs="FrankRuehl"/>
          <w:rtl/>
        </w:rPr>
        <w:t>ת</w:t>
      </w:r>
      <w:r>
        <w:rPr>
          <w:rStyle w:val="default"/>
          <w:rFonts w:cs="FrankRuehl" w:hint="cs"/>
          <w:rtl/>
        </w:rPr>
        <w:t>וספת הראשונה, יסומן ברשימת הרכיבים שבו, בשם תוסף המזון וכן באחד משמות הקבוצות המפורטות בתוספת השניה בהתאם למטרתו הטכנולוגית העיקרית.</w:t>
      </w:r>
    </w:p>
    <w:p w:rsidR="008934BE" w:rsidRDefault="008934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מזון ארוז מראש המכיל תוסף מזון שאינו מן המפורטים</w:t>
      </w:r>
      <w:r>
        <w:rPr>
          <w:rtl/>
        </w:rPr>
        <w:t> </w:t>
      </w:r>
      <w:r>
        <w:rPr>
          <w:rStyle w:val="default"/>
          <w:rFonts w:cs="FrankRuehl"/>
          <w:rtl/>
        </w:rPr>
        <w:t xml:space="preserve"> </w:t>
      </w:r>
      <w:r>
        <w:rPr>
          <w:rStyle w:val="default"/>
          <w:rFonts w:cs="FrankRuehl" w:hint="cs"/>
          <w:rtl/>
        </w:rPr>
        <w:t>בתוספת הראשונה יסומן, ברשימת המרכיבים במזון, בשם תוסף המזון או מספר</w:t>
      </w:r>
      <w:r>
        <w:rPr>
          <w:rStyle w:val="default"/>
          <w:rFonts w:cs="FrankRuehl"/>
          <w:rtl/>
        </w:rPr>
        <w:t xml:space="preserve"> </w:t>
      </w:r>
      <w:r>
        <w:rPr>
          <w:rStyle w:val="default"/>
          <w:rFonts w:cs="FrankRuehl" w:hint="cs"/>
          <w:rtl/>
        </w:rPr>
        <w:t>ה-</w:t>
      </w:r>
      <w:r>
        <w:rPr>
          <w:rStyle w:val="default"/>
          <w:rFonts w:cs="FrankRuehl"/>
        </w:rPr>
        <w:t>E</w:t>
      </w:r>
      <w:r>
        <w:rPr>
          <w:rStyle w:val="default"/>
          <w:rFonts w:cs="FrankRuehl"/>
          <w:rtl/>
        </w:rPr>
        <w:t xml:space="preserve"> </w:t>
      </w:r>
      <w:r>
        <w:rPr>
          <w:rStyle w:val="default"/>
          <w:rFonts w:cs="FrankRuehl" w:hint="cs"/>
          <w:rtl/>
        </w:rPr>
        <w:t>שלו וכן באחד משמות הקבוצות המפורטות בתוספת השניה בהתאם למטרתו הטכנולוגית העיקרית.</w:t>
      </w:r>
    </w:p>
    <w:p w:rsidR="008934BE" w:rsidRDefault="008934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מזון לא יסומן במילים "בלא" תוסף מזון או קבוצת תוספי מזון כמפורט בתוספת השניה, זולת אם המזון אמנם אינו מכיל את תוסף המזון או תוסף מזון מאותה הקבוצה כאמור, לרבות בתסח</w:t>
      </w:r>
      <w:r>
        <w:rPr>
          <w:rStyle w:val="default"/>
          <w:rFonts w:cs="FrankRuehl"/>
          <w:rtl/>
        </w:rPr>
        <w:t>י</w:t>
      </w:r>
      <w:r>
        <w:rPr>
          <w:rStyle w:val="default"/>
          <w:rFonts w:cs="FrankRuehl" w:hint="cs"/>
          <w:rtl/>
        </w:rPr>
        <w:t>ב.</w:t>
      </w:r>
    </w:p>
    <w:p w:rsidR="008934BE" w:rsidRDefault="008934BE">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6pt;z-index:251657728"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ש</w:t>
                  </w:r>
                  <w:r>
                    <w:rPr>
                      <w:rFonts w:cs="Miriam" w:hint="cs"/>
                      <w:szCs w:val="18"/>
                      <w:rtl/>
                    </w:rPr>
                    <w:t>יטות בדיקה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בדיקת התאמתם של תוספי מזון למפרט תיעשה במעבדה מוכרת, בשיטה כמפורט בקודקס הכימיקלים למזון או בקובץ מפרטים של תוספי מזון.</w:t>
      </w:r>
    </w:p>
    <w:p w:rsidR="008934BE" w:rsidRDefault="008934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הכמות של תוסף מזון במזון תיעשה במעבדה מוכרת בשיטה לפי ספר השיטות, או לפי שיטה אחרת שהתיר המנהל בכתב</w:t>
      </w:r>
      <w:r>
        <w:rPr>
          <w:rStyle w:val="default"/>
          <w:rFonts w:cs="FrankRuehl"/>
          <w:rtl/>
        </w:rPr>
        <w:t>.</w:t>
      </w:r>
    </w:p>
    <w:p w:rsidR="008934BE" w:rsidRDefault="008934BE" w:rsidP="007259C1">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5.25pt;z-index:251658752"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ש</w:t>
                  </w:r>
                  <w:r>
                    <w:rPr>
                      <w:rFonts w:cs="Miriam" w:hint="cs"/>
                      <w:szCs w:val="18"/>
                      <w:rtl/>
                    </w:rPr>
                    <w:t>מ</w:t>
                  </w:r>
                  <w:r>
                    <w:rPr>
                      <w:rFonts w:cs="Miriam"/>
                      <w:szCs w:val="18"/>
                      <w:rtl/>
                    </w:rPr>
                    <w:t>י</w:t>
                  </w:r>
                  <w:r>
                    <w:rPr>
                      <w:rFonts w:cs="Miriam" w:hint="cs"/>
                      <w:szCs w:val="18"/>
                      <w:rtl/>
                    </w:rPr>
                    <w:t>רת תקן</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קנות אלה באות להוסיף על תקן ישראלי ת"י 1145</w:t>
      </w:r>
      <w:r w:rsidR="007259C1">
        <w:rPr>
          <w:rStyle w:val="default"/>
          <w:rFonts w:cs="FrankRuehl" w:hint="cs"/>
          <w:rtl/>
        </w:rPr>
        <w:t>:</w:t>
      </w:r>
      <w:r>
        <w:rPr>
          <w:rStyle w:val="default"/>
          <w:rFonts w:cs="FrankRuehl" w:hint="cs"/>
          <w:rtl/>
        </w:rPr>
        <w:t xml:space="preserve"> סימון מזון ארוז מראש, לענין סימון רכיבים.</w:t>
      </w:r>
    </w:p>
    <w:p w:rsidR="008934BE" w:rsidRDefault="008934BE">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7.1pt;z-index:251659776"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 xml:space="preserve">טלות </w:t>
      </w:r>
      <w:r w:rsidR="007259C1">
        <w:rPr>
          <w:rStyle w:val="default"/>
          <w:rFonts w:cs="FrankRuehl"/>
          <w:rtl/>
        </w:rPr>
        <w:t>–</w:t>
      </w:r>
    </w:p>
    <w:p w:rsidR="008934BE" w:rsidRDefault="008934B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תקנות בריאות הציבור (מזון) (יסודות מתחלבים ומייצבים במצרכי מזון), תשכ"ו-1966; </w:t>
      </w:r>
    </w:p>
    <w:p w:rsidR="008934BE" w:rsidRDefault="008934B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בריאות הציבור (מזון) (יסודות משמרים ב</w:t>
      </w:r>
      <w:r>
        <w:rPr>
          <w:rStyle w:val="default"/>
          <w:rFonts w:cs="FrankRuehl"/>
          <w:rtl/>
        </w:rPr>
        <w:t>צ</w:t>
      </w:r>
      <w:r>
        <w:rPr>
          <w:rStyle w:val="default"/>
          <w:rFonts w:cs="FrankRuehl" w:hint="cs"/>
          <w:rtl/>
        </w:rPr>
        <w:t xml:space="preserve">רכי מזון), תשכ"ה-1965; </w:t>
      </w:r>
    </w:p>
    <w:p w:rsidR="008934BE" w:rsidRDefault="008934B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תקנות בריאות הציבור (מזון) (איסור שימוש בפוטסיום ברומט), תשנ"ד-1993; </w:t>
      </w:r>
    </w:p>
    <w:p w:rsidR="008934BE" w:rsidRDefault="008934B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תקנות בריאות הציבור (מזון) (צבעים במזון), תשמ"ד-1983, למעט תקנה 5(א);</w:t>
      </w:r>
    </w:p>
    <w:p w:rsidR="008934BE" w:rsidRDefault="008934BE">
      <w:pPr>
        <w:pStyle w:val="P11"/>
        <w:spacing w:before="72"/>
        <w:ind w:left="624"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6" type="#_x0000_t202" style="position:absolute;left:0;text-align:left;margin-left:462pt;margin-top:7.1pt;width:80.25pt;height:16.8pt;z-index:251661824" filled="f" stroked="f">
            <v:textbox inset="1mm,0,1mm,0">
              <w:txbxContent>
                <w:p w:rsidR="008934BE" w:rsidRDefault="008934BE">
                  <w:pPr>
                    <w:spacing w:line="160" w:lineRule="exact"/>
                    <w:jc w:val="left"/>
                    <w:rPr>
                      <w:rFonts w:cs="Miriam"/>
                      <w:szCs w:val="18"/>
                      <w:rtl/>
                    </w:rPr>
                  </w:pPr>
                  <w:r>
                    <w:rPr>
                      <w:rFonts w:cs="Miriam" w:hint="cs"/>
                      <w:szCs w:val="18"/>
                      <w:rtl/>
                    </w:rPr>
                    <w:t>תק' תשס"ג-2003</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תקנות בריאות הציבור (מזון) (מזון דיאטתי וממתיקים), תשמ"ז-1987, למעט תקנה 4(ג). </w:t>
      </w:r>
    </w:p>
    <w:p w:rsidR="00F934D2" w:rsidRPr="002725FB" w:rsidRDefault="00F934D2" w:rsidP="00F934D2">
      <w:pPr>
        <w:pStyle w:val="P00"/>
        <w:tabs>
          <w:tab w:val="clear" w:pos="6259"/>
        </w:tabs>
        <w:spacing w:before="0"/>
        <w:ind w:left="624" w:right="1134"/>
        <w:rPr>
          <w:rFonts w:hint="cs"/>
          <w:vanish/>
          <w:szCs w:val="20"/>
          <w:shd w:val="clear" w:color="auto" w:fill="FFFF99"/>
          <w:rtl/>
        </w:rPr>
      </w:pPr>
      <w:bookmarkStart w:id="9" w:name="Rov14"/>
      <w:r w:rsidRPr="002725FB">
        <w:rPr>
          <w:rFonts w:hint="cs"/>
          <w:vanish/>
          <w:color w:val="FF0000"/>
          <w:szCs w:val="20"/>
          <w:shd w:val="clear" w:color="auto" w:fill="FFFF99"/>
          <w:rtl/>
        </w:rPr>
        <w:t>מיום 1.2.2003</w:t>
      </w:r>
    </w:p>
    <w:p w:rsidR="00F934D2" w:rsidRPr="002725FB" w:rsidRDefault="00F934D2" w:rsidP="00F934D2">
      <w:pPr>
        <w:pStyle w:val="P00"/>
        <w:spacing w:before="0"/>
        <w:ind w:left="624" w:right="1134"/>
        <w:rPr>
          <w:rFonts w:hint="cs"/>
          <w:b/>
          <w:bCs/>
          <w:vanish/>
          <w:szCs w:val="20"/>
          <w:shd w:val="clear" w:color="auto" w:fill="FFFF99"/>
          <w:rtl/>
        </w:rPr>
      </w:pPr>
      <w:r w:rsidRPr="002725FB">
        <w:rPr>
          <w:rFonts w:hint="cs"/>
          <w:b/>
          <w:bCs/>
          <w:vanish/>
          <w:szCs w:val="20"/>
          <w:shd w:val="clear" w:color="auto" w:fill="FFFF99"/>
          <w:rtl/>
        </w:rPr>
        <w:t>תק' תשס"ג-2003</w:t>
      </w:r>
    </w:p>
    <w:p w:rsidR="00F934D2" w:rsidRPr="002725FB" w:rsidRDefault="00F934D2" w:rsidP="00F934D2">
      <w:pPr>
        <w:pStyle w:val="P00"/>
        <w:spacing w:before="0"/>
        <w:ind w:left="624" w:right="1134"/>
        <w:rPr>
          <w:rFonts w:hint="cs"/>
          <w:vanish/>
          <w:szCs w:val="20"/>
          <w:shd w:val="clear" w:color="auto" w:fill="FFFF99"/>
          <w:rtl/>
        </w:rPr>
      </w:pPr>
      <w:hyperlink r:id="rId7" w:history="1">
        <w:r w:rsidRPr="002725FB">
          <w:rPr>
            <w:rStyle w:val="Hyperlink"/>
            <w:rFonts w:hint="cs"/>
            <w:vanish/>
            <w:szCs w:val="20"/>
            <w:shd w:val="clear" w:color="auto" w:fill="FFFF99"/>
            <w:rtl/>
          </w:rPr>
          <w:t>ק"ת תשס"ג מס' 6222</w:t>
        </w:r>
      </w:hyperlink>
      <w:r w:rsidRPr="002725FB">
        <w:rPr>
          <w:rFonts w:hint="cs"/>
          <w:vanish/>
          <w:szCs w:val="20"/>
          <w:shd w:val="clear" w:color="auto" w:fill="FFFF99"/>
          <w:rtl/>
        </w:rPr>
        <w:t xml:space="preserve"> מיום 21.1.2003 עמ' 443</w:t>
      </w:r>
    </w:p>
    <w:p w:rsidR="00F934D2" w:rsidRPr="00CD7DE6" w:rsidRDefault="00F934D2" w:rsidP="00CD7DE6">
      <w:pPr>
        <w:pStyle w:val="P11"/>
        <w:ind w:left="624" w:right="1134"/>
        <w:rPr>
          <w:rStyle w:val="default"/>
          <w:rFonts w:cs="FrankRuehl" w:hint="cs"/>
          <w:sz w:val="2"/>
          <w:szCs w:val="2"/>
          <w:rtl/>
        </w:rPr>
      </w:pPr>
      <w:r w:rsidRPr="002725FB">
        <w:rPr>
          <w:rStyle w:val="default"/>
          <w:rFonts w:cs="FrankRuehl"/>
          <w:vanish/>
          <w:sz w:val="22"/>
          <w:szCs w:val="22"/>
          <w:shd w:val="clear" w:color="auto" w:fill="FFFF99"/>
          <w:rtl/>
        </w:rPr>
        <w:t>(5)</w:t>
      </w:r>
      <w:r w:rsidRPr="002725FB">
        <w:rPr>
          <w:rStyle w:val="default"/>
          <w:rFonts w:cs="FrankRuehl"/>
          <w:vanish/>
          <w:sz w:val="22"/>
          <w:szCs w:val="22"/>
          <w:shd w:val="clear" w:color="auto" w:fill="FFFF99"/>
          <w:rtl/>
        </w:rPr>
        <w:tab/>
      </w:r>
      <w:r w:rsidRPr="002725FB">
        <w:rPr>
          <w:rStyle w:val="default"/>
          <w:rFonts w:cs="FrankRuehl" w:hint="cs"/>
          <w:vanish/>
          <w:sz w:val="22"/>
          <w:szCs w:val="22"/>
          <w:shd w:val="clear" w:color="auto" w:fill="FFFF99"/>
          <w:rtl/>
        </w:rPr>
        <w:t xml:space="preserve">תקנות בריאות הציבור (מזון) (מזון דיאטתי וממתיקים), תשמ"ז-1987, למעט </w:t>
      </w:r>
      <w:r w:rsidRPr="002725FB">
        <w:rPr>
          <w:rStyle w:val="default"/>
          <w:rFonts w:cs="FrankRuehl" w:hint="cs"/>
          <w:strike/>
          <w:vanish/>
          <w:sz w:val="22"/>
          <w:szCs w:val="22"/>
          <w:shd w:val="clear" w:color="auto" w:fill="FFFF99"/>
          <w:rtl/>
        </w:rPr>
        <w:t>תקנה 4</w:t>
      </w:r>
      <w:r w:rsidRPr="002725FB">
        <w:rPr>
          <w:rStyle w:val="default"/>
          <w:rFonts w:cs="FrankRuehl" w:hint="cs"/>
          <w:vanish/>
          <w:sz w:val="22"/>
          <w:szCs w:val="22"/>
          <w:shd w:val="clear" w:color="auto" w:fill="FFFF99"/>
          <w:rtl/>
        </w:rPr>
        <w:t xml:space="preserve"> </w:t>
      </w:r>
      <w:r w:rsidRPr="002725FB">
        <w:rPr>
          <w:rStyle w:val="default"/>
          <w:rFonts w:cs="FrankRuehl" w:hint="cs"/>
          <w:vanish/>
          <w:sz w:val="22"/>
          <w:szCs w:val="22"/>
          <w:u w:val="single"/>
          <w:shd w:val="clear" w:color="auto" w:fill="FFFF99"/>
          <w:rtl/>
        </w:rPr>
        <w:t>תקנה 4(ג)</w:t>
      </w:r>
      <w:r w:rsidRPr="002725FB">
        <w:rPr>
          <w:rStyle w:val="default"/>
          <w:rFonts w:cs="FrankRuehl" w:hint="cs"/>
          <w:vanish/>
          <w:sz w:val="22"/>
          <w:szCs w:val="22"/>
          <w:shd w:val="clear" w:color="auto" w:fill="FFFF99"/>
          <w:rtl/>
        </w:rPr>
        <w:t xml:space="preserve">. </w:t>
      </w:r>
      <w:bookmarkEnd w:id="9"/>
    </w:p>
    <w:p w:rsidR="008934BE" w:rsidRDefault="008934BE">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8pt;z-index:251660800" o:allowincell="f" filled="f" stroked="f" strokecolor="lime" strokeweight=".25pt">
            <v:textbox inset="0,0,0,0">
              <w:txbxContent>
                <w:p w:rsidR="008934BE" w:rsidRDefault="008934BE">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למעט תקנה 6, שישה חודשים מיום פרסומן.</w:t>
      </w:r>
    </w:p>
    <w:p w:rsidR="008934BE" w:rsidRDefault="008934BE">
      <w:pPr>
        <w:pStyle w:val="P00"/>
        <w:spacing w:before="72"/>
        <w:ind w:left="0" w:right="1134"/>
        <w:rPr>
          <w:rStyle w:val="default"/>
          <w:rFonts w:cs="FrankRuehl" w:hint="cs"/>
          <w:rtl/>
        </w:rPr>
      </w:pPr>
      <w:r>
        <w:rPr>
          <w:rtl/>
          <w:lang w:val="he-IL"/>
        </w:rPr>
        <w:pict>
          <v:shape id="_x0000_s1037" type="#_x0000_t202" style="position:absolute;left:0;text-align:left;margin-left:470.25pt;margin-top:7.1pt;width:1in;height:16.8pt;z-index:251662848" filled="f" stroked="f">
            <v:textbox inset="1mm,0,1mm,0">
              <w:txbxContent>
                <w:p w:rsidR="008934BE" w:rsidRDefault="008934BE">
                  <w:pPr>
                    <w:spacing w:line="160" w:lineRule="exact"/>
                    <w:jc w:val="left"/>
                    <w:rPr>
                      <w:rFonts w:cs="Miriam" w:hint="cs"/>
                      <w:szCs w:val="18"/>
                      <w:rtl/>
                    </w:rPr>
                  </w:pPr>
                  <w:r>
                    <w:rPr>
                      <w:rFonts w:cs="Miriam" w:hint="cs"/>
                      <w:szCs w:val="18"/>
                      <w:rtl/>
                    </w:rPr>
                    <w:t>תק' תשס"ג-2003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תחילתה של תקנה 6 שנתיים מיום פרסומן של תקנות אלה, ובמועד זה תתבטל גם התקנה שמועטה מן התקנות המתבטלות לפי תקנה 9(4).</w:t>
      </w:r>
    </w:p>
    <w:p w:rsidR="00CD7DE6" w:rsidRPr="002725FB" w:rsidRDefault="00CD7DE6" w:rsidP="00CD7DE6">
      <w:pPr>
        <w:pStyle w:val="P00"/>
        <w:tabs>
          <w:tab w:val="clear" w:pos="6259"/>
        </w:tabs>
        <w:spacing w:before="0"/>
        <w:ind w:left="0" w:right="1134"/>
        <w:rPr>
          <w:rFonts w:hint="cs"/>
          <w:vanish/>
          <w:szCs w:val="20"/>
          <w:shd w:val="clear" w:color="auto" w:fill="FFFF99"/>
          <w:rtl/>
        </w:rPr>
      </w:pPr>
      <w:bookmarkStart w:id="11" w:name="Rov13"/>
      <w:r w:rsidRPr="002725FB">
        <w:rPr>
          <w:rFonts w:hint="cs"/>
          <w:vanish/>
          <w:color w:val="FF0000"/>
          <w:szCs w:val="20"/>
          <w:shd w:val="clear" w:color="auto" w:fill="FFFF99"/>
          <w:rtl/>
        </w:rPr>
        <w:t>מיום 1.2.2003</w:t>
      </w:r>
    </w:p>
    <w:p w:rsidR="00CD7DE6" w:rsidRPr="002725FB" w:rsidRDefault="00CD7DE6" w:rsidP="00CD7DE6">
      <w:pPr>
        <w:pStyle w:val="P00"/>
        <w:spacing w:before="0"/>
        <w:ind w:left="0" w:right="1134"/>
        <w:rPr>
          <w:rFonts w:hint="cs"/>
          <w:b/>
          <w:bCs/>
          <w:vanish/>
          <w:szCs w:val="20"/>
          <w:shd w:val="clear" w:color="auto" w:fill="FFFF99"/>
          <w:rtl/>
        </w:rPr>
      </w:pPr>
      <w:r w:rsidRPr="002725FB">
        <w:rPr>
          <w:rFonts w:hint="cs"/>
          <w:b/>
          <w:bCs/>
          <w:vanish/>
          <w:szCs w:val="20"/>
          <w:shd w:val="clear" w:color="auto" w:fill="FFFF99"/>
          <w:rtl/>
        </w:rPr>
        <w:t>תק' תשס"ג-2003</w:t>
      </w:r>
    </w:p>
    <w:p w:rsidR="00CD7DE6" w:rsidRPr="002725FB" w:rsidRDefault="00CD7DE6" w:rsidP="00CD7DE6">
      <w:pPr>
        <w:pStyle w:val="P00"/>
        <w:spacing w:before="0"/>
        <w:ind w:left="0" w:right="1134"/>
        <w:rPr>
          <w:rFonts w:hint="cs"/>
          <w:vanish/>
          <w:szCs w:val="20"/>
          <w:shd w:val="clear" w:color="auto" w:fill="FFFF99"/>
          <w:rtl/>
        </w:rPr>
      </w:pPr>
      <w:hyperlink r:id="rId8" w:history="1">
        <w:r w:rsidRPr="002725FB">
          <w:rPr>
            <w:rStyle w:val="Hyperlink"/>
            <w:rFonts w:hint="cs"/>
            <w:vanish/>
            <w:szCs w:val="20"/>
            <w:shd w:val="clear" w:color="auto" w:fill="FFFF99"/>
            <w:rtl/>
          </w:rPr>
          <w:t>ק"ת תשס"ג מס' 6222</w:t>
        </w:r>
      </w:hyperlink>
      <w:r w:rsidRPr="002725FB">
        <w:rPr>
          <w:rFonts w:hint="cs"/>
          <w:vanish/>
          <w:szCs w:val="20"/>
          <w:shd w:val="clear" w:color="auto" w:fill="FFFF99"/>
          <w:rtl/>
        </w:rPr>
        <w:t xml:space="preserve"> מיום 21.1.2003 עמ' 443</w:t>
      </w:r>
    </w:p>
    <w:p w:rsidR="00CD7DE6" w:rsidRPr="00CD7DE6" w:rsidRDefault="00CD7DE6" w:rsidP="00CD7DE6">
      <w:pPr>
        <w:pStyle w:val="P00"/>
        <w:ind w:left="0" w:right="1134"/>
        <w:rPr>
          <w:rStyle w:val="default"/>
          <w:rFonts w:cs="FrankRuehl" w:hint="cs"/>
          <w:sz w:val="2"/>
          <w:szCs w:val="2"/>
          <w:rtl/>
        </w:rPr>
      </w:pPr>
      <w:r w:rsidRPr="002725FB">
        <w:rPr>
          <w:vanish/>
          <w:sz w:val="22"/>
          <w:szCs w:val="22"/>
          <w:shd w:val="clear" w:color="auto" w:fill="FFFF99"/>
          <w:rtl/>
        </w:rPr>
        <w:tab/>
      </w:r>
      <w:r w:rsidRPr="002725FB">
        <w:rPr>
          <w:rStyle w:val="default"/>
          <w:rFonts w:cs="FrankRuehl"/>
          <w:vanish/>
          <w:sz w:val="22"/>
          <w:szCs w:val="22"/>
          <w:shd w:val="clear" w:color="auto" w:fill="FFFF99"/>
          <w:rtl/>
        </w:rPr>
        <w:t>(</w:t>
      </w:r>
      <w:r w:rsidRPr="002725FB">
        <w:rPr>
          <w:rStyle w:val="default"/>
          <w:rFonts w:cs="FrankRuehl" w:hint="cs"/>
          <w:vanish/>
          <w:sz w:val="22"/>
          <w:szCs w:val="22"/>
          <w:shd w:val="clear" w:color="auto" w:fill="FFFF99"/>
          <w:rtl/>
        </w:rPr>
        <w:t>ב)</w:t>
      </w:r>
      <w:r w:rsidRPr="002725FB">
        <w:rPr>
          <w:rStyle w:val="default"/>
          <w:rFonts w:cs="FrankRuehl"/>
          <w:vanish/>
          <w:sz w:val="22"/>
          <w:szCs w:val="22"/>
          <w:shd w:val="clear" w:color="auto" w:fill="FFFF99"/>
          <w:rtl/>
        </w:rPr>
        <w:tab/>
      </w:r>
      <w:r w:rsidRPr="002725FB">
        <w:rPr>
          <w:rStyle w:val="default"/>
          <w:rFonts w:cs="FrankRuehl" w:hint="cs"/>
          <w:vanish/>
          <w:sz w:val="22"/>
          <w:szCs w:val="22"/>
          <w:shd w:val="clear" w:color="auto" w:fill="FFFF99"/>
          <w:rtl/>
        </w:rPr>
        <w:t xml:space="preserve">תחילתה של תקנה 6 שנתיים מיום פרסומן של תקנות אלה, ובמועד זה </w:t>
      </w:r>
      <w:r w:rsidRPr="002725FB">
        <w:rPr>
          <w:rStyle w:val="default"/>
          <w:rFonts w:cs="FrankRuehl" w:hint="cs"/>
          <w:strike/>
          <w:vanish/>
          <w:sz w:val="22"/>
          <w:szCs w:val="22"/>
          <w:shd w:val="clear" w:color="auto" w:fill="FFFF99"/>
          <w:rtl/>
        </w:rPr>
        <w:t>יבטלו גם התקנות שמועטו</w:t>
      </w:r>
      <w:r w:rsidRPr="002725FB">
        <w:rPr>
          <w:rStyle w:val="default"/>
          <w:rFonts w:cs="FrankRuehl" w:hint="cs"/>
          <w:vanish/>
          <w:sz w:val="22"/>
          <w:szCs w:val="22"/>
          <w:shd w:val="clear" w:color="auto" w:fill="FFFF99"/>
          <w:rtl/>
        </w:rPr>
        <w:t xml:space="preserve"> </w:t>
      </w:r>
      <w:r w:rsidRPr="002725FB">
        <w:rPr>
          <w:rStyle w:val="default"/>
          <w:rFonts w:cs="FrankRuehl" w:hint="cs"/>
          <w:vanish/>
          <w:sz w:val="22"/>
          <w:szCs w:val="22"/>
          <w:u w:val="single"/>
          <w:shd w:val="clear" w:color="auto" w:fill="FFFF99"/>
          <w:rtl/>
        </w:rPr>
        <w:t>תתבטל גם התקנה שמועטה</w:t>
      </w:r>
      <w:r w:rsidRPr="002725FB">
        <w:rPr>
          <w:rStyle w:val="default"/>
          <w:rFonts w:cs="FrankRuehl" w:hint="cs"/>
          <w:vanish/>
          <w:sz w:val="22"/>
          <w:szCs w:val="22"/>
          <w:shd w:val="clear" w:color="auto" w:fill="FFFF99"/>
          <w:rtl/>
        </w:rPr>
        <w:t xml:space="preserve"> מן התקנות המתבטלות לפי </w:t>
      </w:r>
      <w:r w:rsidRPr="002725FB">
        <w:rPr>
          <w:rStyle w:val="default"/>
          <w:rFonts w:cs="FrankRuehl" w:hint="cs"/>
          <w:strike/>
          <w:vanish/>
          <w:sz w:val="22"/>
          <w:szCs w:val="22"/>
          <w:shd w:val="clear" w:color="auto" w:fill="FFFF99"/>
          <w:rtl/>
        </w:rPr>
        <w:t>תקנות 9(4) ו-(5)</w:t>
      </w:r>
      <w:r w:rsidRPr="002725FB">
        <w:rPr>
          <w:rStyle w:val="default"/>
          <w:rFonts w:cs="FrankRuehl" w:hint="cs"/>
          <w:vanish/>
          <w:sz w:val="22"/>
          <w:szCs w:val="22"/>
          <w:shd w:val="clear" w:color="auto" w:fill="FFFF99"/>
          <w:rtl/>
        </w:rPr>
        <w:t xml:space="preserve"> </w:t>
      </w:r>
      <w:r w:rsidRPr="002725FB">
        <w:rPr>
          <w:rStyle w:val="default"/>
          <w:rFonts w:cs="FrankRuehl" w:hint="cs"/>
          <w:vanish/>
          <w:sz w:val="22"/>
          <w:szCs w:val="22"/>
          <w:u w:val="single"/>
          <w:shd w:val="clear" w:color="auto" w:fill="FFFF99"/>
          <w:rtl/>
        </w:rPr>
        <w:t>תקנה 9(4)</w:t>
      </w:r>
      <w:r w:rsidRPr="002725FB">
        <w:rPr>
          <w:rStyle w:val="default"/>
          <w:rFonts w:cs="FrankRuehl" w:hint="cs"/>
          <w:vanish/>
          <w:sz w:val="22"/>
          <w:szCs w:val="22"/>
          <w:shd w:val="clear" w:color="auto" w:fill="FFFF99"/>
          <w:rtl/>
        </w:rPr>
        <w:t>.</w:t>
      </w:r>
      <w:bookmarkEnd w:id="11"/>
    </w:p>
    <w:p w:rsidR="008934BE" w:rsidRDefault="008934BE">
      <w:pPr>
        <w:pStyle w:val="P00"/>
        <w:spacing w:before="72"/>
        <w:ind w:left="0" w:right="1134"/>
        <w:rPr>
          <w:rStyle w:val="default"/>
          <w:rFonts w:cs="FrankRuehl" w:hint="cs"/>
          <w:rtl/>
        </w:rPr>
      </w:pPr>
      <w:r>
        <w:rPr>
          <w:rFonts w:cs="Miriam"/>
          <w:szCs w:val="32"/>
          <w:rtl/>
          <w:lang w:val="he-IL"/>
        </w:rPr>
        <w:pict>
          <v:shape id="_x0000_s1038" type="#_x0000_t202" style="position:absolute;left:0;text-align:left;margin-left:470.25pt;margin-top:7.1pt;width:1in;height:33.6pt;z-index:251663872" filled="f" stroked="f">
            <v:textbox inset="1mm,0,1mm,0">
              <w:txbxContent>
                <w:p w:rsidR="008934BE" w:rsidRDefault="008934BE">
                  <w:pPr>
                    <w:spacing w:line="160" w:lineRule="exact"/>
                    <w:jc w:val="left"/>
                    <w:rPr>
                      <w:rFonts w:cs="Miriam" w:hint="cs"/>
                      <w:szCs w:val="18"/>
                      <w:rtl/>
                    </w:rPr>
                  </w:pPr>
                  <w:r>
                    <w:rPr>
                      <w:rFonts w:cs="Miriam" w:hint="cs"/>
                      <w:szCs w:val="18"/>
                      <w:rtl/>
                    </w:rPr>
                    <w:t>הוראת מעבר</w:t>
                  </w:r>
                </w:p>
                <w:p w:rsidR="008934BE" w:rsidRDefault="008934B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המנהל רשאי, בנסיבות מיוחדות ובתנאים שיורה, לתת פטור מהוראות הסימון שבתקנה 6, וזאת עד יום ו' בטבת התשס"ד (31 בדצמבר 2003).</w:t>
      </w:r>
    </w:p>
    <w:p w:rsidR="00CD7DE6" w:rsidRPr="002725FB" w:rsidRDefault="00CD7DE6" w:rsidP="00CD7DE6">
      <w:pPr>
        <w:pStyle w:val="P00"/>
        <w:tabs>
          <w:tab w:val="clear" w:pos="6259"/>
        </w:tabs>
        <w:spacing w:before="0"/>
        <w:ind w:left="0" w:right="1134"/>
        <w:rPr>
          <w:rFonts w:hint="cs"/>
          <w:vanish/>
          <w:szCs w:val="20"/>
          <w:shd w:val="clear" w:color="auto" w:fill="FFFF99"/>
          <w:rtl/>
        </w:rPr>
      </w:pPr>
      <w:bookmarkStart w:id="12" w:name="Rov12"/>
      <w:r w:rsidRPr="002725FB">
        <w:rPr>
          <w:rFonts w:hint="cs"/>
          <w:vanish/>
          <w:color w:val="FF0000"/>
          <w:szCs w:val="20"/>
          <w:shd w:val="clear" w:color="auto" w:fill="FFFF99"/>
          <w:rtl/>
        </w:rPr>
        <w:t>מיום 1.2.2003</w:t>
      </w:r>
    </w:p>
    <w:p w:rsidR="00CD7DE6" w:rsidRPr="002725FB" w:rsidRDefault="00CD7DE6" w:rsidP="00CD7DE6">
      <w:pPr>
        <w:pStyle w:val="P00"/>
        <w:spacing w:before="0"/>
        <w:ind w:left="0" w:right="1134"/>
        <w:rPr>
          <w:rFonts w:hint="cs"/>
          <w:b/>
          <w:bCs/>
          <w:vanish/>
          <w:szCs w:val="20"/>
          <w:shd w:val="clear" w:color="auto" w:fill="FFFF99"/>
          <w:rtl/>
        </w:rPr>
      </w:pPr>
      <w:r w:rsidRPr="002725FB">
        <w:rPr>
          <w:rFonts w:hint="cs"/>
          <w:b/>
          <w:bCs/>
          <w:vanish/>
          <w:szCs w:val="20"/>
          <w:shd w:val="clear" w:color="auto" w:fill="FFFF99"/>
          <w:rtl/>
        </w:rPr>
        <w:t>תק' תשס"ג-2003</w:t>
      </w:r>
    </w:p>
    <w:p w:rsidR="00CD7DE6" w:rsidRPr="002725FB" w:rsidRDefault="00CD7DE6" w:rsidP="00CD7DE6">
      <w:pPr>
        <w:pStyle w:val="P00"/>
        <w:spacing w:before="0"/>
        <w:ind w:left="0" w:right="1134"/>
        <w:rPr>
          <w:rFonts w:hint="cs"/>
          <w:vanish/>
          <w:szCs w:val="20"/>
          <w:shd w:val="clear" w:color="auto" w:fill="FFFF99"/>
          <w:rtl/>
        </w:rPr>
      </w:pPr>
      <w:hyperlink r:id="rId9" w:history="1">
        <w:r w:rsidRPr="002725FB">
          <w:rPr>
            <w:rStyle w:val="Hyperlink"/>
            <w:rFonts w:hint="cs"/>
            <w:vanish/>
            <w:szCs w:val="20"/>
            <w:shd w:val="clear" w:color="auto" w:fill="FFFF99"/>
            <w:rtl/>
          </w:rPr>
          <w:t>ק"ת תשס"ג מס' 6222</w:t>
        </w:r>
      </w:hyperlink>
      <w:r w:rsidRPr="002725FB">
        <w:rPr>
          <w:rFonts w:hint="cs"/>
          <w:vanish/>
          <w:szCs w:val="20"/>
          <w:shd w:val="clear" w:color="auto" w:fill="FFFF99"/>
          <w:rtl/>
        </w:rPr>
        <w:t xml:space="preserve"> מיום 21.1.2003 עמ' 443</w:t>
      </w:r>
    </w:p>
    <w:p w:rsidR="00CD7DE6" w:rsidRPr="002725FB" w:rsidRDefault="00CD7DE6" w:rsidP="00CD7DE6">
      <w:pPr>
        <w:pStyle w:val="P00"/>
        <w:spacing w:before="0"/>
        <w:ind w:left="0" w:right="1134"/>
        <w:rPr>
          <w:rFonts w:hint="cs"/>
          <w:b/>
          <w:bCs/>
          <w:vanish/>
          <w:szCs w:val="20"/>
          <w:shd w:val="clear" w:color="auto" w:fill="FFFF99"/>
          <w:rtl/>
        </w:rPr>
      </w:pPr>
      <w:r w:rsidRPr="002725FB">
        <w:rPr>
          <w:rFonts w:hint="cs"/>
          <w:b/>
          <w:bCs/>
          <w:vanish/>
          <w:szCs w:val="20"/>
          <w:shd w:val="clear" w:color="auto" w:fill="FFFF99"/>
          <w:rtl/>
        </w:rPr>
        <w:t>הוספת תקנה 11</w:t>
      </w:r>
    </w:p>
    <w:p w:rsidR="00CD7DE6" w:rsidRPr="002725FB" w:rsidRDefault="00CD7DE6" w:rsidP="00CD7DE6">
      <w:pPr>
        <w:pStyle w:val="P00"/>
        <w:tabs>
          <w:tab w:val="clear" w:pos="6259"/>
        </w:tabs>
        <w:spacing w:before="0"/>
        <w:ind w:left="0" w:right="1134"/>
        <w:rPr>
          <w:rFonts w:hint="cs"/>
          <w:vanish/>
          <w:color w:val="FF0000"/>
          <w:szCs w:val="20"/>
          <w:shd w:val="clear" w:color="auto" w:fill="FFFF99"/>
          <w:rtl/>
        </w:rPr>
      </w:pPr>
    </w:p>
    <w:p w:rsidR="00CD7DE6" w:rsidRPr="002725FB" w:rsidRDefault="00CD7DE6" w:rsidP="00CD7DE6">
      <w:pPr>
        <w:pStyle w:val="P00"/>
        <w:tabs>
          <w:tab w:val="clear" w:pos="6259"/>
        </w:tabs>
        <w:spacing w:before="0"/>
        <w:ind w:left="0" w:right="1134"/>
        <w:rPr>
          <w:rFonts w:hint="cs"/>
          <w:vanish/>
          <w:szCs w:val="20"/>
          <w:shd w:val="clear" w:color="auto" w:fill="FFFF99"/>
          <w:rtl/>
        </w:rPr>
      </w:pPr>
      <w:r w:rsidRPr="002725FB">
        <w:rPr>
          <w:rFonts w:hint="cs"/>
          <w:vanish/>
          <w:color w:val="FF0000"/>
          <w:szCs w:val="20"/>
          <w:shd w:val="clear" w:color="auto" w:fill="FFFF99"/>
          <w:rtl/>
        </w:rPr>
        <w:t>מיום 1.2.2003</w:t>
      </w:r>
    </w:p>
    <w:p w:rsidR="00CD7DE6" w:rsidRPr="002725FB" w:rsidRDefault="00CD7DE6" w:rsidP="00CD7DE6">
      <w:pPr>
        <w:pStyle w:val="P00"/>
        <w:spacing w:before="0"/>
        <w:ind w:left="0" w:right="1134"/>
        <w:rPr>
          <w:rFonts w:hint="cs"/>
          <w:b/>
          <w:bCs/>
          <w:vanish/>
          <w:szCs w:val="20"/>
          <w:shd w:val="clear" w:color="auto" w:fill="FFFF99"/>
          <w:rtl/>
        </w:rPr>
      </w:pPr>
      <w:r w:rsidRPr="002725FB">
        <w:rPr>
          <w:rFonts w:hint="cs"/>
          <w:b/>
          <w:bCs/>
          <w:vanish/>
          <w:szCs w:val="20"/>
          <w:shd w:val="clear" w:color="auto" w:fill="FFFF99"/>
          <w:rtl/>
        </w:rPr>
        <w:t>תק' (מס' 2) תשס"ג-2003</w:t>
      </w:r>
    </w:p>
    <w:p w:rsidR="00CD7DE6" w:rsidRPr="002725FB" w:rsidRDefault="00CD7DE6" w:rsidP="00CD7DE6">
      <w:pPr>
        <w:pStyle w:val="P00"/>
        <w:spacing w:before="0"/>
        <w:ind w:left="0" w:right="1134"/>
        <w:rPr>
          <w:rFonts w:hint="cs"/>
          <w:vanish/>
          <w:szCs w:val="20"/>
          <w:shd w:val="clear" w:color="auto" w:fill="FFFF99"/>
          <w:rtl/>
        </w:rPr>
      </w:pPr>
      <w:hyperlink r:id="rId10" w:history="1">
        <w:r w:rsidRPr="002725FB">
          <w:rPr>
            <w:rStyle w:val="Hyperlink"/>
            <w:rFonts w:hint="cs"/>
            <w:vanish/>
            <w:szCs w:val="20"/>
            <w:shd w:val="clear" w:color="auto" w:fill="FFFF99"/>
            <w:rtl/>
          </w:rPr>
          <w:t>ק"ת תשס"ג מס' 6266</w:t>
        </w:r>
      </w:hyperlink>
      <w:r w:rsidRPr="002725FB">
        <w:rPr>
          <w:rFonts w:hint="cs"/>
          <w:vanish/>
          <w:szCs w:val="20"/>
          <w:shd w:val="clear" w:color="auto" w:fill="FFFF99"/>
          <w:rtl/>
        </w:rPr>
        <w:t xml:space="preserve"> מיום 21.9.2003 עמ' 1137</w:t>
      </w:r>
    </w:p>
    <w:p w:rsidR="00CD7DE6" w:rsidRPr="002725FB" w:rsidRDefault="00CD7DE6" w:rsidP="00CD7DE6">
      <w:pPr>
        <w:pStyle w:val="P00"/>
        <w:spacing w:before="0"/>
        <w:ind w:left="0" w:right="1134"/>
        <w:rPr>
          <w:rFonts w:hint="cs"/>
          <w:b/>
          <w:bCs/>
          <w:vanish/>
          <w:szCs w:val="20"/>
          <w:shd w:val="clear" w:color="auto" w:fill="FFFF99"/>
          <w:rtl/>
        </w:rPr>
      </w:pPr>
      <w:r w:rsidRPr="002725FB">
        <w:rPr>
          <w:rFonts w:hint="cs"/>
          <w:b/>
          <w:bCs/>
          <w:vanish/>
          <w:szCs w:val="20"/>
          <w:shd w:val="clear" w:color="auto" w:fill="FFFF99"/>
          <w:rtl/>
        </w:rPr>
        <w:t>החלפת תקנה 11</w:t>
      </w:r>
    </w:p>
    <w:p w:rsidR="00CD7DE6" w:rsidRPr="002725FB" w:rsidRDefault="00CD7DE6" w:rsidP="00CD7DE6">
      <w:pPr>
        <w:pStyle w:val="P00"/>
        <w:ind w:left="0" w:right="1134"/>
        <w:rPr>
          <w:rFonts w:hint="cs"/>
          <w:vanish/>
          <w:szCs w:val="20"/>
          <w:shd w:val="clear" w:color="auto" w:fill="FFFF99"/>
          <w:rtl/>
        </w:rPr>
      </w:pPr>
      <w:r w:rsidRPr="002725FB">
        <w:rPr>
          <w:rFonts w:hint="cs"/>
          <w:vanish/>
          <w:szCs w:val="20"/>
          <w:shd w:val="clear" w:color="auto" w:fill="FFFF99"/>
          <w:rtl/>
        </w:rPr>
        <w:t>הנוסח הקודם:</w:t>
      </w:r>
    </w:p>
    <w:p w:rsidR="00CD7DE6" w:rsidRPr="00CD7DE6" w:rsidRDefault="00CD7DE6" w:rsidP="00CD7DE6">
      <w:pPr>
        <w:pStyle w:val="P00"/>
        <w:spacing w:before="0"/>
        <w:ind w:left="0" w:right="1134"/>
        <w:rPr>
          <w:rFonts w:hint="cs"/>
          <w:strike/>
          <w:sz w:val="2"/>
          <w:szCs w:val="2"/>
          <w:rtl/>
        </w:rPr>
      </w:pPr>
      <w:r w:rsidRPr="002725FB">
        <w:rPr>
          <w:rFonts w:hint="cs"/>
          <w:strike/>
          <w:vanish/>
          <w:sz w:val="22"/>
          <w:szCs w:val="22"/>
          <w:shd w:val="clear" w:color="auto" w:fill="FFFF99"/>
          <w:rtl/>
        </w:rPr>
        <w:t>11.</w:t>
      </w:r>
      <w:r w:rsidRPr="002725FB">
        <w:rPr>
          <w:rFonts w:hint="cs"/>
          <w:strike/>
          <w:vanish/>
          <w:sz w:val="22"/>
          <w:szCs w:val="22"/>
          <w:shd w:val="clear" w:color="auto" w:fill="FFFF99"/>
          <w:rtl/>
        </w:rPr>
        <w:tab/>
        <w:t>על אף האמור בתקנה 6 רשאי המנהל, בנסיבות מיוחדות ובתנאים שיורה, לאשר ייצור, ייבוא, שיווק או אחסנת מזון בלא סימון שמות תוספי המזון המפורטים בתוספת הראשונה עד יום ו' בטבת התשס"ד (31 בדצמבר 2003).</w:t>
      </w:r>
      <w:bookmarkEnd w:id="12"/>
    </w:p>
    <w:p w:rsidR="008934BE" w:rsidRDefault="008934BE">
      <w:pPr>
        <w:pStyle w:val="P00"/>
        <w:spacing w:before="72"/>
        <w:ind w:left="0" w:right="1134"/>
        <w:rPr>
          <w:rStyle w:val="default"/>
          <w:rFonts w:cs="FrankRuehl"/>
          <w:rtl/>
        </w:rPr>
      </w:pPr>
    </w:p>
    <w:p w:rsidR="008934BE" w:rsidRDefault="008934BE">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rsidR="008934BE" w:rsidRPr="007259C1" w:rsidRDefault="008934BE">
      <w:pPr>
        <w:pStyle w:val="medium-header"/>
        <w:keepNext w:val="0"/>
        <w:keepLines w:val="0"/>
        <w:ind w:left="0" w:right="1134"/>
        <w:rPr>
          <w:sz w:val="24"/>
          <w:szCs w:val="24"/>
          <w:rtl/>
        </w:rPr>
      </w:pPr>
      <w:r w:rsidRPr="007259C1">
        <w:rPr>
          <w:sz w:val="24"/>
          <w:szCs w:val="24"/>
          <w:rtl/>
        </w:rPr>
        <w:t>(</w:t>
      </w:r>
      <w:r w:rsidRPr="007259C1">
        <w:rPr>
          <w:rFonts w:hint="cs"/>
          <w:sz w:val="24"/>
          <w:szCs w:val="24"/>
          <w:rtl/>
        </w:rPr>
        <w:t>תקנה 6(א))</w:t>
      </w:r>
    </w:p>
    <w:p w:rsidR="008934BE" w:rsidRPr="007259C1" w:rsidRDefault="008934BE">
      <w:pPr>
        <w:pStyle w:val="medium2-header"/>
        <w:keepLines w:val="0"/>
        <w:spacing w:before="72"/>
        <w:ind w:left="0" w:right="1134"/>
        <w:rPr>
          <w:noProof/>
          <w:sz w:val="22"/>
          <w:szCs w:val="22"/>
          <w:rtl/>
        </w:rPr>
      </w:pPr>
      <w:bookmarkStart w:id="13" w:name="med0"/>
      <w:bookmarkEnd w:id="13"/>
      <w:r w:rsidRPr="007259C1">
        <w:rPr>
          <w:noProof/>
          <w:sz w:val="22"/>
          <w:szCs w:val="22"/>
          <w:rtl/>
        </w:rPr>
        <w:t>תו</w:t>
      </w:r>
      <w:r w:rsidRPr="007259C1">
        <w:rPr>
          <w:rFonts w:hint="cs"/>
          <w:noProof/>
          <w:sz w:val="22"/>
          <w:szCs w:val="22"/>
          <w:rtl/>
        </w:rPr>
        <w:t>ספי מזון שיש לסמן את שמם על אריזת מזון</w:t>
      </w:r>
    </w:p>
    <w:p w:rsidR="008934BE" w:rsidRPr="002725FB" w:rsidRDefault="008934BE" w:rsidP="002725FB">
      <w:pPr>
        <w:pStyle w:val="P01"/>
        <w:pBdr>
          <w:bottom w:val="single" w:sz="4" w:space="1" w:color="auto"/>
        </w:pBdr>
        <w:tabs>
          <w:tab w:val="clear" w:pos="624"/>
          <w:tab w:val="clear" w:pos="1021"/>
          <w:tab w:val="clear" w:pos="1474"/>
          <w:tab w:val="clear" w:pos="1928"/>
          <w:tab w:val="clear" w:pos="2381"/>
          <w:tab w:val="clear" w:pos="2835"/>
          <w:tab w:val="clear" w:pos="6259"/>
          <w:tab w:val="center" w:pos="1134"/>
          <w:tab w:val="center" w:pos="5387"/>
        </w:tabs>
        <w:spacing w:before="72"/>
        <w:ind w:left="0" w:right="2268" w:firstLine="0"/>
        <w:rPr>
          <w:rFonts w:hint="cs"/>
          <w:szCs w:val="22"/>
          <w:rtl/>
        </w:rPr>
      </w:pPr>
      <w:r w:rsidRPr="002725FB">
        <w:rPr>
          <w:szCs w:val="22"/>
          <w:rtl/>
        </w:rPr>
        <w:t>מ</w:t>
      </w:r>
      <w:r w:rsidRPr="002725FB">
        <w:rPr>
          <w:rFonts w:hint="cs"/>
          <w:szCs w:val="22"/>
          <w:rtl/>
        </w:rPr>
        <w:t xml:space="preserve">ספר </w:t>
      </w:r>
      <w:r w:rsidRPr="002725FB">
        <w:rPr>
          <w:szCs w:val="22"/>
        </w:rPr>
        <w:t>E</w:t>
      </w:r>
      <w:r w:rsidRPr="002725FB">
        <w:rPr>
          <w:szCs w:val="22"/>
          <w:rtl/>
        </w:rPr>
        <w:tab/>
      </w:r>
      <w:r w:rsidRPr="002725FB">
        <w:rPr>
          <w:rFonts w:hint="cs"/>
          <w:szCs w:val="22"/>
          <w:rtl/>
        </w:rPr>
        <w:t>השם בעברית</w:t>
      </w:r>
      <w:r w:rsidRPr="002725FB">
        <w:rPr>
          <w:szCs w:val="22"/>
          <w:rtl/>
        </w:rPr>
        <w:tab/>
      </w:r>
      <w:r w:rsidRPr="002725FB">
        <w:rPr>
          <w:rFonts w:hint="cs"/>
          <w:szCs w:val="22"/>
          <w:rtl/>
        </w:rPr>
        <w:t>השם בלועזית</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E102</w:t>
      </w:r>
      <w:r>
        <w:rPr>
          <w:rtl/>
        </w:rPr>
        <w:tab/>
      </w:r>
      <w:r>
        <w:rPr>
          <w:rtl/>
        </w:rPr>
        <w:tab/>
      </w:r>
      <w:r>
        <w:rPr>
          <w:rFonts w:hint="cs"/>
          <w:rtl/>
        </w:rPr>
        <w:t>טרטרזין</w:t>
      </w:r>
      <w:r>
        <w:rPr>
          <w:rtl/>
        </w:rPr>
        <w:tab/>
      </w:r>
      <w:r>
        <w:t>Tartrazine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E220</w:t>
      </w:r>
      <w:r>
        <w:rPr>
          <w:noProof w:val="0"/>
          <w:rtl/>
        </w:rPr>
        <w:tab/>
      </w:r>
      <w:r>
        <w:rPr>
          <w:rtl/>
        </w:rPr>
        <w:t>ד</w:t>
      </w:r>
      <w:r>
        <w:rPr>
          <w:rFonts w:hint="cs"/>
          <w:rtl/>
        </w:rPr>
        <w:t>ו תחמוצת הגפרית</w:t>
      </w:r>
      <w:r>
        <w:rPr>
          <w:rtl/>
        </w:rPr>
        <w:tab/>
      </w:r>
      <w:smartTag w:uri="urn:schemas-microsoft-com:office:smarttags" w:element="place">
        <w:smartTag w:uri="urn:schemas-microsoft-com:office:smarttags" w:element="City">
          <w:r>
            <w:t>Sulphur</w:t>
          </w:r>
        </w:smartTag>
      </w:smartTag>
      <w:r>
        <w:t xml:space="preserve"> dioxide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E221</w:t>
      </w:r>
      <w:r>
        <w:rPr>
          <w:noProof w:val="0"/>
          <w:rtl/>
        </w:rPr>
        <w:tab/>
      </w:r>
      <w:r>
        <w:rPr>
          <w:rtl/>
        </w:rPr>
        <w:t>ס</w:t>
      </w:r>
      <w:r>
        <w:rPr>
          <w:rFonts w:hint="cs"/>
          <w:rtl/>
        </w:rPr>
        <w:t>ולפיט</w:t>
      </w:r>
      <w:r>
        <w:rPr>
          <w:rtl/>
        </w:rPr>
        <w:tab/>
      </w:r>
      <w:r>
        <w:t>Sodium 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E222</w:t>
      </w:r>
      <w:r>
        <w:rPr>
          <w:noProof w:val="0"/>
          <w:rtl/>
        </w:rPr>
        <w:tab/>
      </w:r>
      <w:r>
        <w:rPr>
          <w:rtl/>
        </w:rPr>
        <w:t>ס</w:t>
      </w:r>
      <w:r>
        <w:rPr>
          <w:rFonts w:hint="cs"/>
          <w:rtl/>
        </w:rPr>
        <w:t>ולפיט</w:t>
      </w:r>
      <w:r>
        <w:rPr>
          <w:rtl/>
        </w:rPr>
        <w:tab/>
      </w:r>
      <w:r>
        <w:t>Sodium hydrogen 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E223</w:t>
      </w:r>
      <w:r>
        <w:rPr>
          <w:noProof w:val="0"/>
          <w:rtl/>
        </w:rPr>
        <w:tab/>
      </w:r>
      <w:r>
        <w:rPr>
          <w:rtl/>
        </w:rPr>
        <w:t>ס</w:t>
      </w:r>
      <w:r>
        <w:rPr>
          <w:rFonts w:hint="cs"/>
          <w:rtl/>
        </w:rPr>
        <w:t>ולפיט</w:t>
      </w:r>
      <w:r>
        <w:rPr>
          <w:rtl/>
        </w:rPr>
        <w:tab/>
      </w:r>
      <w:r>
        <w:t>Sodium metabisulphite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E224</w:t>
      </w:r>
      <w:r>
        <w:rPr>
          <w:noProof w:val="0"/>
          <w:rtl/>
        </w:rPr>
        <w:tab/>
      </w:r>
      <w:r>
        <w:rPr>
          <w:rtl/>
        </w:rPr>
        <w:t>ס</w:t>
      </w:r>
      <w:r>
        <w:rPr>
          <w:rFonts w:hint="cs"/>
          <w:rtl/>
        </w:rPr>
        <w:t>ולפיט</w:t>
      </w:r>
      <w:r>
        <w:rPr>
          <w:rtl/>
        </w:rPr>
        <w:tab/>
      </w:r>
      <w:r>
        <w:t>Potassium metabisulphite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E226</w:t>
      </w:r>
      <w:r>
        <w:rPr>
          <w:noProof w:val="0"/>
          <w:rtl/>
        </w:rPr>
        <w:tab/>
      </w:r>
      <w:r>
        <w:rPr>
          <w:rtl/>
        </w:rPr>
        <w:t>ס</w:t>
      </w:r>
      <w:r>
        <w:rPr>
          <w:rFonts w:hint="cs"/>
          <w:rtl/>
        </w:rPr>
        <w:t>ולפיט</w:t>
      </w:r>
      <w:r>
        <w:rPr>
          <w:rtl/>
        </w:rPr>
        <w:tab/>
      </w:r>
      <w:r>
        <w:t>Calcium 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E227</w:t>
      </w:r>
      <w:r>
        <w:rPr>
          <w:noProof w:val="0"/>
          <w:rtl/>
        </w:rPr>
        <w:tab/>
      </w:r>
      <w:r>
        <w:rPr>
          <w:rtl/>
        </w:rPr>
        <w:t>ס</w:t>
      </w:r>
      <w:r>
        <w:rPr>
          <w:rFonts w:hint="cs"/>
          <w:rtl/>
        </w:rPr>
        <w:t>ולפיט</w:t>
      </w:r>
      <w:r>
        <w:rPr>
          <w:rtl/>
        </w:rPr>
        <w:tab/>
      </w:r>
      <w:r>
        <w:t>Calcium hydrogen 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E228</w:t>
      </w:r>
      <w:r>
        <w:rPr>
          <w:noProof w:val="0"/>
          <w:rtl/>
        </w:rPr>
        <w:tab/>
      </w:r>
      <w:r>
        <w:rPr>
          <w:rtl/>
        </w:rPr>
        <w:t>ס</w:t>
      </w:r>
      <w:r>
        <w:rPr>
          <w:rFonts w:hint="cs"/>
          <w:rtl/>
        </w:rPr>
        <w:t>ולפיט</w:t>
      </w:r>
      <w:r>
        <w:rPr>
          <w:rtl/>
        </w:rPr>
        <w:tab/>
      </w:r>
      <w:r>
        <w:t>Potassium hydrogen sulphite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E110</w:t>
      </w:r>
      <w:r>
        <w:rPr>
          <w:noProof w:val="0"/>
          <w:rtl/>
        </w:rPr>
        <w:tab/>
      </w:r>
      <w:r>
        <w:rPr>
          <w:rtl/>
        </w:rPr>
        <w:t>ס</w:t>
      </w:r>
      <w:r>
        <w:rPr>
          <w:rFonts w:hint="cs"/>
          <w:rtl/>
        </w:rPr>
        <w:t>נסט ילו</w:t>
      </w:r>
      <w:r>
        <w:rPr>
          <w:rtl/>
        </w:rPr>
        <w:tab/>
      </w:r>
      <w:r>
        <w:t>Sunset yellow</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E153</w:t>
      </w:r>
      <w:r>
        <w:rPr>
          <w:noProof w:val="0"/>
          <w:rtl/>
        </w:rPr>
        <w:tab/>
      </w:r>
      <w:r>
        <w:rPr>
          <w:rtl/>
        </w:rPr>
        <w:t>פ</w:t>
      </w:r>
      <w:r>
        <w:rPr>
          <w:rFonts w:hint="cs"/>
          <w:rtl/>
        </w:rPr>
        <w:t>חם שחור</w:t>
      </w:r>
      <w:r>
        <w:rPr>
          <w:rtl/>
        </w:rPr>
        <w:tab/>
      </w:r>
      <w:r>
        <w:t>Vegetable carbon</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E129</w:t>
      </w:r>
      <w:r>
        <w:rPr>
          <w:noProof w:val="0"/>
          <w:rtl/>
        </w:rPr>
        <w:tab/>
      </w:r>
      <w:r>
        <w:rPr>
          <w:rtl/>
        </w:rPr>
        <w:t>א</w:t>
      </w:r>
      <w:r>
        <w:rPr>
          <w:rFonts w:hint="cs"/>
          <w:rtl/>
        </w:rPr>
        <w:t>דום אלורה</w:t>
      </w:r>
      <w:r>
        <w:rPr>
          <w:rtl/>
        </w:rPr>
        <w:tab/>
      </w:r>
      <w:r>
        <w:t>Allura red</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E620</w:t>
      </w:r>
      <w:r>
        <w:rPr>
          <w:noProof w:val="0"/>
          <w:rtl/>
        </w:rPr>
        <w:tab/>
      </w:r>
      <w:r>
        <w:rPr>
          <w:rtl/>
        </w:rPr>
        <w:t>ח</w:t>
      </w:r>
      <w:r>
        <w:rPr>
          <w:rFonts w:hint="cs"/>
          <w:rtl/>
        </w:rPr>
        <w:t>ומצה גלוטמית</w:t>
      </w:r>
      <w:r>
        <w:rPr>
          <w:rtl/>
        </w:rPr>
        <w:tab/>
      </w:r>
      <w:r>
        <w:t>Glutamic acid</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E621</w:t>
      </w:r>
      <w:r>
        <w:rPr>
          <w:noProof w:val="0"/>
          <w:rtl/>
        </w:rPr>
        <w:tab/>
      </w:r>
      <w:r>
        <w:rPr>
          <w:rtl/>
        </w:rPr>
        <w:t>ג</w:t>
      </w:r>
      <w:r>
        <w:rPr>
          <w:rFonts w:hint="cs"/>
          <w:rtl/>
        </w:rPr>
        <w:t>לוטמט</w:t>
      </w:r>
      <w:r>
        <w:rPr>
          <w:rtl/>
        </w:rPr>
        <w:tab/>
      </w:r>
      <w:r>
        <w:t>Monosodium glutamate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E622</w:t>
      </w:r>
      <w:r>
        <w:rPr>
          <w:noProof w:val="0"/>
          <w:rtl/>
        </w:rPr>
        <w:tab/>
      </w:r>
      <w:r>
        <w:rPr>
          <w:rtl/>
        </w:rPr>
        <w:t>ג</w:t>
      </w:r>
      <w:r>
        <w:rPr>
          <w:rFonts w:hint="cs"/>
          <w:rtl/>
        </w:rPr>
        <w:t>לוטמט</w:t>
      </w:r>
      <w:r>
        <w:rPr>
          <w:rtl/>
        </w:rPr>
        <w:tab/>
      </w:r>
      <w:r>
        <w:t>Monopotassium glutamate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E623</w:t>
      </w:r>
      <w:r>
        <w:rPr>
          <w:noProof w:val="0"/>
          <w:rtl/>
        </w:rPr>
        <w:tab/>
      </w:r>
      <w:r>
        <w:rPr>
          <w:rtl/>
        </w:rPr>
        <w:t>ג</w:t>
      </w:r>
      <w:r>
        <w:rPr>
          <w:rFonts w:hint="cs"/>
          <w:rtl/>
        </w:rPr>
        <w:t>לוטמט</w:t>
      </w:r>
      <w:r>
        <w:rPr>
          <w:rtl/>
        </w:rPr>
        <w:tab/>
      </w:r>
      <w:r>
        <w:t>Calcium diglutamate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E624</w:t>
      </w:r>
      <w:r>
        <w:rPr>
          <w:noProof w:val="0"/>
          <w:rtl/>
        </w:rPr>
        <w:tab/>
      </w:r>
      <w:r>
        <w:rPr>
          <w:rtl/>
        </w:rPr>
        <w:t>ג</w:t>
      </w:r>
      <w:r>
        <w:rPr>
          <w:rFonts w:hint="cs"/>
          <w:rtl/>
        </w:rPr>
        <w:t>לוטמט</w:t>
      </w:r>
      <w:r>
        <w:rPr>
          <w:rtl/>
        </w:rPr>
        <w:tab/>
      </w:r>
      <w:r>
        <w:t>Monoammonium glutamate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rtl/>
        </w:rPr>
      </w:pPr>
      <w:r>
        <w:t>E625</w:t>
      </w:r>
      <w:r>
        <w:rPr>
          <w:noProof w:val="0"/>
          <w:rtl/>
        </w:rPr>
        <w:tab/>
      </w:r>
      <w:r>
        <w:rPr>
          <w:rtl/>
        </w:rPr>
        <w:t>ג</w:t>
      </w:r>
      <w:r>
        <w:rPr>
          <w:rFonts w:hint="cs"/>
          <w:rtl/>
        </w:rPr>
        <w:t>לוטמט</w:t>
      </w:r>
      <w:r>
        <w:rPr>
          <w:rtl/>
        </w:rPr>
        <w:tab/>
      </w:r>
      <w:r>
        <w:t>Magnesium diglutamate</w:t>
      </w:r>
    </w:p>
    <w:p w:rsidR="008934BE" w:rsidRDefault="008934BE">
      <w:pPr>
        <w:pStyle w:val="P01"/>
        <w:tabs>
          <w:tab w:val="clear" w:pos="624"/>
          <w:tab w:val="clear" w:pos="1021"/>
          <w:tab w:val="clear" w:pos="1474"/>
          <w:tab w:val="clear" w:pos="1928"/>
          <w:tab w:val="clear" w:pos="2381"/>
          <w:tab w:val="clear" w:pos="2835"/>
          <w:tab w:val="clear" w:pos="6259"/>
          <w:tab w:val="left" w:pos="0"/>
          <w:tab w:val="left" w:pos="567"/>
          <w:tab w:val="right" w:pos="6237"/>
        </w:tabs>
        <w:spacing w:before="72"/>
        <w:ind w:left="624" w:right="1134"/>
        <w:rPr>
          <w:noProof w:val="0"/>
          <w:rtl/>
        </w:rPr>
      </w:pPr>
      <w:r>
        <w:t>E320</w:t>
      </w:r>
      <w:r>
        <w:rPr>
          <w:noProof w:val="0"/>
          <w:rtl/>
        </w:rPr>
        <w:tab/>
      </w:r>
      <w:r>
        <w:rPr>
          <w:rtl/>
        </w:rPr>
        <w:t>ב</w:t>
      </w:r>
      <w:r>
        <w:rPr>
          <w:rFonts w:hint="cs"/>
          <w:rtl/>
        </w:rPr>
        <w:t>וטיליטיד הידרוקסיאניזול</w:t>
      </w:r>
      <w:r>
        <w:rPr>
          <w:rtl/>
        </w:rPr>
        <w:tab/>
      </w:r>
      <w:r>
        <w:t>Butylated hydroxyanisole (BHA)</w:t>
      </w:r>
    </w:p>
    <w:p w:rsidR="008934BE" w:rsidRPr="007259C1" w:rsidRDefault="008934BE" w:rsidP="007259C1">
      <w:pPr>
        <w:pStyle w:val="P00"/>
        <w:spacing w:before="72"/>
        <w:ind w:left="0" w:right="1134"/>
        <w:rPr>
          <w:rStyle w:val="default"/>
          <w:rFonts w:cs="FrankRuehl"/>
          <w:rtl/>
        </w:rPr>
      </w:pPr>
    </w:p>
    <w:p w:rsidR="008934BE" w:rsidRDefault="008934BE" w:rsidP="007259C1">
      <w:pPr>
        <w:pStyle w:val="page"/>
        <w:widowControl/>
        <w:spacing w:before="72"/>
        <w:ind w:right="1134"/>
        <w:jc w:val="center"/>
        <w:rPr>
          <w:rFonts w:cs="FrankRuehl"/>
          <w:b/>
          <w:bCs/>
          <w:position w:val="0"/>
          <w:szCs w:val="26"/>
          <w:rtl/>
        </w:rPr>
      </w:pPr>
      <w:r>
        <w:rPr>
          <w:rFonts w:cs="FrankRuehl"/>
          <w:b/>
          <w:bCs/>
          <w:position w:val="0"/>
          <w:szCs w:val="26"/>
          <w:rtl/>
        </w:rPr>
        <w:t>ת</w:t>
      </w:r>
      <w:r>
        <w:rPr>
          <w:rFonts w:cs="FrankRuehl" w:hint="cs"/>
          <w:b/>
          <w:bCs/>
          <w:position w:val="0"/>
          <w:szCs w:val="26"/>
          <w:rtl/>
        </w:rPr>
        <w:t>וס</w:t>
      </w:r>
      <w:r>
        <w:rPr>
          <w:rFonts w:cs="FrankRuehl"/>
          <w:b/>
          <w:bCs/>
          <w:position w:val="0"/>
          <w:szCs w:val="26"/>
          <w:rtl/>
        </w:rPr>
        <w:t>פ</w:t>
      </w:r>
      <w:r>
        <w:rPr>
          <w:rFonts w:cs="FrankRuehl" w:hint="cs"/>
          <w:b/>
          <w:bCs/>
          <w:position w:val="0"/>
          <w:szCs w:val="26"/>
          <w:rtl/>
        </w:rPr>
        <w:t>ת שניה</w:t>
      </w:r>
    </w:p>
    <w:p w:rsidR="008934BE" w:rsidRPr="007259C1" w:rsidRDefault="008934BE">
      <w:pPr>
        <w:pStyle w:val="medium-header"/>
        <w:keepNext w:val="0"/>
        <w:keepLines w:val="0"/>
        <w:ind w:left="0" w:right="1134"/>
        <w:rPr>
          <w:sz w:val="24"/>
          <w:szCs w:val="24"/>
          <w:rtl/>
        </w:rPr>
      </w:pPr>
      <w:r w:rsidRPr="007259C1">
        <w:rPr>
          <w:sz w:val="24"/>
          <w:szCs w:val="24"/>
          <w:rtl/>
        </w:rPr>
        <w:t>(</w:t>
      </w:r>
      <w:r w:rsidRPr="007259C1">
        <w:rPr>
          <w:rFonts w:hint="cs"/>
          <w:sz w:val="24"/>
          <w:szCs w:val="24"/>
          <w:rtl/>
        </w:rPr>
        <w:t>תקנה 6)</w:t>
      </w:r>
    </w:p>
    <w:p w:rsidR="008934BE" w:rsidRPr="007259C1" w:rsidRDefault="008934BE">
      <w:pPr>
        <w:pStyle w:val="medium-header"/>
        <w:keepNext w:val="0"/>
        <w:keepLines w:val="0"/>
        <w:ind w:left="0" w:right="1134"/>
        <w:rPr>
          <w:b/>
          <w:bCs/>
          <w:sz w:val="22"/>
          <w:szCs w:val="22"/>
          <w:rtl/>
        </w:rPr>
      </w:pPr>
      <w:r w:rsidRPr="007259C1">
        <w:rPr>
          <w:b/>
          <w:bCs/>
          <w:sz w:val="22"/>
          <w:szCs w:val="22"/>
          <w:rtl/>
        </w:rPr>
        <w:t>ר</w:t>
      </w:r>
      <w:r w:rsidRPr="007259C1">
        <w:rPr>
          <w:rFonts w:hint="cs"/>
          <w:b/>
          <w:bCs/>
          <w:sz w:val="22"/>
          <w:szCs w:val="22"/>
          <w:rtl/>
        </w:rPr>
        <w:t>שימת שמות קבוצות תוספי מזון בהתאם למטרה טכנולוגית</w:t>
      </w:r>
    </w:p>
    <w:p w:rsidR="008934BE" w:rsidRDefault="008934BE" w:rsidP="002725FB">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0"/>
          <w:tab w:val="right" w:pos="6237"/>
        </w:tabs>
        <w:ind w:left="0" w:right="2268"/>
        <w:jc w:val="both"/>
        <w:rPr>
          <w:noProof w:val="0"/>
          <w:rtl/>
        </w:rPr>
      </w:pPr>
      <w:r>
        <w:rPr>
          <w:rtl/>
        </w:rPr>
        <w:t>מ</w:t>
      </w:r>
      <w:r>
        <w:rPr>
          <w:rFonts w:hint="cs"/>
          <w:rtl/>
        </w:rPr>
        <w:t>ווסתי חומציות</w:t>
      </w:r>
      <w:r>
        <w:rPr>
          <w:rtl/>
        </w:rPr>
        <w:tab/>
      </w:r>
      <w:r>
        <w:t>Acidity regulators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ח</w:t>
      </w:r>
      <w:r>
        <w:rPr>
          <w:rFonts w:hint="cs"/>
          <w:rtl/>
        </w:rPr>
        <w:t>ומצות</w:t>
      </w:r>
      <w:r>
        <w:rPr>
          <w:rtl/>
        </w:rPr>
        <w:tab/>
      </w:r>
      <w:r>
        <w:t>Acids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ונעי התגיישות</w:t>
      </w:r>
      <w:r>
        <w:rPr>
          <w:rtl/>
        </w:rPr>
        <w:tab/>
      </w:r>
      <w:r>
        <w:t>Anti-caking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ונעי קצף</w:t>
      </w:r>
      <w:r>
        <w:rPr>
          <w:rtl/>
        </w:rPr>
        <w:tab/>
      </w:r>
      <w:r>
        <w:t>Anti-foaming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עכבי חמצון</w:t>
      </w:r>
      <w:r>
        <w:rPr>
          <w:rtl/>
        </w:rPr>
        <w:tab/>
      </w:r>
      <w:r>
        <w:t>Antioxidants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ח</w:t>
      </w:r>
      <w:r>
        <w:rPr>
          <w:rFonts w:hint="cs"/>
          <w:rtl/>
        </w:rPr>
        <w:t>ומר</w:t>
      </w:r>
      <w:r>
        <w:rPr>
          <w:rtl/>
        </w:rPr>
        <w:t>י</w:t>
      </w:r>
      <w:r>
        <w:rPr>
          <w:rFonts w:hint="cs"/>
          <w:rtl/>
        </w:rPr>
        <w:t xml:space="preserve"> מילוי</w:t>
      </w:r>
      <w:r>
        <w:rPr>
          <w:rtl/>
        </w:rPr>
        <w:tab/>
      </w:r>
      <w:r>
        <w:t>Bulking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צ</w:t>
      </w:r>
      <w:r>
        <w:rPr>
          <w:rFonts w:hint="cs"/>
          <w:rtl/>
        </w:rPr>
        <w:t>בעי מאכל</w:t>
      </w:r>
      <w:r>
        <w:rPr>
          <w:rtl/>
        </w:rPr>
        <w:tab/>
      </w:r>
      <w:r>
        <w:t>Colours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תחלבים</w:t>
      </w:r>
      <w:r>
        <w:rPr>
          <w:rtl/>
        </w:rPr>
        <w:tab/>
      </w:r>
      <w:r>
        <w:t>Emulsifiers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לחים מתחלבים</w:t>
      </w:r>
      <w:r>
        <w:rPr>
          <w:rtl/>
        </w:rPr>
        <w:tab/>
      </w:r>
      <w:r>
        <w:t>Emulsifying salts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מ</w:t>
      </w:r>
      <w:r>
        <w:rPr>
          <w:rFonts w:hint="cs"/>
          <w:rtl/>
        </w:rPr>
        <w:t>גבירי חוזק</w:t>
      </w:r>
      <w:r>
        <w:rPr>
          <w:rtl/>
        </w:rPr>
        <w:tab/>
      </w:r>
      <w:r>
        <w:t>Firming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מ</w:t>
      </w:r>
      <w:r>
        <w:rPr>
          <w:rFonts w:hint="cs"/>
          <w:rtl/>
        </w:rPr>
        <w:t>חזקי טעם</w:t>
      </w:r>
      <w:r>
        <w:rPr>
          <w:rtl/>
        </w:rPr>
        <w:tab/>
      </w:r>
      <w:r>
        <w:t>Flavour enhancers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טפלי קמח</w:t>
      </w:r>
      <w:r>
        <w:rPr>
          <w:rtl/>
        </w:rPr>
        <w:tab/>
      </w:r>
      <w:r>
        <w:t>Flour treatment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קציפים</w:t>
      </w:r>
      <w:r>
        <w:rPr>
          <w:rtl/>
        </w:rPr>
        <w:tab/>
      </w:r>
      <w:r>
        <w:t>Foaming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מ</w:t>
      </w:r>
      <w:r>
        <w:rPr>
          <w:rFonts w:hint="cs"/>
          <w:rtl/>
        </w:rPr>
        <w:t>קרישים</w:t>
      </w:r>
      <w:r>
        <w:rPr>
          <w:rtl/>
        </w:rPr>
        <w:tab/>
      </w:r>
      <w:r>
        <w:t>Gelling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ח</w:t>
      </w:r>
      <w:r>
        <w:rPr>
          <w:rFonts w:hint="cs"/>
          <w:rtl/>
        </w:rPr>
        <w:t>ומרי הזגה</w:t>
      </w:r>
      <w:r>
        <w:rPr>
          <w:rtl/>
        </w:rPr>
        <w:tab/>
      </w:r>
      <w:r>
        <w:t>Glazing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ח</w:t>
      </w:r>
      <w:r>
        <w:rPr>
          <w:rFonts w:hint="cs"/>
          <w:rtl/>
        </w:rPr>
        <w:t>ומ</w:t>
      </w:r>
      <w:r>
        <w:rPr>
          <w:rtl/>
        </w:rPr>
        <w:t>ר</w:t>
      </w:r>
      <w:r>
        <w:rPr>
          <w:rFonts w:hint="cs"/>
          <w:rtl/>
        </w:rPr>
        <w:t>י הלחה</w:t>
      </w:r>
      <w:r>
        <w:rPr>
          <w:rtl/>
        </w:rPr>
        <w:tab/>
      </w:r>
      <w:r>
        <w:t>Humectants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Fonts w:hint="cs"/>
          <w:rtl/>
        </w:rPr>
        <w:t>עמילנים מעובדים</w:t>
      </w:r>
      <w:r>
        <w:rPr>
          <w:rtl/>
        </w:rPr>
        <w:tab/>
      </w:r>
      <w:r>
        <w:t>Modified starches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שמרים</w:t>
      </w:r>
      <w:r>
        <w:rPr>
          <w:rtl/>
        </w:rPr>
        <w:tab/>
      </w:r>
      <w:r>
        <w:t>Preservatives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ח</w:t>
      </w:r>
      <w:r>
        <w:rPr>
          <w:rFonts w:hint="cs"/>
          <w:rtl/>
        </w:rPr>
        <w:t>ומרי הדף</w:t>
      </w:r>
      <w:r>
        <w:rPr>
          <w:rtl/>
        </w:rPr>
        <w:tab/>
      </w:r>
      <w:r>
        <w:t>Propellants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תפיחים</w:t>
      </w:r>
      <w:r>
        <w:rPr>
          <w:rtl/>
        </w:rPr>
        <w:tab/>
      </w:r>
      <w:r>
        <w:t>Raising agents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ת</w:t>
      </w:r>
      <w:r>
        <w:rPr>
          <w:rFonts w:hint="cs"/>
          <w:rtl/>
        </w:rPr>
        <w:t>צביות</w:t>
      </w:r>
      <w:r>
        <w:rPr>
          <w:rtl/>
        </w:rPr>
        <w:tab/>
      </w:r>
      <w:r>
        <w:t>Sequestrants</w:t>
      </w:r>
    </w:p>
    <w:p w:rsidR="008934BE" w:rsidRDefault="008934BE">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ייצבים</w:t>
      </w:r>
      <w:r>
        <w:rPr>
          <w:rtl/>
        </w:rPr>
        <w:tab/>
      </w:r>
      <w:r>
        <w:t>Stabilizers</w:t>
      </w:r>
    </w:p>
    <w:p w:rsidR="008934BE" w:rsidRDefault="008934BE" w:rsidP="002725FB">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rtl/>
        </w:rPr>
      </w:pPr>
      <w:r>
        <w:rPr>
          <w:rtl/>
        </w:rPr>
        <w:t>מ</w:t>
      </w:r>
      <w:r>
        <w:rPr>
          <w:rFonts w:hint="cs"/>
          <w:rtl/>
        </w:rPr>
        <w:t>מתיקים</w:t>
      </w:r>
      <w:r>
        <w:rPr>
          <w:rtl/>
        </w:rPr>
        <w:tab/>
      </w:r>
      <w:r>
        <w:t>Sweeteners</w:t>
      </w:r>
    </w:p>
    <w:p w:rsidR="008934BE" w:rsidRDefault="008934BE" w:rsidP="002725FB">
      <w:pPr>
        <w:pStyle w:val="medium-header"/>
        <w:keepNext w:val="0"/>
        <w:keepLines w:val="0"/>
        <w:tabs>
          <w:tab w:val="clear" w:pos="624"/>
          <w:tab w:val="clear" w:pos="1021"/>
          <w:tab w:val="clear" w:pos="1474"/>
          <w:tab w:val="clear" w:pos="1928"/>
          <w:tab w:val="clear" w:pos="2381"/>
          <w:tab w:val="clear" w:pos="2835"/>
          <w:tab w:val="left" w:pos="0"/>
          <w:tab w:val="right" w:pos="6237"/>
        </w:tabs>
        <w:ind w:left="0" w:right="1134"/>
        <w:jc w:val="both"/>
        <w:rPr>
          <w:noProof w:val="0"/>
          <w:rtl/>
        </w:rPr>
      </w:pPr>
      <w:r>
        <w:rPr>
          <w:rtl/>
        </w:rPr>
        <w:t>מ</w:t>
      </w:r>
      <w:r>
        <w:rPr>
          <w:rFonts w:hint="cs"/>
          <w:rtl/>
        </w:rPr>
        <w:t>סמיכים</w:t>
      </w:r>
      <w:r>
        <w:rPr>
          <w:rtl/>
        </w:rPr>
        <w:tab/>
      </w:r>
      <w:r>
        <w:t>Thickeners</w:t>
      </w:r>
      <w:r>
        <w:rPr>
          <w:noProof w:val="0"/>
        </w:rPr>
        <w:tab/>
      </w:r>
    </w:p>
    <w:p w:rsidR="008934BE" w:rsidRDefault="008934BE" w:rsidP="007259C1">
      <w:pPr>
        <w:pStyle w:val="P00"/>
        <w:spacing w:before="72"/>
        <w:ind w:left="0" w:right="1134"/>
        <w:rPr>
          <w:rStyle w:val="default"/>
          <w:rFonts w:cs="FrankRuehl" w:hint="cs"/>
          <w:rtl/>
        </w:rPr>
      </w:pPr>
    </w:p>
    <w:p w:rsidR="007259C1" w:rsidRPr="007259C1" w:rsidRDefault="007259C1" w:rsidP="007259C1">
      <w:pPr>
        <w:pStyle w:val="P00"/>
        <w:spacing w:before="72"/>
        <w:ind w:left="0" w:right="1134"/>
        <w:rPr>
          <w:rStyle w:val="default"/>
          <w:rFonts w:cs="FrankRuehl" w:hint="cs"/>
          <w:sz w:val="26"/>
          <w:rtl/>
        </w:rPr>
      </w:pPr>
    </w:p>
    <w:p w:rsidR="008934BE" w:rsidRPr="007259C1" w:rsidRDefault="008934BE" w:rsidP="007259C1">
      <w:pPr>
        <w:pStyle w:val="page"/>
        <w:widowControl/>
        <w:tabs>
          <w:tab w:val="center" w:pos="5103"/>
        </w:tabs>
        <w:spacing w:before="72"/>
        <w:ind w:right="1134"/>
        <w:rPr>
          <w:rFonts w:cs="FrankRuehl"/>
          <w:position w:val="0"/>
          <w:sz w:val="26"/>
          <w:szCs w:val="26"/>
          <w:rtl/>
        </w:rPr>
      </w:pPr>
      <w:r w:rsidRPr="007259C1">
        <w:rPr>
          <w:rFonts w:cs="FrankRuehl"/>
          <w:position w:val="0"/>
          <w:sz w:val="26"/>
          <w:szCs w:val="26"/>
          <w:rtl/>
        </w:rPr>
        <w:t>ח</w:t>
      </w:r>
      <w:r w:rsidRPr="007259C1">
        <w:rPr>
          <w:rFonts w:cs="FrankRuehl" w:hint="cs"/>
          <w:position w:val="0"/>
          <w:sz w:val="26"/>
          <w:szCs w:val="26"/>
          <w:rtl/>
        </w:rPr>
        <w:t>' בטבת תשס"א (3 בינואר 2001)</w:t>
      </w:r>
      <w:r w:rsidRPr="007259C1">
        <w:rPr>
          <w:rFonts w:cs="FrankRuehl"/>
          <w:position w:val="0"/>
          <w:sz w:val="26"/>
          <w:szCs w:val="26"/>
          <w:rtl/>
        </w:rPr>
        <w:tab/>
      </w:r>
      <w:r w:rsidRPr="007259C1">
        <w:rPr>
          <w:rFonts w:cs="FrankRuehl" w:hint="cs"/>
          <w:position w:val="0"/>
          <w:sz w:val="26"/>
          <w:szCs w:val="26"/>
          <w:rtl/>
        </w:rPr>
        <w:t>בעז לב</w:t>
      </w:r>
    </w:p>
    <w:p w:rsidR="008934BE" w:rsidRDefault="008934BE" w:rsidP="007259C1">
      <w:pPr>
        <w:pStyle w:val="sig-1"/>
        <w:widowControl/>
        <w:tabs>
          <w:tab w:val="clear" w:pos="851"/>
          <w:tab w:val="clear" w:pos="2835"/>
          <w:tab w:val="clear" w:pos="4820"/>
          <w:tab w:val="center" w:pos="5103"/>
        </w:tabs>
        <w:ind w:left="0" w:right="1134"/>
        <w:rPr>
          <w:rtl/>
        </w:rPr>
      </w:pPr>
      <w:r>
        <w:rPr>
          <w:rtl/>
        </w:rPr>
        <w:tab/>
      </w:r>
      <w:r>
        <w:rPr>
          <w:rFonts w:hint="cs"/>
          <w:rtl/>
        </w:rPr>
        <w:t>המנהל הכללי של משרד הבריאות</w:t>
      </w:r>
    </w:p>
    <w:p w:rsidR="008934BE" w:rsidRDefault="007259C1" w:rsidP="007259C1">
      <w:pPr>
        <w:pStyle w:val="P00"/>
        <w:tabs>
          <w:tab w:val="clear" w:pos="624"/>
          <w:tab w:val="clear" w:pos="1021"/>
          <w:tab w:val="clear" w:pos="1474"/>
          <w:tab w:val="clear" w:pos="1928"/>
          <w:tab w:val="clear" w:pos="2381"/>
          <w:tab w:val="clear" w:pos="2835"/>
          <w:tab w:val="clear" w:pos="6259"/>
          <w:tab w:val="left" w:pos="1134"/>
        </w:tabs>
        <w:spacing w:before="72"/>
        <w:ind w:left="0" w:right="1134"/>
        <w:rPr>
          <w:rtl/>
        </w:rPr>
      </w:pPr>
      <w:r>
        <w:rPr>
          <w:rFonts w:hint="cs"/>
          <w:rtl/>
        </w:rPr>
        <w:tab/>
      </w:r>
      <w:r w:rsidR="008934BE">
        <w:rPr>
          <w:rtl/>
        </w:rPr>
        <w:t>נ</w:t>
      </w:r>
      <w:r w:rsidR="008934BE">
        <w:rPr>
          <w:rFonts w:hint="cs"/>
          <w:rtl/>
        </w:rPr>
        <w:t>תאשר.</w:t>
      </w:r>
    </w:p>
    <w:p w:rsidR="008934BE" w:rsidRPr="007259C1" w:rsidRDefault="008934BE" w:rsidP="007259C1">
      <w:pPr>
        <w:pStyle w:val="sig-1"/>
        <w:widowControl/>
        <w:tabs>
          <w:tab w:val="clear" w:pos="851"/>
          <w:tab w:val="clear" w:pos="4820"/>
        </w:tabs>
        <w:spacing w:before="72"/>
        <w:ind w:left="0" w:right="1134"/>
        <w:rPr>
          <w:sz w:val="26"/>
          <w:szCs w:val="26"/>
          <w:rtl/>
        </w:rPr>
      </w:pPr>
      <w:r w:rsidRPr="007259C1">
        <w:rPr>
          <w:sz w:val="26"/>
          <w:szCs w:val="26"/>
          <w:rtl/>
        </w:rPr>
        <w:tab/>
      </w:r>
      <w:r w:rsidRPr="007259C1">
        <w:rPr>
          <w:rFonts w:hint="cs"/>
          <w:sz w:val="26"/>
          <w:szCs w:val="26"/>
          <w:rtl/>
        </w:rPr>
        <w:t>רוני מילוא</w:t>
      </w:r>
    </w:p>
    <w:p w:rsidR="008934BE" w:rsidRDefault="008934BE" w:rsidP="007259C1">
      <w:pPr>
        <w:pStyle w:val="sig-1"/>
        <w:widowControl/>
        <w:tabs>
          <w:tab w:val="clear" w:pos="851"/>
          <w:tab w:val="clear" w:pos="4820"/>
        </w:tabs>
        <w:ind w:left="0" w:right="1134"/>
        <w:rPr>
          <w:rtl/>
        </w:rPr>
      </w:pPr>
      <w:r>
        <w:rPr>
          <w:rtl/>
        </w:rPr>
        <w:tab/>
      </w:r>
      <w:r>
        <w:rPr>
          <w:rFonts w:hint="cs"/>
          <w:rtl/>
        </w:rPr>
        <w:t>שר הבריאות</w:t>
      </w:r>
    </w:p>
    <w:p w:rsidR="008934BE" w:rsidRPr="007259C1" w:rsidRDefault="008934BE" w:rsidP="007259C1">
      <w:pPr>
        <w:pStyle w:val="P00"/>
        <w:spacing w:before="72"/>
        <w:ind w:left="0" w:right="1134"/>
        <w:rPr>
          <w:rStyle w:val="default"/>
          <w:rFonts w:cs="FrankRuehl"/>
          <w:sz w:val="26"/>
          <w:rtl/>
        </w:rPr>
      </w:pPr>
    </w:p>
    <w:p w:rsidR="008934BE" w:rsidRPr="007259C1" w:rsidRDefault="008934BE" w:rsidP="007259C1">
      <w:pPr>
        <w:pStyle w:val="P00"/>
        <w:spacing w:before="72"/>
        <w:ind w:left="0" w:right="1134"/>
        <w:rPr>
          <w:rStyle w:val="default"/>
          <w:rFonts w:cs="FrankRuehl"/>
          <w:sz w:val="26"/>
          <w:rtl/>
        </w:rPr>
      </w:pPr>
    </w:p>
    <w:p w:rsidR="008934BE" w:rsidRPr="007259C1" w:rsidRDefault="008934BE" w:rsidP="007259C1">
      <w:pPr>
        <w:pStyle w:val="P00"/>
        <w:spacing w:before="72"/>
        <w:ind w:left="0" w:right="1134"/>
        <w:rPr>
          <w:rStyle w:val="default"/>
          <w:rFonts w:cs="FrankRuehl"/>
          <w:sz w:val="26"/>
          <w:rtl/>
        </w:rPr>
      </w:pPr>
    </w:p>
    <w:sectPr w:rsidR="008934BE" w:rsidRPr="007259C1">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30F" w:rsidRDefault="000E430F">
      <w:r>
        <w:separator/>
      </w:r>
    </w:p>
  </w:endnote>
  <w:endnote w:type="continuationSeparator" w:id="0">
    <w:p w:rsidR="000E430F" w:rsidRDefault="000E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4BE" w:rsidRDefault="008934B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934BE" w:rsidRDefault="008934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34BE" w:rsidRDefault="008934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59C1">
      <w:rPr>
        <w:rFonts w:cs="TopType Jerushalmi"/>
        <w:noProof/>
        <w:color w:val="000000"/>
        <w:sz w:val="14"/>
        <w:szCs w:val="14"/>
      </w:rPr>
      <w:t>D:\Yael\hakika\Revadim\049_099.doc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4BE" w:rsidRDefault="008934B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929B7">
      <w:rPr>
        <w:rFonts w:hAnsi="FrankRuehl"/>
        <w:noProof/>
        <w:sz w:val="24"/>
        <w:szCs w:val="24"/>
        <w:rtl/>
      </w:rPr>
      <w:t>4</w:t>
    </w:r>
    <w:r>
      <w:rPr>
        <w:rFonts w:hAnsi="FrankRuehl"/>
        <w:sz w:val="24"/>
        <w:szCs w:val="24"/>
        <w:rtl/>
      </w:rPr>
      <w:fldChar w:fldCharType="end"/>
    </w:r>
  </w:p>
  <w:p w:rsidR="008934BE" w:rsidRDefault="008934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34BE" w:rsidRDefault="008934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59C1">
      <w:rPr>
        <w:rFonts w:cs="TopType Jerushalmi"/>
        <w:noProof/>
        <w:color w:val="000000"/>
        <w:sz w:val="14"/>
        <w:szCs w:val="14"/>
      </w:rPr>
      <w:t>D:\Yael\hakika\Revadim\049_099.doc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30F" w:rsidRDefault="000E430F" w:rsidP="007259C1">
      <w:pPr>
        <w:spacing w:before="60" w:line="240" w:lineRule="auto"/>
        <w:ind w:right="1134"/>
      </w:pPr>
      <w:r>
        <w:separator/>
      </w:r>
    </w:p>
  </w:footnote>
  <w:footnote w:type="continuationSeparator" w:id="0">
    <w:p w:rsidR="000E430F" w:rsidRDefault="000E430F">
      <w:r>
        <w:continuationSeparator/>
      </w:r>
    </w:p>
  </w:footnote>
  <w:footnote w:id="1">
    <w:p w:rsidR="007259C1" w:rsidRDefault="007259C1" w:rsidP="007259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7259C1">
        <w:rPr>
          <w:sz w:val="20"/>
          <w:rtl/>
        </w:rPr>
        <w:t xml:space="preserve">* </w:t>
      </w:r>
      <w:r>
        <w:rPr>
          <w:sz w:val="20"/>
          <w:rtl/>
        </w:rPr>
        <w:t>פ</w:t>
      </w:r>
      <w:r>
        <w:rPr>
          <w:rFonts w:hint="cs"/>
          <w:sz w:val="20"/>
          <w:rtl/>
        </w:rPr>
        <w:t xml:space="preserve">ורסמו </w:t>
      </w:r>
      <w:hyperlink r:id="rId1" w:history="1">
        <w:r w:rsidRPr="00F934D2">
          <w:rPr>
            <w:rStyle w:val="Hyperlink"/>
            <w:rFonts w:hint="cs"/>
            <w:sz w:val="20"/>
            <w:rtl/>
          </w:rPr>
          <w:t>ק"ת ת</w:t>
        </w:r>
        <w:r w:rsidRPr="00F934D2">
          <w:rPr>
            <w:rStyle w:val="Hyperlink"/>
            <w:rFonts w:hint="cs"/>
            <w:sz w:val="20"/>
            <w:rtl/>
          </w:rPr>
          <w:t>שס"א מס' 6084</w:t>
        </w:r>
      </w:hyperlink>
      <w:r>
        <w:rPr>
          <w:rFonts w:hint="cs"/>
          <w:sz w:val="20"/>
          <w:rtl/>
        </w:rPr>
        <w:t xml:space="preserve"> מיום 1.2.2001 עמ' 395.</w:t>
      </w:r>
    </w:p>
    <w:p w:rsidR="007259C1" w:rsidRPr="007259C1" w:rsidRDefault="007259C1" w:rsidP="007259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sidRPr="00F934D2">
          <w:rPr>
            <w:rStyle w:val="Hyperlink"/>
            <w:rFonts w:hint="cs"/>
            <w:sz w:val="20"/>
            <w:rtl/>
          </w:rPr>
          <w:t>ק"ת</w:t>
        </w:r>
        <w:r w:rsidRPr="00F934D2">
          <w:rPr>
            <w:rStyle w:val="Hyperlink"/>
            <w:rFonts w:hint="cs"/>
            <w:sz w:val="20"/>
            <w:rtl/>
          </w:rPr>
          <w:t xml:space="preserve"> תשס"ג: מס' 6222</w:t>
        </w:r>
      </w:hyperlink>
      <w:r>
        <w:rPr>
          <w:rFonts w:hint="cs"/>
          <w:sz w:val="20"/>
          <w:rtl/>
        </w:rPr>
        <w:t xml:space="preserve"> מיום 21.1.2003 עמ' 443 </w:t>
      </w:r>
      <w:r>
        <w:rPr>
          <w:sz w:val="20"/>
          <w:rtl/>
        </w:rPr>
        <w:t>–</w:t>
      </w:r>
      <w:r>
        <w:rPr>
          <w:rFonts w:hint="cs"/>
          <w:sz w:val="20"/>
          <w:rtl/>
        </w:rPr>
        <w:t xml:space="preserve"> תק' תשס"ג-2003; תחילתן ביום 1.2.2003. </w:t>
      </w:r>
      <w:hyperlink r:id="rId3" w:history="1">
        <w:r w:rsidRPr="00F934D2">
          <w:rPr>
            <w:rStyle w:val="Hyperlink"/>
            <w:rFonts w:hint="cs"/>
            <w:sz w:val="20"/>
            <w:rtl/>
          </w:rPr>
          <w:t>מס'</w:t>
        </w:r>
        <w:r w:rsidRPr="00F934D2">
          <w:rPr>
            <w:rStyle w:val="Hyperlink"/>
            <w:rFonts w:hint="cs"/>
            <w:sz w:val="20"/>
            <w:rtl/>
          </w:rPr>
          <w:t xml:space="preserve"> 6266</w:t>
        </w:r>
      </w:hyperlink>
      <w:r>
        <w:rPr>
          <w:rFonts w:hint="cs"/>
          <w:sz w:val="20"/>
          <w:rtl/>
        </w:rPr>
        <w:t xml:space="preserve"> מיום 21.9.2003 עמ' 1137 </w:t>
      </w:r>
      <w:r>
        <w:rPr>
          <w:sz w:val="20"/>
          <w:rtl/>
        </w:rPr>
        <w:t>–</w:t>
      </w:r>
      <w:r>
        <w:rPr>
          <w:rFonts w:hint="cs"/>
          <w:sz w:val="20"/>
          <w:rtl/>
        </w:rPr>
        <w:t xml:space="preserve"> תק' (מס' 2) תשס"ג-2003; תחילתן ביום 1.2.2003.</w:t>
      </w:r>
    </w:p>
  </w:footnote>
  <w:footnote w:id="2">
    <w:p w:rsidR="00E929B7" w:rsidRPr="00E929B7" w:rsidRDefault="00E929B7" w:rsidP="00E929B7">
      <w:pPr>
        <w:pStyle w:val="a6"/>
        <w:spacing w:before="72" w:line="240" w:lineRule="auto"/>
        <w:ind w:right="1134"/>
        <w:rPr>
          <w:rFonts w:hint="cs"/>
          <w:rtl/>
        </w:rPr>
      </w:pPr>
      <w:r>
        <w:rPr>
          <w:rStyle w:val="a7"/>
        </w:rPr>
        <w:footnoteRef/>
      </w:r>
      <w:r w:rsidRPr="00E929B7">
        <w:rPr>
          <w:rFonts w:cs="FrankRuehl"/>
          <w:sz w:val="22"/>
          <w:szCs w:val="22"/>
          <w:rtl/>
        </w:rPr>
        <w:t xml:space="preserve"> </w:t>
      </w:r>
      <w:r w:rsidRPr="00E929B7">
        <w:rPr>
          <w:rFonts w:cs="FrankRuehl" w:hint="cs"/>
          <w:sz w:val="22"/>
          <w:szCs w:val="22"/>
          <w:rtl/>
        </w:rPr>
        <w:t xml:space="preserve">ר' ת"צ (ת"א) 2520-01-10 </w:t>
      </w:r>
      <w:r w:rsidRPr="00E929B7">
        <w:rPr>
          <w:rFonts w:cs="FrankRuehl" w:hint="cs"/>
          <w:b/>
          <w:bCs/>
          <w:sz w:val="22"/>
          <w:szCs w:val="22"/>
          <w:rtl/>
        </w:rPr>
        <w:t>בן סימון</w:t>
      </w:r>
      <w:r w:rsidRPr="00E929B7">
        <w:rPr>
          <w:rFonts w:cs="FrankRuehl" w:hint="cs"/>
          <w:sz w:val="22"/>
          <w:szCs w:val="22"/>
          <w:rtl/>
        </w:rPr>
        <w:t xml:space="preserve"> נ' </w:t>
      </w:r>
      <w:r w:rsidRPr="00E929B7">
        <w:rPr>
          <w:rFonts w:cs="FrankRuehl" w:hint="cs"/>
          <w:b/>
          <w:bCs/>
          <w:sz w:val="22"/>
          <w:szCs w:val="22"/>
          <w:rtl/>
        </w:rPr>
        <w:t>דיפלומט מפיצים (1968) בע"מ</w:t>
      </w:r>
      <w:r w:rsidRPr="00E929B7">
        <w:rPr>
          <w:rFonts w:cs="FrankRuehl" w:hint="cs"/>
          <w:sz w:val="22"/>
          <w:szCs w:val="22"/>
          <w:rtl/>
        </w:rPr>
        <w:t xml:space="preserve"> מיום 27.3.2012 (השופט מ' יפרח) לענין בטלות הרשימה ונוסח התקנה בעקבות זאת.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4BE" w:rsidRDefault="008934BE">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(תוספי מזון), תשס"א–2001</w:t>
    </w:r>
  </w:p>
  <w:p w:rsidR="008934BE" w:rsidRDefault="008934B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934BE" w:rsidRDefault="008934B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4BE" w:rsidRDefault="008934BE">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(תוספי מזון), תשס"א</w:t>
    </w:r>
    <w:r>
      <w:rPr>
        <w:rFonts w:hAnsi="FrankRuehl" w:hint="cs"/>
        <w:color w:val="000000"/>
        <w:sz w:val="28"/>
        <w:szCs w:val="28"/>
        <w:rtl/>
      </w:rPr>
      <w:t>-</w:t>
    </w:r>
    <w:r>
      <w:rPr>
        <w:rFonts w:hAnsi="FrankRuehl"/>
        <w:color w:val="000000"/>
        <w:sz w:val="28"/>
        <w:szCs w:val="28"/>
        <w:rtl/>
      </w:rPr>
      <w:t>2001</w:t>
    </w:r>
  </w:p>
  <w:p w:rsidR="008934BE" w:rsidRDefault="008934B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934BE" w:rsidRDefault="008934B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784806651">
    <w:abstractNumId w:val="0"/>
  </w:num>
  <w:num w:numId="2" w16cid:durableId="24688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8EE"/>
    <w:rsid w:val="000E430F"/>
    <w:rsid w:val="001728E8"/>
    <w:rsid w:val="002725FB"/>
    <w:rsid w:val="00331FE8"/>
    <w:rsid w:val="004541A4"/>
    <w:rsid w:val="004B3B2E"/>
    <w:rsid w:val="007259C1"/>
    <w:rsid w:val="007D38EE"/>
    <w:rsid w:val="008934BE"/>
    <w:rsid w:val="00A13257"/>
    <w:rsid w:val="00CD7DE6"/>
    <w:rsid w:val="00E16050"/>
    <w:rsid w:val="00E929B7"/>
    <w:rsid w:val="00F934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143A1216-56CC-4F8A-BE82-C389813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character" w:styleId="FollowedHyperlink">
    <w:name w:val="FollowedHyperlink"/>
    <w:basedOn w:val="a0"/>
    <w:rsid w:val="00F934D2"/>
    <w:rPr>
      <w:color w:val="800080"/>
      <w:u w:val="single"/>
    </w:rPr>
  </w:style>
  <w:style w:type="paragraph" w:styleId="a6">
    <w:name w:val="footnote text"/>
    <w:basedOn w:val="a"/>
    <w:semiHidden/>
    <w:rsid w:val="007259C1"/>
    <w:rPr>
      <w:sz w:val="20"/>
      <w:szCs w:val="20"/>
    </w:rPr>
  </w:style>
  <w:style w:type="character" w:styleId="a7">
    <w:name w:val="footnote reference"/>
    <w:basedOn w:val="a0"/>
    <w:semiHidden/>
    <w:rsid w:val="00725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22.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222.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06/TAK-6266.pdf" TargetMode="External"/><Relationship Id="rId4" Type="http://schemas.openxmlformats.org/officeDocument/2006/relationships/webSettings" Target="webSettings.xml"/><Relationship Id="rId9" Type="http://schemas.openxmlformats.org/officeDocument/2006/relationships/hyperlink" Target="http://www.nevo.co.il/Law_word/law06/TAK-622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66.pdf" TargetMode="External"/><Relationship Id="rId2" Type="http://schemas.openxmlformats.org/officeDocument/2006/relationships/hyperlink" Target="http://www.nevo.co.il/Law_word/law06/TAK-6222.pdf" TargetMode="External"/><Relationship Id="rId1" Type="http://schemas.openxmlformats.org/officeDocument/2006/relationships/hyperlink" Target="http://www.nevo.co.il/Law_word/law06/TAK-60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9234</CharactersWithSpaces>
  <SharedDoc>false</SharedDoc>
  <HLinks>
    <vt:vector size="108" baseType="variant">
      <vt:variant>
        <vt:i4>7929868</vt:i4>
      </vt:variant>
      <vt:variant>
        <vt:i4>75</vt:i4>
      </vt:variant>
      <vt:variant>
        <vt:i4>0</vt:i4>
      </vt:variant>
      <vt:variant>
        <vt:i4>5</vt:i4>
      </vt:variant>
      <vt:variant>
        <vt:lpwstr>http://www.nevo.co.il/Law_word/law06/TAK-6266.pdf</vt:lpwstr>
      </vt:variant>
      <vt:variant>
        <vt:lpwstr/>
      </vt:variant>
      <vt:variant>
        <vt:i4>8192008</vt:i4>
      </vt:variant>
      <vt:variant>
        <vt:i4>72</vt:i4>
      </vt:variant>
      <vt:variant>
        <vt:i4>0</vt:i4>
      </vt:variant>
      <vt:variant>
        <vt:i4>5</vt:i4>
      </vt:variant>
      <vt:variant>
        <vt:lpwstr>http://www.nevo.co.il/Law_word/law06/TAK-6222.pdf</vt:lpwstr>
      </vt:variant>
      <vt:variant>
        <vt:lpwstr/>
      </vt:variant>
      <vt:variant>
        <vt:i4>8192008</vt:i4>
      </vt:variant>
      <vt:variant>
        <vt:i4>69</vt:i4>
      </vt:variant>
      <vt:variant>
        <vt:i4>0</vt:i4>
      </vt:variant>
      <vt:variant>
        <vt:i4>5</vt:i4>
      </vt:variant>
      <vt:variant>
        <vt:lpwstr>http://www.nevo.co.il/Law_word/law06/TAK-6222.pdf</vt:lpwstr>
      </vt:variant>
      <vt:variant>
        <vt:lpwstr/>
      </vt:variant>
      <vt:variant>
        <vt:i4>8192008</vt:i4>
      </vt:variant>
      <vt:variant>
        <vt:i4>66</vt:i4>
      </vt:variant>
      <vt:variant>
        <vt:i4>0</vt:i4>
      </vt:variant>
      <vt:variant>
        <vt:i4>5</vt:i4>
      </vt:variant>
      <vt:variant>
        <vt:lpwstr>http://www.nevo.co.il/Law_word/law06/TAK-6222.pdf</vt:lpwstr>
      </vt:variant>
      <vt:variant>
        <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6</vt:i4>
      </vt:variant>
      <vt:variant>
        <vt:i4>0</vt:i4>
      </vt:variant>
      <vt:variant>
        <vt:i4>5</vt:i4>
      </vt:variant>
      <vt:variant>
        <vt:lpwstr>http://www.nevo.co.il/Law_word/law06/TAK-6266.pdf</vt:lpwstr>
      </vt:variant>
      <vt:variant>
        <vt:lpwstr/>
      </vt:variant>
      <vt:variant>
        <vt:i4>8192008</vt:i4>
      </vt:variant>
      <vt:variant>
        <vt:i4>3</vt:i4>
      </vt:variant>
      <vt:variant>
        <vt:i4>0</vt:i4>
      </vt:variant>
      <vt:variant>
        <vt:i4>5</vt:i4>
      </vt:variant>
      <vt:variant>
        <vt:lpwstr>http://www.nevo.co.il/Law_word/law06/TAK-6222.pdf</vt:lpwstr>
      </vt:variant>
      <vt:variant>
        <vt:lpwstr/>
      </vt:variant>
      <vt:variant>
        <vt:i4>7798796</vt:i4>
      </vt:variant>
      <vt:variant>
        <vt:i4>0</vt:i4>
      </vt:variant>
      <vt:variant>
        <vt:i4>0</vt:i4>
      </vt:variant>
      <vt:variant>
        <vt:i4>5</vt:i4>
      </vt:variant>
      <vt:variant>
        <vt:lpwstr>http://www.nevo.co.il/Law_word/law06/TAK-6084.pdf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אורי אילן</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(תוספי מזון), תשס"א-2001</vt:lpwstr>
  </property>
  <property fmtid="{D5CDD505-2E9C-101B-9397-08002B2CF9AE}" pid="5" name="LAWNUMBER">
    <vt:lpwstr>0099</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הציבור (מזון) [נוסח חדש]</vt:lpwstr>
  </property>
  <property fmtid="{D5CDD505-2E9C-101B-9397-08002B2CF9AE}" pid="48" name="MEKOR_SAIF1">
    <vt:lpwstr>3X</vt:lpwstr>
  </property>
  <property fmtid="{D5CDD505-2E9C-101B-9397-08002B2CF9AE}" pid="49" name="MEKOR_NAME2">
    <vt:lpwstr>חוק העונשין</vt:lpwstr>
  </property>
  <property fmtid="{D5CDD505-2E9C-101B-9397-08002B2CF9AE}" pid="50" name="MEKOR_SAIF2">
    <vt:lpwstr>2XבX</vt:lpwstr>
  </property>
</Properties>
</file>