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Default="00D33732" w:rsidP="00836D15">
      <w:pPr>
        <w:pStyle w:val="big-header"/>
        <w:ind w:left="0" w:right="1134"/>
        <w:rPr>
          <w:rFonts w:cs="FrankRuehl" w:hint="cs"/>
          <w:sz w:val="32"/>
          <w:rtl/>
        </w:rPr>
      </w:pPr>
      <w:r>
        <w:rPr>
          <w:rFonts w:cs="FrankRuehl" w:hint="cs"/>
          <w:sz w:val="32"/>
          <w:rtl/>
        </w:rPr>
        <w:t xml:space="preserve">תקנות </w:t>
      </w:r>
      <w:r w:rsidR="00836D15">
        <w:rPr>
          <w:rFonts w:cs="FrankRuehl" w:hint="cs"/>
          <w:sz w:val="32"/>
          <w:rtl/>
        </w:rPr>
        <w:t>בתי דין מינהליים (אגרות בוועדת הערר לפי חוק שירות הקבע בצבא הגנה לישראל</w:t>
      </w:r>
      <w:r>
        <w:rPr>
          <w:rFonts w:cs="FrankRuehl" w:hint="cs"/>
          <w:sz w:val="32"/>
          <w:rtl/>
        </w:rPr>
        <w:t>)</w:t>
      </w:r>
      <w:r w:rsidR="000A51DD">
        <w:rPr>
          <w:rFonts w:cs="FrankRuehl" w:hint="cs"/>
          <w:sz w:val="32"/>
          <w:rtl/>
        </w:rPr>
        <w:t xml:space="preserve">, </w:t>
      </w:r>
      <w:r w:rsidR="006A0293">
        <w:rPr>
          <w:rFonts w:cs="FrankRuehl" w:hint="cs"/>
          <w:sz w:val="32"/>
          <w:rtl/>
        </w:rPr>
        <w:t>תשע</w:t>
      </w:r>
      <w:r w:rsidR="00FE583C">
        <w:rPr>
          <w:rFonts w:cs="FrankRuehl" w:hint="cs"/>
          <w:sz w:val="32"/>
          <w:rtl/>
        </w:rPr>
        <w:t>"א</w:t>
      </w:r>
      <w:r w:rsidR="006A0293">
        <w:rPr>
          <w:rFonts w:cs="FrankRuehl" w:hint="cs"/>
          <w:sz w:val="32"/>
          <w:rtl/>
        </w:rPr>
        <w:t>-2010</w:t>
      </w:r>
    </w:p>
    <w:p w:rsidR="00836D15" w:rsidRPr="00836D15" w:rsidRDefault="00836D15" w:rsidP="00836D15">
      <w:pPr>
        <w:spacing w:line="320" w:lineRule="auto"/>
        <w:rPr>
          <w:rFonts w:cs="FrankRuehl"/>
          <w:szCs w:val="26"/>
          <w:rtl/>
        </w:rPr>
      </w:pPr>
    </w:p>
    <w:p w:rsidR="00836D15" w:rsidRDefault="00836D15" w:rsidP="00836D15">
      <w:pPr>
        <w:spacing w:line="320" w:lineRule="auto"/>
        <w:rPr>
          <w:rtl/>
        </w:rPr>
      </w:pPr>
    </w:p>
    <w:p w:rsidR="00836D15" w:rsidRDefault="00836D15" w:rsidP="00836D15">
      <w:pPr>
        <w:spacing w:line="320" w:lineRule="auto"/>
        <w:rPr>
          <w:rFonts w:cs="Miriam"/>
          <w:szCs w:val="22"/>
          <w:rtl/>
        </w:rPr>
      </w:pPr>
      <w:r w:rsidRPr="00836D15">
        <w:rPr>
          <w:rFonts w:cs="Miriam"/>
          <w:szCs w:val="22"/>
          <w:rtl/>
        </w:rPr>
        <w:t>בטחון</w:t>
      </w:r>
      <w:r w:rsidRPr="00836D15">
        <w:rPr>
          <w:rFonts w:cs="FrankRuehl"/>
          <w:szCs w:val="26"/>
          <w:rtl/>
        </w:rPr>
        <w:t xml:space="preserve"> – צה"ל – שרות קבע (גמלאות)</w:t>
      </w:r>
    </w:p>
    <w:p w:rsidR="00836D15" w:rsidRDefault="00836D15" w:rsidP="00836D15">
      <w:pPr>
        <w:spacing w:line="320" w:lineRule="auto"/>
        <w:rPr>
          <w:rFonts w:cs="Miriam"/>
          <w:szCs w:val="22"/>
          <w:rtl/>
        </w:rPr>
      </w:pPr>
      <w:r w:rsidRPr="00836D15">
        <w:rPr>
          <w:rFonts w:cs="Miriam"/>
          <w:szCs w:val="22"/>
          <w:rtl/>
        </w:rPr>
        <w:t>בתי משפט וסדרי דין</w:t>
      </w:r>
      <w:r w:rsidRPr="00836D15">
        <w:rPr>
          <w:rFonts w:cs="FrankRuehl"/>
          <w:szCs w:val="26"/>
          <w:rtl/>
        </w:rPr>
        <w:t xml:space="preserve"> – בתי משפט ובתי דין – אגרות</w:t>
      </w:r>
    </w:p>
    <w:p w:rsidR="00836D15" w:rsidRPr="00836D15" w:rsidRDefault="00836D15" w:rsidP="00836D15">
      <w:pPr>
        <w:spacing w:line="320" w:lineRule="auto"/>
        <w:rPr>
          <w:rFonts w:cs="Miriam" w:hint="cs"/>
          <w:szCs w:val="22"/>
          <w:rtl/>
        </w:rPr>
      </w:pPr>
      <w:r w:rsidRPr="00836D15">
        <w:rPr>
          <w:rFonts w:cs="Miriam"/>
          <w:szCs w:val="22"/>
          <w:rtl/>
        </w:rPr>
        <w:t>בתי משפט וסדרי דין</w:t>
      </w:r>
      <w:r w:rsidRPr="00836D15">
        <w:rPr>
          <w:rFonts w:cs="FrankRuehl"/>
          <w:szCs w:val="26"/>
          <w:rtl/>
        </w:rPr>
        <w:t xml:space="preserve"> – בתי משפט ובתי דין – בתי דין מינהליים</w:t>
      </w:r>
    </w:p>
    <w:p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D57B5" w:rsidRPr="009D57B5">
        <w:tblPrEx>
          <w:tblCellMar>
            <w:top w:w="0" w:type="dxa"/>
            <w:bottom w:w="0" w:type="dxa"/>
          </w:tblCellMar>
        </w:tblPrEx>
        <w:tc>
          <w:tcPr>
            <w:tcW w:w="1247" w:type="dxa"/>
          </w:tcPr>
          <w:p w:rsidR="009D57B5" w:rsidRPr="009D57B5" w:rsidRDefault="009D57B5" w:rsidP="009D57B5">
            <w:pPr>
              <w:rPr>
                <w:rFonts w:cs="Frankruhel" w:hint="cs"/>
                <w:rtl/>
              </w:rPr>
            </w:pPr>
            <w:r>
              <w:rPr>
                <w:rtl/>
              </w:rPr>
              <w:t xml:space="preserve">סעיף 1 </w:t>
            </w:r>
          </w:p>
        </w:tc>
        <w:tc>
          <w:tcPr>
            <w:tcW w:w="5669" w:type="dxa"/>
          </w:tcPr>
          <w:p w:rsidR="009D57B5" w:rsidRPr="009D57B5" w:rsidRDefault="009D57B5" w:rsidP="009D57B5">
            <w:pPr>
              <w:rPr>
                <w:rFonts w:cs="Frankruhel" w:hint="cs"/>
                <w:rtl/>
              </w:rPr>
            </w:pPr>
            <w:r>
              <w:rPr>
                <w:rtl/>
              </w:rPr>
              <w:t>הגדרה</w:t>
            </w:r>
          </w:p>
        </w:tc>
        <w:tc>
          <w:tcPr>
            <w:tcW w:w="567" w:type="dxa"/>
          </w:tcPr>
          <w:p w:rsidR="009D57B5" w:rsidRPr="009D57B5" w:rsidRDefault="009D57B5" w:rsidP="009D57B5">
            <w:pPr>
              <w:rPr>
                <w:rStyle w:val="Hyperlink"/>
                <w:rFonts w:hint="cs"/>
                <w:rtl/>
              </w:rPr>
            </w:pPr>
            <w:hyperlink w:anchor="Seif1" w:tooltip="הגדרה" w:history="1">
              <w:r w:rsidRPr="009D57B5">
                <w:rPr>
                  <w:rStyle w:val="Hyperlink"/>
                </w:rPr>
                <w:t>Go</w:t>
              </w:r>
            </w:hyperlink>
          </w:p>
        </w:tc>
        <w:tc>
          <w:tcPr>
            <w:tcW w:w="850" w:type="dxa"/>
          </w:tcPr>
          <w:p w:rsidR="009D57B5" w:rsidRPr="009D57B5" w:rsidRDefault="009D57B5" w:rsidP="009D57B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D57B5" w:rsidRPr="009D57B5">
        <w:tblPrEx>
          <w:tblCellMar>
            <w:top w:w="0" w:type="dxa"/>
            <w:bottom w:w="0" w:type="dxa"/>
          </w:tblCellMar>
        </w:tblPrEx>
        <w:tc>
          <w:tcPr>
            <w:tcW w:w="1247" w:type="dxa"/>
          </w:tcPr>
          <w:p w:rsidR="009D57B5" w:rsidRPr="009D57B5" w:rsidRDefault="009D57B5" w:rsidP="009D57B5">
            <w:pPr>
              <w:rPr>
                <w:rFonts w:cs="Frankruhel" w:hint="cs"/>
                <w:rtl/>
              </w:rPr>
            </w:pPr>
            <w:r>
              <w:rPr>
                <w:rtl/>
              </w:rPr>
              <w:t xml:space="preserve">סעיף 2 </w:t>
            </w:r>
          </w:p>
        </w:tc>
        <w:tc>
          <w:tcPr>
            <w:tcW w:w="5669" w:type="dxa"/>
          </w:tcPr>
          <w:p w:rsidR="009D57B5" w:rsidRPr="009D57B5" w:rsidRDefault="009D57B5" w:rsidP="009D57B5">
            <w:pPr>
              <w:rPr>
                <w:rFonts w:cs="Frankruhel" w:hint="cs"/>
                <w:rtl/>
              </w:rPr>
            </w:pPr>
            <w:r>
              <w:rPr>
                <w:rtl/>
              </w:rPr>
              <w:t>חובת תשלום אגרה</w:t>
            </w:r>
          </w:p>
        </w:tc>
        <w:tc>
          <w:tcPr>
            <w:tcW w:w="567" w:type="dxa"/>
          </w:tcPr>
          <w:p w:rsidR="009D57B5" w:rsidRPr="009D57B5" w:rsidRDefault="009D57B5" w:rsidP="009D57B5">
            <w:pPr>
              <w:rPr>
                <w:rStyle w:val="Hyperlink"/>
                <w:rFonts w:hint="cs"/>
                <w:rtl/>
              </w:rPr>
            </w:pPr>
            <w:hyperlink w:anchor="Seif2" w:tooltip="חובת תשלום אגרה" w:history="1">
              <w:r w:rsidRPr="009D57B5">
                <w:rPr>
                  <w:rStyle w:val="Hyperlink"/>
                </w:rPr>
                <w:t>Go</w:t>
              </w:r>
            </w:hyperlink>
          </w:p>
        </w:tc>
        <w:tc>
          <w:tcPr>
            <w:tcW w:w="850" w:type="dxa"/>
          </w:tcPr>
          <w:p w:rsidR="009D57B5" w:rsidRPr="009D57B5" w:rsidRDefault="009D57B5" w:rsidP="009D57B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D57B5" w:rsidRPr="009D57B5">
        <w:tblPrEx>
          <w:tblCellMar>
            <w:top w:w="0" w:type="dxa"/>
            <w:bottom w:w="0" w:type="dxa"/>
          </w:tblCellMar>
        </w:tblPrEx>
        <w:tc>
          <w:tcPr>
            <w:tcW w:w="1247" w:type="dxa"/>
          </w:tcPr>
          <w:p w:rsidR="009D57B5" w:rsidRPr="009D57B5" w:rsidRDefault="009D57B5" w:rsidP="009D57B5">
            <w:pPr>
              <w:rPr>
                <w:rFonts w:cs="Frankruhel" w:hint="cs"/>
                <w:rtl/>
              </w:rPr>
            </w:pPr>
            <w:r>
              <w:rPr>
                <w:rtl/>
              </w:rPr>
              <w:t xml:space="preserve">סעיף 3 </w:t>
            </w:r>
          </w:p>
        </w:tc>
        <w:tc>
          <w:tcPr>
            <w:tcW w:w="5669" w:type="dxa"/>
          </w:tcPr>
          <w:p w:rsidR="009D57B5" w:rsidRPr="009D57B5" w:rsidRDefault="009D57B5" w:rsidP="009D57B5">
            <w:pPr>
              <w:rPr>
                <w:rFonts w:cs="Frankruhel" w:hint="cs"/>
                <w:rtl/>
              </w:rPr>
            </w:pPr>
            <w:r>
              <w:rPr>
                <w:rtl/>
              </w:rPr>
              <w:t>תחולת תקנות בתי המשפט</w:t>
            </w:r>
          </w:p>
        </w:tc>
        <w:tc>
          <w:tcPr>
            <w:tcW w:w="567" w:type="dxa"/>
          </w:tcPr>
          <w:p w:rsidR="009D57B5" w:rsidRPr="009D57B5" w:rsidRDefault="009D57B5" w:rsidP="009D57B5">
            <w:pPr>
              <w:rPr>
                <w:rStyle w:val="Hyperlink"/>
                <w:rFonts w:hint="cs"/>
                <w:rtl/>
              </w:rPr>
            </w:pPr>
            <w:hyperlink w:anchor="Seif3" w:tooltip="תחולת תקנות בתי המשפט" w:history="1">
              <w:r w:rsidRPr="009D57B5">
                <w:rPr>
                  <w:rStyle w:val="Hyperlink"/>
                </w:rPr>
                <w:t>Go</w:t>
              </w:r>
            </w:hyperlink>
          </w:p>
        </w:tc>
        <w:tc>
          <w:tcPr>
            <w:tcW w:w="850" w:type="dxa"/>
          </w:tcPr>
          <w:p w:rsidR="009D57B5" w:rsidRPr="009D57B5" w:rsidRDefault="009D57B5" w:rsidP="009D57B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9D57B5" w:rsidRPr="009D57B5">
        <w:tblPrEx>
          <w:tblCellMar>
            <w:top w:w="0" w:type="dxa"/>
            <w:bottom w:w="0" w:type="dxa"/>
          </w:tblCellMar>
        </w:tblPrEx>
        <w:tc>
          <w:tcPr>
            <w:tcW w:w="1247" w:type="dxa"/>
          </w:tcPr>
          <w:p w:rsidR="009D57B5" w:rsidRPr="009D57B5" w:rsidRDefault="009D57B5" w:rsidP="009D57B5">
            <w:pPr>
              <w:rPr>
                <w:rFonts w:cs="Frankruhel" w:hint="cs"/>
                <w:rtl/>
              </w:rPr>
            </w:pPr>
            <w:r>
              <w:rPr>
                <w:rtl/>
              </w:rPr>
              <w:t xml:space="preserve">סעיף 4 </w:t>
            </w:r>
          </w:p>
        </w:tc>
        <w:tc>
          <w:tcPr>
            <w:tcW w:w="5669" w:type="dxa"/>
          </w:tcPr>
          <w:p w:rsidR="009D57B5" w:rsidRPr="009D57B5" w:rsidRDefault="009D57B5" w:rsidP="009D57B5">
            <w:pPr>
              <w:rPr>
                <w:rFonts w:cs="Frankruhel" w:hint="cs"/>
                <w:rtl/>
              </w:rPr>
            </w:pPr>
            <w:r>
              <w:rPr>
                <w:rtl/>
              </w:rPr>
              <w:t>תחילה ותחולה</w:t>
            </w:r>
          </w:p>
        </w:tc>
        <w:tc>
          <w:tcPr>
            <w:tcW w:w="567" w:type="dxa"/>
          </w:tcPr>
          <w:p w:rsidR="009D57B5" w:rsidRPr="009D57B5" w:rsidRDefault="009D57B5" w:rsidP="009D57B5">
            <w:pPr>
              <w:rPr>
                <w:rStyle w:val="Hyperlink"/>
                <w:rFonts w:hint="cs"/>
                <w:rtl/>
              </w:rPr>
            </w:pPr>
            <w:hyperlink w:anchor="Seif4" w:tooltip="תחילה ותחולה" w:history="1">
              <w:r w:rsidRPr="009D57B5">
                <w:rPr>
                  <w:rStyle w:val="Hyperlink"/>
                </w:rPr>
                <w:t>Go</w:t>
              </w:r>
            </w:hyperlink>
          </w:p>
        </w:tc>
        <w:tc>
          <w:tcPr>
            <w:tcW w:w="850" w:type="dxa"/>
          </w:tcPr>
          <w:p w:rsidR="009D57B5" w:rsidRPr="009D57B5" w:rsidRDefault="009D57B5" w:rsidP="009D57B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bl>
    <w:p w:rsidR="000A51DD" w:rsidRDefault="000A51DD">
      <w:pPr>
        <w:pStyle w:val="big-header"/>
        <w:ind w:left="0" w:right="1134"/>
        <w:rPr>
          <w:rFonts w:cs="FrankRuehl" w:hint="cs"/>
          <w:sz w:val="32"/>
          <w:rtl/>
        </w:rPr>
      </w:pPr>
    </w:p>
    <w:p w:rsidR="000A51DD" w:rsidRDefault="000A51DD" w:rsidP="00836D15">
      <w:pPr>
        <w:pStyle w:val="big-header"/>
        <w:ind w:left="0" w:right="1134"/>
        <w:rPr>
          <w:rStyle w:val="default"/>
          <w:rFonts w:hint="cs"/>
          <w:sz w:val="22"/>
          <w:szCs w:val="22"/>
          <w:rtl/>
        </w:rPr>
      </w:pPr>
      <w:r>
        <w:rPr>
          <w:rFonts w:cs="FrankRuehl"/>
          <w:sz w:val="32"/>
          <w:rtl/>
        </w:rPr>
        <w:br w:type="page"/>
      </w:r>
      <w:r w:rsidR="00836D15">
        <w:rPr>
          <w:rFonts w:cs="FrankRuehl" w:hint="cs"/>
          <w:sz w:val="32"/>
          <w:rtl/>
        </w:rPr>
        <w:lastRenderedPageBreak/>
        <w:t>תקנות בתי דין מינהליים (אגרות בוועדת הערר לפי חוק שירות הקבע בצבא הגנה לישראל), תשע"א-2010</w:t>
      </w:r>
      <w:r>
        <w:rPr>
          <w:rStyle w:val="default"/>
          <w:sz w:val="22"/>
          <w:szCs w:val="22"/>
          <w:rtl/>
        </w:rPr>
        <w:footnoteReference w:customMarkFollows="1" w:id="1"/>
        <w:t>*</w:t>
      </w:r>
    </w:p>
    <w:p w:rsidR="000A51DD" w:rsidRDefault="000A51DD" w:rsidP="00836D15">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לפי </w:t>
      </w:r>
      <w:r w:rsidR="00836D15">
        <w:rPr>
          <w:rStyle w:val="default"/>
          <w:rFonts w:cs="FrankRuehl" w:hint="cs"/>
          <w:rtl/>
        </w:rPr>
        <w:t xml:space="preserve">סעיף 54(ב)(9) לחוק בתי דין מינהליים, התשנ"ב-1992, ולפי סעיף 15 לחוק שירות הקבע בצבא ההגנה לישראל (הליכים לעניין החלטות הנוגעות לחיילים בשירות קבע), התש"ע-2010 (להלן </w:t>
      </w:r>
      <w:r w:rsidR="00836D15">
        <w:rPr>
          <w:rStyle w:val="default"/>
          <w:rFonts w:cs="FrankRuehl"/>
          <w:rtl/>
        </w:rPr>
        <w:t>–</w:t>
      </w:r>
      <w:r w:rsidR="00836D15">
        <w:rPr>
          <w:rStyle w:val="default"/>
          <w:rFonts w:cs="FrankRuehl" w:hint="cs"/>
          <w:rtl/>
        </w:rPr>
        <w:t xml:space="preserve"> חוק שירות הקבע), בהתייעצות עם המועצה לבתי דין מינהליים ועם שר הביטחון לפי סעיף 15(ב) לחוק שירות הקבע, באישור שר האוצר לפי סעיף 39ב לחוק יסודות התקציב, התשמ"ה-1985, ובאישור ועדת החוקה חוק ומשפט של הכנסת, אני מתקין תקנות אלה</w:t>
      </w:r>
      <w:r>
        <w:rPr>
          <w:rStyle w:val="default"/>
          <w:rFonts w:cs="FrankRuehl"/>
          <w:rtl/>
        </w:rPr>
        <w:t>:</w:t>
      </w:r>
    </w:p>
    <w:p w:rsidR="000A51DD" w:rsidRDefault="000A51DD" w:rsidP="00836D15">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5.95pt;z-index:251656192" o:allowincell="f" filled="f" stroked="f" strokecolor="lime" strokeweight=".25pt">
            <v:textbox style="mso-next-textbox:#_x0000_s1026" inset="0,0,0,0">
              <w:txbxContent>
                <w:p w:rsidR="000A51DD" w:rsidRDefault="00836D15">
                  <w:pPr>
                    <w:spacing w:line="160" w:lineRule="exact"/>
                    <w:rPr>
                      <w:rFonts w:cs="Miriam" w:hint="cs"/>
                      <w:noProof/>
                      <w:sz w:val="18"/>
                      <w:szCs w:val="18"/>
                      <w:rtl/>
                    </w:rPr>
                  </w:pPr>
                  <w:r>
                    <w:rPr>
                      <w:rFonts w:cs="Miriam" w:hint="cs"/>
                      <w:sz w:val="18"/>
                      <w:szCs w:val="18"/>
                      <w:rtl/>
                    </w:rPr>
                    <w:t>הגדרה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36D15">
        <w:rPr>
          <w:rStyle w:val="default"/>
          <w:rFonts w:cs="FrankRuehl" w:hint="cs"/>
          <w:rtl/>
        </w:rPr>
        <w:t xml:space="preserve">בתקנות אלה, "בית דין מינהלי" </w:t>
      </w:r>
      <w:r w:rsidR="00836D15">
        <w:rPr>
          <w:rStyle w:val="default"/>
          <w:rFonts w:cs="FrankRuehl"/>
          <w:rtl/>
        </w:rPr>
        <w:t>–</w:t>
      </w:r>
      <w:r w:rsidR="00836D15">
        <w:rPr>
          <w:rStyle w:val="default"/>
          <w:rFonts w:cs="FrankRuehl" w:hint="cs"/>
          <w:rtl/>
        </w:rPr>
        <w:t xml:space="preserve"> בית דין מינהלי המנוי בתוספת.</w:t>
      </w:r>
    </w:p>
    <w:p w:rsidR="001E4F60" w:rsidRDefault="001E4F60" w:rsidP="00836D15">
      <w:pPr>
        <w:pStyle w:val="P00"/>
        <w:spacing w:before="72"/>
        <w:ind w:left="0" w:right="1134"/>
        <w:rPr>
          <w:rStyle w:val="default"/>
          <w:rFonts w:cs="FrankRuehl" w:hint="cs"/>
          <w:rtl/>
        </w:rPr>
      </w:pPr>
      <w:bookmarkStart w:id="1" w:name="Seif2"/>
      <w:bookmarkEnd w:id="1"/>
      <w:r>
        <w:rPr>
          <w:rFonts w:cs="Miriam"/>
          <w:lang w:val="he-IL"/>
        </w:rPr>
        <w:pict>
          <v:rect id="_x0000_s1357" style="position:absolute;left:0;text-align:left;margin-left:464.35pt;margin-top:7.1pt;width:75.05pt;height:16.95pt;z-index:251657216" o:allowincell="f" filled="f" stroked="f" strokecolor="lime" strokeweight=".25pt">
            <v:textbox style="mso-next-textbox:#_x0000_s1357" inset="0,0,0,0">
              <w:txbxContent>
                <w:p w:rsidR="001E4F60" w:rsidRDefault="00836D15" w:rsidP="001E4F60">
                  <w:pPr>
                    <w:spacing w:line="160" w:lineRule="exact"/>
                    <w:rPr>
                      <w:rFonts w:cs="Miriam" w:hint="cs"/>
                      <w:noProof/>
                      <w:sz w:val="18"/>
                      <w:szCs w:val="18"/>
                      <w:rtl/>
                    </w:rPr>
                  </w:pPr>
                  <w:r>
                    <w:rPr>
                      <w:rFonts w:cs="Miriam" w:hint="cs"/>
                      <w:sz w:val="18"/>
                      <w:szCs w:val="18"/>
                      <w:rtl/>
                    </w:rPr>
                    <w:t>חובת תשלום אגרה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836D15">
        <w:rPr>
          <w:rStyle w:val="default"/>
          <w:rFonts w:cs="FrankRuehl" w:hint="cs"/>
          <w:rtl/>
        </w:rPr>
        <w:t>(א)</w:t>
      </w:r>
      <w:r w:rsidR="00836D15">
        <w:rPr>
          <w:rStyle w:val="default"/>
          <w:rFonts w:cs="FrankRuehl" w:hint="cs"/>
          <w:rtl/>
        </w:rPr>
        <w:tab/>
        <w:t>המגיש ערר לבית דין מינהלי, ישלם עם הגשתו לראשונה, את האגרה הקבועה בתוספת, והוא כשאין הוראה אחרת בכל דין</w:t>
      </w:r>
      <w:r>
        <w:rPr>
          <w:rStyle w:val="default"/>
          <w:rFonts w:cs="FrankRuehl" w:hint="cs"/>
          <w:rtl/>
        </w:rPr>
        <w:t>.</w:t>
      </w:r>
    </w:p>
    <w:p w:rsidR="00836D15" w:rsidRDefault="00836D15" w:rsidP="00836D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יזקק בית דין מינהלי לערר, אלא אם כן שולמה האגרה החלה או שמגיש הערר פטור מתשלום האגרה.</w:t>
      </w:r>
    </w:p>
    <w:p w:rsidR="00836D15" w:rsidRDefault="00836D15" w:rsidP="00836D1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בוטל או נמחקק הערר בידי מגישו בטרם התקיים דיון בבית דין מינהלי </w:t>
      </w:r>
      <w:r>
        <w:rPr>
          <w:rStyle w:val="default"/>
          <w:rFonts w:cs="FrankRuehl"/>
          <w:rtl/>
        </w:rPr>
        <w:t>–</w:t>
      </w:r>
      <w:r>
        <w:rPr>
          <w:rStyle w:val="default"/>
          <w:rFonts w:cs="FrankRuehl" w:hint="cs"/>
          <w:rtl/>
        </w:rPr>
        <w:t xml:space="preserve"> תושב האגרה ששולמה בתוספת הפרשי הצמדה כאמור בתקנה 17 לתקנות בתי המשפט (אגרות), התשס"ז-2007 (להלן </w:t>
      </w:r>
      <w:r>
        <w:rPr>
          <w:rStyle w:val="default"/>
          <w:rFonts w:cs="FrankRuehl"/>
          <w:rtl/>
        </w:rPr>
        <w:t>–</w:t>
      </w:r>
      <w:r>
        <w:rPr>
          <w:rStyle w:val="default"/>
          <w:rFonts w:cs="FrankRuehl" w:hint="cs"/>
          <w:rtl/>
        </w:rPr>
        <w:t xml:space="preserve"> תקנות האגרות).</w:t>
      </w:r>
    </w:p>
    <w:p w:rsidR="00836D15" w:rsidRDefault="00836D15" w:rsidP="00836D1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1E1C1D">
        <w:rPr>
          <w:rStyle w:val="default"/>
          <w:rFonts w:cs="FrankRuehl" w:hint="cs"/>
          <w:rtl/>
        </w:rPr>
        <w:t>הסתיים הליך הערר לפני שהסתיימה הישיבה השלישית של בית דין מינהלי, בדונו בערר, ונתקיים אחד מאלה, ינוכה מהאגרה ששולמה, כערכה במועד התשלום, סכום בסך שליש מערכה, כערכו במועד התשלום ויתרת האגרה ששולמה תוחזר, בתוספת הפרשי הצמדה על היתרה כאמור בתקנה 17 לתקנות האגרות:</w:t>
      </w:r>
    </w:p>
    <w:p w:rsidR="001E1C1D" w:rsidRDefault="001E1C1D" w:rsidP="001E1C1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ההליך בוטל או נמחק בידי מגישו;</w:t>
      </w:r>
    </w:p>
    <w:p w:rsidR="001E1C1D" w:rsidRDefault="001E1C1D" w:rsidP="001E1C1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ההליך הסתיים בפשרה;</w:t>
      </w:r>
    </w:p>
    <w:p w:rsidR="001E1C1D" w:rsidRDefault="001E1C1D" w:rsidP="001E1C1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הסכסוך הנדון הועבר להכרעה בבוררות;</w:t>
      </w:r>
    </w:p>
    <w:p w:rsidR="001E1C1D" w:rsidRDefault="001E1C1D" w:rsidP="001E1C1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הסכסוך הנדון הועבר להליך של גישור ונסתיים בהסדר גישור.</w:t>
      </w:r>
    </w:p>
    <w:p w:rsidR="00836D15" w:rsidRDefault="00836D15" w:rsidP="001E1C1D">
      <w:pPr>
        <w:pStyle w:val="P00"/>
        <w:spacing w:before="72"/>
        <w:ind w:left="0" w:right="1134"/>
        <w:rPr>
          <w:rStyle w:val="default"/>
          <w:rFonts w:cs="FrankRuehl" w:hint="cs"/>
          <w:rtl/>
        </w:rPr>
      </w:pPr>
      <w:bookmarkStart w:id="2" w:name="Seif3"/>
      <w:bookmarkEnd w:id="2"/>
      <w:r>
        <w:rPr>
          <w:rFonts w:cs="Miriam"/>
          <w:lang w:val="he-IL"/>
        </w:rPr>
        <w:pict>
          <v:rect id="_x0000_s1358" style="position:absolute;left:0;text-align:left;margin-left:464.35pt;margin-top:7.1pt;width:75.05pt;height:20.9pt;z-index:251658240" o:allowincell="f" filled="f" stroked="f" strokecolor="lime" strokeweight=".25pt">
            <v:textbox style="mso-next-textbox:#_x0000_s1358" inset="0,0,0,0">
              <w:txbxContent>
                <w:p w:rsidR="00836D15" w:rsidRDefault="001E1C1D" w:rsidP="00836D15">
                  <w:pPr>
                    <w:spacing w:line="160" w:lineRule="exact"/>
                    <w:rPr>
                      <w:rFonts w:cs="Miriam" w:hint="cs"/>
                      <w:noProof/>
                      <w:sz w:val="18"/>
                      <w:szCs w:val="18"/>
                      <w:rtl/>
                    </w:rPr>
                  </w:pPr>
                  <w:r>
                    <w:rPr>
                      <w:rFonts w:cs="Miriam" w:hint="cs"/>
                      <w:sz w:val="18"/>
                      <w:szCs w:val="18"/>
                      <w:rtl/>
                    </w:rPr>
                    <w:t>תחולת תקנות בתי המשפט (אגרות)</w:t>
                  </w:r>
                </w:p>
              </w:txbxContent>
            </v:textbox>
            <w10:anchorlock/>
          </v:rect>
        </w:pict>
      </w:r>
      <w:r w:rsidR="001E1C1D">
        <w:rPr>
          <w:rStyle w:val="big-number"/>
          <w:rFonts w:cs="Miriam" w:hint="cs"/>
          <w:rtl/>
        </w:rPr>
        <w:t>3</w:t>
      </w:r>
      <w:r>
        <w:rPr>
          <w:rStyle w:val="big-number"/>
          <w:rFonts w:cs="FrankRuehl"/>
          <w:sz w:val="26"/>
          <w:szCs w:val="26"/>
          <w:rtl/>
        </w:rPr>
        <w:t>.</w:t>
      </w:r>
      <w:r>
        <w:rPr>
          <w:rStyle w:val="big-number"/>
          <w:rFonts w:cs="FrankRuehl"/>
          <w:sz w:val="26"/>
          <w:szCs w:val="26"/>
          <w:rtl/>
        </w:rPr>
        <w:tab/>
      </w:r>
      <w:r w:rsidR="001E1C1D">
        <w:rPr>
          <w:rStyle w:val="default"/>
          <w:rFonts w:cs="FrankRuehl" w:hint="cs"/>
          <w:rtl/>
        </w:rPr>
        <w:t>על אגרה לפי תקנות אלה יחולו תקנות 2, 11 עד 14, 17, 19 ו-20(1) עד (6), (19), (20) ו-(22) לתקנות האגרות, בשינויים המחויבים</w:t>
      </w:r>
      <w:r>
        <w:rPr>
          <w:rStyle w:val="default"/>
          <w:rFonts w:cs="FrankRuehl" w:hint="cs"/>
          <w:rtl/>
        </w:rPr>
        <w:t>.</w:t>
      </w:r>
    </w:p>
    <w:p w:rsidR="00836D15" w:rsidRDefault="00836D15" w:rsidP="001E1C1D">
      <w:pPr>
        <w:pStyle w:val="P00"/>
        <w:spacing w:before="72"/>
        <w:ind w:left="0" w:right="1134"/>
        <w:rPr>
          <w:rStyle w:val="default"/>
          <w:rFonts w:cs="FrankRuehl" w:hint="cs"/>
          <w:rtl/>
        </w:rPr>
      </w:pPr>
      <w:bookmarkStart w:id="3" w:name="Seif4"/>
      <w:bookmarkEnd w:id="3"/>
      <w:r>
        <w:rPr>
          <w:rFonts w:cs="Miriam"/>
          <w:lang w:val="he-IL"/>
        </w:rPr>
        <w:pict>
          <v:rect id="_x0000_s1359" style="position:absolute;left:0;text-align:left;margin-left:464.35pt;margin-top:7.1pt;width:75.05pt;height:15pt;z-index:251659264" o:allowincell="f" filled="f" stroked="f" strokecolor="lime" strokeweight=".25pt">
            <v:textbox style="mso-next-textbox:#_x0000_s1359" inset="0,0,0,0">
              <w:txbxContent>
                <w:p w:rsidR="00836D15" w:rsidRDefault="001E1C1D" w:rsidP="00836D15">
                  <w:pPr>
                    <w:spacing w:line="160" w:lineRule="exact"/>
                    <w:rPr>
                      <w:rFonts w:cs="Miriam" w:hint="cs"/>
                      <w:noProof/>
                      <w:sz w:val="18"/>
                      <w:szCs w:val="18"/>
                      <w:rtl/>
                    </w:rPr>
                  </w:pPr>
                  <w:r>
                    <w:rPr>
                      <w:rFonts w:cs="Miriam" w:hint="cs"/>
                      <w:sz w:val="18"/>
                      <w:szCs w:val="18"/>
                      <w:rtl/>
                    </w:rPr>
                    <w:t>תחילה ותחולה</w:t>
                  </w:r>
                </w:p>
              </w:txbxContent>
            </v:textbox>
            <w10:anchorlock/>
          </v:rect>
        </w:pict>
      </w:r>
      <w:r w:rsidR="001E1C1D">
        <w:rPr>
          <w:rStyle w:val="big-number"/>
          <w:rFonts w:cs="Miriam" w:hint="cs"/>
          <w:rtl/>
        </w:rPr>
        <w:t>4</w:t>
      </w:r>
      <w:r>
        <w:rPr>
          <w:rStyle w:val="big-number"/>
          <w:rFonts w:cs="FrankRuehl"/>
          <w:sz w:val="26"/>
          <w:szCs w:val="26"/>
          <w:rtl/>
        </w:rPr>
        <w:t>.</w:t>
      </w:r>
      <w:r>
        <w:rPr>
          <w:rStyle w:val="big-number"/>
          <w:rFonts w:cs="FrankRuehl"/>
          <w:sz w:val="26"/>
          <w:szCs w:val="26"/>
          <w:rtl/>
        </w:rPr>
        <w:tab/>
      </w:r>
      <w:r w:rsidR="001E1C1D">
        <w:rPr>
          <w:rStyle w:val="default"/>
          <w:rFonts w:cs="FrankRuehl" w:hint="cs"/>
          <w:rtl/>
        </w:rPr>
        <w:t xml:space="preserve">תחילתן של תקנות אלו ביום פרסומן (להלן </w:t>
      </w:r>
      <w:r w:rsidR="001E1C1D">
        <w:rPr>
          <w:rStyle w:val="default"/>
          <w:rFonts w:cs="FrankRuehl"/>
          <w:rtl/>
        </w:rPr>
        <w:t>–</w:t>
      </w:r>
      <w:r w:rsidR="001E1C1D">
        <w:rPr>
          <w:rStyle w:val="default"/>
          <w:rFonts w:cs="FrankRuehl" w:hint="cs"/>
          <w:rtl/>
        </w:rPr>
        <w:t xml:space="preserve"> יום התחילה) והן יחולו על עררים שיוגשו ביום התחילה או לאחריו</w:t>
      </w:r>
      <w:r>
        <w:rPr>
          <w:rStyle w:val="default"/>
          <w:rFonts w:cs="FrankRuehl" w:hint="cs"/>
          <w:rtl/>
        </w:rPr>
        <w:t>.</w:t>
      </w:r>
    </w:p>
    <w:p w:rsidR="000A51DD" w:rsidRDefault="000A51DD">
      <w:pPr>
        <w:pStyle w:val="P00"/>
        <w:spacing w:before="72"/>
        <w:ind w:left="0" w:right="1134"/>
        <w:rPr>
          <w:rStyle w:val="default"/>
          <w:rFonts w:cs="FrankRuehl" w:hint="cs"/>
          <w:rtl/>
        </w:rPr>
      </w:pPr>
    </w:p>
    <w:p w:rsidR="00836D15" w:rsidRPr="001E1C1D" w:rsidRDefault="00836D15" w:rsidP="001E1C1D">
      <w:pPr>
        <w:pStyle w:val="P00"/>
        <w:spacing w:before="72"/>
        <w:ind w:left="0" w:right="1134"/>
        <w:jc w:val="center"/>
        <w:rPr>
          <w:rStyle w:val="default"/>
          <w:rFonts w:cs="FrankRuehl" w:hint="cs"/>
          <w:b/>
          <w:bCs/>
          <w:rtl/>
        </w:rPr>
      </w:pPr>
      <w:r w:rsidRPr="001E1C1D">
        <w:rPr>
          <w:rStyle w:val="default"/>
          <w:rFonts w:cs="FrankRuehl" w:hint="cs"/>
          <w:b/>
          <w:bCs/>
          <w:rtl/>
        </w:rPr>
        <w:t>תוספת</w:t>
      </w:r>
    </w:p>
    <w:p w:rsidR="00836D15" w:rsidRPr="001E1C1D" w:rsidRDefault="001E1C1D" w:rsidP="001E1C1D">
      <w:pPr>
        <w:pStyle w:val="P00"/>
        <w:spacing w:before="72"/>
        <w:ind w:left="0" w:right="1134"/>
        <w:jc w:val="center"/>
        <w:rPr>
          <w:rStyle w:val="default"/>
          <w:rFonts w:cs="FrankRuehl" w:hint="cs"/>
          <w:sz w:val="24"/>
          <w:szCs w:val="24"/>
          <w:rtl/>
        </w:rPr>
      </w:pPr>
      <w:r w:rsidRPr="001E1C1D">
        <w:rPr>
          <w:rStyle w:val="default"/>
          <w:rFonts w:cs="FrankRuehl" w:hint="cs"/>
          <w:sz w:val="24"/>
          <w:szCs w:val="24"/>
          <w:rtl/>
        </w:rPr>
        <w:t>(תקנות 1 ו-2(א))</w:t>
      </w:r>
    </w:p>
    <w:p w:rsidR="001E1C1D" w:rsidRPr="001E1C1D" w:rsidRDefault="001E1C1D" w:rsidP="001E1C1D">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954"/>
        </w:tabs>
        <w:spacing w:before="72"/>
        <w:ind w:left="0" w:right="1134"/>
        <w:rPr>
          <w:rStyle w:val="default"/>
          <w:rFonts w:cs="FrankRuehl" w:hint="cs"/>
          <w:sz w:val="22"/>
          <w:szCs w:val="22"/>
          <w:rtl/>
        </w:rPr>
      </w:pPr>
      <w:r w:rsidRPr="001E1C1D">
        <w:rPr>
          <w:rStyle w:val="default"/>
          <w:rFonts w:cs="FrankRuehl" w:hint="cs"/>
          <w:sz w:val="22"/>
          <w:szCs w:val="22"/>
          <w:rtl/>
        </w:rPr>
        <w:tab/>
        <w:t>בית הדין המינהלי</w:t>
      </w:r>
      <w:r w:rsidRPr="001E1C1D">
        <w:rPr>
          <w:rStyle w:val="default"/>
          <w:rFonts w:cs="FrankRuehl" w:hint="cs"/>
          <w:sz w:val="22"/>
          <w:szCs w:val="22"/>
          <w:rtl/>
        </w:rPr>
        <w:tab/>
        <w:t>אגרה בשקלים חדשים</w:t>
      </w:r>
    </w:p>
    <w:p w:rsidR="001E1C1D" w:rsidRDefault="001E1C1D" w:rsidP="001E1C1D">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hint="cs"/>
          <w:rtl/>
        </w:rPr>
      </w:pPr>
      <w:r>
        <w:rPr>
          <w:rStyle w:val="default"/>
          <w:rFonts w:cs="FrankRuehl" w:hint="cs"/>
          <w:rtl/>
        </w:rPr>
        <w:t>(1)</w:t>
      </w:r>
      <w:r>
        <w:rPr>
          <w:rStyle w:val="default"/>
          <w:rFonts w:cs="FrankRuehl" w:hint="cs"/>
          <w:rtl/>
        </w:rPr>
        <w:tab/>
        <w:t>ועדת הערר שלפי סעיף 3 לחוק</w:t>
      </w:r>
      <w:r>
        <w:rPr>
          <w:rStyle w:val="default"/>
          <w:rFonts w:cs="FrankRuehl" w:hint="cs"/>
          <w:rtl/>
        </w:rPr>
        <w:tab/>
        <w:t xml:space="preserve">הסכום הנקוב בפרט 6 לתוספת לתקנות האגרות </w:t>
      </w:r>
    </w:p>
    <w:p w:rsidR="001E1C1D" w:rsidRDefault="001E1C1D" w:rsidP="001E1C1D">
      <w:pPr>
        <w:pStyle w:val="P00"/>
        <w:tabs>
          <w:tab w:val="clear" w:pos="624"/>
          <w:tab w:val="clear" w:pos="1021"/>
          <w:tab w:val="clear" w:pos="1474"/>
          <w:tab w:val="clear" w:pos="1928"/>
          <w:tab w:val="clear" w:pos="2381"/>
          <w:tab w:val="clear" w:pos="2835"/>
          <w:tab w:val="clear" w:pos="6259"/>
          <w:tab w:val="left" w:pos="397"/>
          <w:tab w:val="left" w:pos="3969"/>
        </w:tabs>
        <w:spacing w:before="0"/>
        <w:ind w:left="397" w:right="1134"/>
        <w:rPr>
          <w:rStyle w:val="default"/>
          <w:rFonts w:cs="FrankRuehl" w:hint="cs"/>
          <w:rtl/>
        </w:rPr>
      </w:pPr>
      <w:r>
        <w:rPr>
          <w:rStyle w:val="default"/>
          <w:rFonts w:cs="FrankRuehl" w:hint="cs"/>
          <w:rtl/>
        </w:rPr>
        <w:t>שירות הקבע</w:t>
      </w:r>
      <w:r>
        <w:rPr>
          <w:rStyle w:val="default"/>
          <w:rFonts w:cs="FrankRuehl" w:hint="cs"/>
          <w:rtl/>
        </w:rPr>
        <w:tab/>
        <w:t>כפי שמתעדכן מזמן לזמן</w:t>
      </w:r>
    </w:p>
    <w:p w:rsidR="00836D15" w:rsidRDefault="00836D15">
      <w:pPr>
        <w:pStyle w:val="P00"/>
        <w:spacing w:before="72"/>
        <w:ind w:left="0" w:right="1134"/>
        <w:rPr>
          <w:rStyle w:val="default"/>
          <w:rFonts w:cs="FrankRuehl" w:hint="cs"/>
          <w:rtl/>
        </w:rPr>
      </w:pPr>
    </w:p>
    <w:p w:rsidR="000A51DD" w:rsidRDefault="000A51DD">
      <w:pPr>
        <w:pStyle w:val="P00"/>
        <w:spacing w:before="72"/>
        <w:ind w:left="0" w:right="1134"/>
        <w:rPr>
          <w:rStyle w:val="default"/>
          <w:rFonts w:cs="FrankRuehl" w:hint="cs"/>
          <w:rtl/>
        </w:rPr>
      </w:pPr>
    </w:p>
    <w:p w:rsidR="000A51DD" w:rsidRDefault="001E1C1D" w:rsidP="001E1C1D">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י"ט בחשוון</w:t>
      </w:r>
      <w:r w:rsidR="00FE583C">
        <w:rPr>
          <w:rStyle w:val="default"/>
          <w:rFonts w:cs="FrankRuehl" w:hint="cs"/>
          <w:rtl/>
        </w:rPr>
        <w:t xml:space="preserve"> התשע"א (</w:t>
      </w:r>
      <w:r>
        <w:rPr>
          <w:rStyle w:val="default"/>
          <w:rFonts w:cs="FrankRuehl" w:hint="cs"/>
          <w:rtl/>
        </w:rPr>
        <w:t>27 באוקטובר</w:t>
      </w:r>
      <w:r w:rsidR="006A0293">
        <w:rPr>
          <w:rStyle w:val="default"/>
          <w:rFonts w:cs="FrankRuehl" w:hint="cs"/>
          <w:rtl/>
        </w:rPr>
        <w:t xml:space="preserve"> 20</w:t>
      </w:r>
      <w:r w:rsidR="00736981">
        <w:rPr>
          <w:rStyle w:val="default"/>
          <w:rFonts w:cs="FrankRuehl" w:hint="cs"/>
          <w:rtl/>
        </w:rPr>
        <w:t>10</w:t>
      </w:r>
      <w:r w:rsidR="000A51DD">
        <w:rPr>
          <w:rStyle w:val="default"/>
          <w:rFonts w:cs="FrankRuehl" w:hint="cs"/>
          <w:rtl/>
        </w:rPr>
        <w:t>)</w:t>
      </w:r>
      <w:r w:rsidR="000A51DD">
        <w:rPr>
          <w:rStyle w:val="default"/>
          <w:rFonts w:cs="FrankRuehl" w:hint="cs"/>
          <w:rtl/>
        </w:rPr>
        <w:tab/>
      </w:r>
      <w:r>
        <w:rPr>
          <w:rStyle w:val="default"/>
          <w:rFonts w:cs="FrankRuehl" w:hint="cs"/>
          <w:rtl/>
        </w:rPr>
        <w:t>בני בגין</w:t>
      </w:r>
    </w:p>
    <w:p w:rsidR="000A51DD" w:rsidRDefault="000A51DD" w:rsidP="001E1C1D">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1E1C1D">
        <w:rPr>
          <w:rFonts w:cs="FrankRuehl" w:hint="cs"/>
          <w:sz w:val="22"/>
          <w:szCs w:val="22"/>
          <w:rtl/>
        </w:rPr>
        <w:t>ממלא מקום שר המשפטים</w:t>
      </w:r>
    </w:p>
    <w:p w:rsidR="00836D15" w:rsidRDefault="00836D15" w:rsidP="006A0293">
      <w:pPr>
        <w:pStyle w:val="P00"/>
        <w:spacing w:before="72"/>
        <w:ind w:left="0" w:right="1134"/>
        <w:rPr>
          <w:rStyle w:val="default"/>
          <w:rFonts w:cs="FrankRuehl" w:hint="cs"/>
          <w:rtl/>
        </w:rPr>
      </w:pPr>
    </w:p>
    <w:p w:rsidR="001E1C1D" w:rsidRPr="006A0293" w:rsidRDefault="001E1C1D" w:rsidP="006A0293">
      <w:pPr>
        <w:pStyle w:val="P00"/>
        <w:spacing w:before="72"/>
        <w:ind w:left="0" w:right="1134"/>
        <w:rPr>
          <w:rStyle w:val="default"/>
          <w:rFonts w:cs="FrankRuehl" w:hint="cs"/>
          <w:rtl/>
        </w:rPr>
      </w:pPr>
    </w:p>
    <w:p w:rsidR="009D57B5" w:rsidRDefault="009D57B5" w:rsidP="006A0293">
      <w:pPr>
        <w:pStyle w:val="P00"/>
        <w:spacing w:before="72"/>
        <w:ind w:left="0" w:right="1134"/>
        <w:rPr>
          <w:rStyle w:val="default"/>
          <w:rFonts w:cs="FrankRuehl"/>
          <w:rtl/>
        </w:rPr>
      </w:pPr>
    </w:p>
    <w:p w:rsidR="009D57B5" w:rsidRDefault="009D57B5" w:rsidP="006A0293">
      <w:pPr>
        <w:pStyle w:val="P00"/>
        <w:spacing w:before="72"/>
        <w:ind w:left="0" w:right="1134"/>
        <w:rPr>
          <w:rStyle w:val="default"/>
          <w:rFonts w:cs="FrankRuehl"/>
          <w:rtl/>
        </w:rPr>
      </w:pPr>
    </w:p>
    <w:p w:rsidR="009D57B5" w:rsidRDefault="009D57B5" w:rsidP="009D57B5">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373414" w:rsidRPr="009D57B5" w:rsidRDefault="00373414" w:rsidP="009D57B5">
      <w:pPr>
        <w:pStyle w:val="P00"/>
        <w:spacing w:before="72"/>
        <w:ind w:left="0" w:right="1134"/>
        <w:jc w:val="center"/>
        <w:rPr>
          <w:rStyle w:val="default"/>
          <w:rFonts w:cs="David" w:hint="cs"/>
          <w:color w:val="0000FF"/>
          <w:szCs w:val="24"/>
          <w:u w:val="single"/>
          <w:rtl/>
        </w:rPr>
      </w:pPr>
    </w:p>
    <w:sectPr w:rsidR="00373414" w:rsidRPr="009D57B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36D1" w:rsidRDefault="00EC36D1">
      <w:r>
        <w:separator/>
      </w:r>
    </w:p>
  </w:endnote>
  <w:endnote w:type="continuationSeparator" w:id="0">
    <w:p w:rsidR="00EC36D1" w:rsidRDefault="00EC3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1DD" w:rsidRDefault="000A51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A51DD" w:rsidRDefault="000A51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A51DD" w:rsidRDefault="000A51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D57B5">
      <w:rPr>
        <w:rFonts w:cs="TopType Jerushalmi"/>
        <w:noProof/>
        <w:color w:val="000000"/>
        <w:sz w:val="14"/>
        <w:szCs w:val="14"/>
      </w:rPr>
      <w:t>Z:\000-law\yael\10-12-15\tav\500_412.doc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1DD" w:rsidRDefault="000A51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D57B5">
      <w:rPr>
        <w:rFonts w:hAnsi="FrankRuehl" w:cs="FrankRuehl"/>
        <w:noProof/>
        <w:sz w:val="24"/>
        <w:szCs w:val="24"/>
        <w:rtl/>
      </w:rPr>
      <w:t>2</w:t>
    </w:r>
    <w:r>
      <w:rPr>
        <w:rFonts w:hAnsi="FrankRuehl" w:cs="FrankRuehl"/>
        <w:sz w:val="24"/>
        <w:szCs w:val="24"/>
        <w:rtl/>
      </w:rPr>
      <w:fldChar w:fldCharType="end"/>
    </w:r>
  </w:p>
  <w:p w:rsidR="000A51DD" w:rsidRDefault="000A51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A51DD" w:rsidRDefault="000A51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D57B5">
      <w:rPr>
        <w:rFonts w:cs="TopType Jerushalmi"/>
        <w:noProof/>
        <w:color w:val="000000"/>
        <w:sz w:val="14"/>
        <w:szCs w:val="14"/>
      </w:rPr>
      <w:t>Z:\000-law\yael\10-12-15\tav\500_412.doc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36D1" w:rsidRDefault="00EC36D1">
      <w:pPr>
        <w:pStyle w:val="a5"/>
        <w:rPr>
          <w:rFonts w:cs="David"/>
          <w:sz w:val="24"/>
          <w:szCs w:val="24"/>
        </w:rPr>
      </w:pPr>
      <w:r>
        <w:separator/>
      </w:r>
    </w:p>
  </w:footnote>
  <w:footnote w:type="continuationSeparator" w:id="0">
    <w:p w:rsidR="00EC36D1" w:rsidRDefault="00EC36D1">
      <w:r>
        <w:continuationSeparator/>
      </w:r>
    </w:p>
  </w:footnote>
  <w:footnote w:id="1">
    <w:p w:rsidR="0079348B" w:rsidRDefault="000A51DD" w:rsidP="0079348B">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w:t>
      </w:r>
      <w:r w:rsidR="00D33732">
        <w:rPr>
          <w:rFonts w:cs="FrankRuehl" w:hint="cs"/>
          <w:rtl/>
        </w:rPr>
        <w:t>מו</w:t>
      </w:r>
      <w:r>
        <w:rPr>
          <w:rFonts w:cs="FrankRuehl" w:hint="cs"/>
          <w:rtl/>
        </w:rPr>
        <w:t xml:space="preserve"> </w:t>
      </w:r>
      <w:hyperlink r:id="rId1" w:history="1">
        <w:r w:rsidRPr="0079348B">
          <w:rPr>
            <w:rStyle w:val="Hyperlink"/>
            <w:rFonts w:cs="FrankRuehl" w:hint="cs"/>
            <w:rtl/>
          </w:rPr>
          <w:t>ק"ת תש</w:t>
        </w:r>
        <w:r w:rsidR="006A0293" w:rsidRPr="0079348B">
          <w:rPr>
            <w:rStyle w:val="Hyperlink"/>
            <w:rFonts w:cs="FrankRuehl" w:hint="cs"/>
            <w:rtl/>
          </w:rPr>
          <w:t>ע</w:t>
        </w:r>
        <w:r w:rsidR="00FE583C" w:rsidRPr="0079348B">
          <w:rPr>
            <w:rStyle w:val="Hyperlink"/>
            <w:rFonts w:cs="FrankRuehl" w:hint="cs"/>
            <w:rtl/>
          </w:rPr>
          <w:t>"א</w:t>
        </w:r>
        <w:r w:rsidRPr="0079348B">
          <w:rPr>
            <w:rStyle w:val="Hyperlink"/>
            <w:rFonts w:cs="FrankRuehl" w:hint="cs"/>
            <w:rtl/>
          </w:rPr>
          <w:t xml:space="preserve"> מס' </w:t>
        </w:r>
        <w:r w:rsidR="00FE583C" w:rsidRPr="0079348B">
          <w:rPr>
            <w:rStyle w:val="Hyperlink"/>
            <w:rFonts w:cs="FrankRuehl" w:hint="cs"/>
            <w:rtl/>
          </w:rPr>
          <w:t>694</w:t>
        </w:r>
        <w:r w:rsidR="00836D15" w:rsidRPr="0079348B">
          <w:rPr>
            <w:rStyle w:val="Hyperlink"/>
            <w:rFonts w:cs="FrankRuehl" w:hint="cs"/>
            <w:rtl/>
          </w:rPr>
          <w:t>9</w:t>
        </w:r>
      </w:hyperlink>
      <w:r>
        <w:rPr>
          <w:rFonts w:cs="FrankRuehl" w:hint="cs"/>
          <w:rtl/>
        </w:rPr>
        <w:t xml:space="preserve"> מיום </w:t>
      </w:r>
      <w:r w:rsidR="00836D15">
        <w:rPr>
          <w:rFonts w:cs="FrankRuehl" w:hint="cs"/>
          <w:rtl/>
        </w:rPr>
        <w:t>13</w:t>
      </w:r>
      <w:r w:rsidR="00D33732">
        <w:rPr>
          <w:rFonts w:cs="FrankRuehl" w:hint="cs"/>
          <w:rtl/>
        </w:rPr>
        <w:t>.12</w:t>
      </w:r>
      <w:r w:rsidR="006A0293">
        <w:rPr>
          <w:rFonts w:cs="FrankRuehl" w:hint="cs"/>
          <w:rtl/>
        </w:rPr>
        <w:t>.2010</w:t>
      </w:r>
      <w:r>
        <w:rPr>
          <w:rFonts w:cs="FrankRuehl" w:hint="cs"/>
          <w:rtl/>
        </w:rPr>
        <w:t xml:space="preserve"> עמ' </w:t>
      </w:r>
      <w:r w:rsidR="00D33732">
        <w:rPr>
          <w:rFonts w:cs="FrankRuehl" w:hint="cs"/>
          <w:rtl/>
        </w:rPr>
        <w:t>2</w:t>
      </w:r>
      <w:r w:rsidR="00836D15">
        <w:rPr>
          <w:rFonts w:cs="FrankRuehl" w:hint="cs"/>
          <w:rtl/>
        </w:rPr>
        <w:t>5</w:t>
      </w:r>
      <w:r w:rsidR="00D33732">
        <w:rPr>
          <w:rFonts w:cs="FrankRuehl" w:hint="cs"/>
          <w:rtl/>
        </w:rPr>
        <w:t>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1DD" w:rsidRDefault="000A51D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51DD" w:rsidRDefault="00D33732" w:rsidP="00836D1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836D15">
      <w:rPr>
        <w:rFonts w:hAnsi="FrankRuehl" w:cs="FrankRuehl" w:hint="cs"/>
        <w:color w:val="000000"/>
        <w:sz w:val="28"/>
        <w:szCs w:val="28"/>
        <w:rtl/>
      </w:rPr>
      <w:t>בתי דין מינהליים (אגרות בוועדת הערר לפי חוק שירות הקבע בצבא הגנה לישראל</w:t>
    </w:r>
    <w:r>
      <w:rPr>
        <w:rFonts w:hAnsi="FrankRuehl" w:cs="FrankRuehl" w:hint="cs"/>
        <w:color w:val="000000"/>
        <w:sz w:val="28"/>
        <w:szCs w:val="28"/>
        <w:rtl/>
      </w:rPr>
      <w:t>),</w:t>
    </w:r>
    <w:r w:rsidR="00736981">
      <w:rPr>
        <w:rFonts w:hAnsi="FrankRuehl" w:cs="FrankRuehl" w:hint="cs"/>
        <w:color w:val="000000"/>
        <w:sz w:val="28"/>
        <w:szCs w:val="28"/>
        <w:rtl/>
      </w:rPr>
      <w:t xml:space="preserve"> </w:t>
    </w:r>
    <w:r w:rsidR="00FE583C">
      <w:rPr>
        <w:rFonts w:hAnsi="FrankRuehl" w:cs="FrankRuehl" w:hint="cs"/>
        <w:color w:val="000000"/>
        <w:sz w:val="28"/>
        <w:szCs w:val="28"/>
        <w:rtl/>
      </w:rPr>
      <w:t>תשע"א</w:t>
    </w:r>
    <w:r w:rsidR="006A0293">
      <w:rPr>
        <w:rFonts w:hAnsi="FrankRuehl" w:cs="FrankRuehl" w:hint="cs"/>
        <w:color w:val="000000"/>
        <w:sz w:val="28"/>
        <w:szCs w:val="28"/>
        <w:rtl/>
      </w:rPr>
      <w:t>-2010</w:t>
    </w:r>
  </w:p>
  <w:p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0498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A51DD"/>
    <w:rsid w:val="000E2C54"/>
    <w:rsid w:val="001E1C1D"/>
    <w:rsid w:val="001E4F60"/>
    <w:rsid w:val="0025163D"/>
    <w:rsid w:val="002F2484"/>
    <w:rsid w:val="00373414"/>
    <w:rsid w:val="00417E2E"/>
    <w:rsid w:val="00463F9B"/>
    <w:rsid w:val="00493062"/>
    <w:rsid w:val="00514019"/>
    <w:rsid w:val="005151A2"/>
    <w:rsid w:val="00534BF7"/>
    <w:rsid w:val="006A0293"/>
    <w:rsid w:val="006A5E67"/>
    <w:rsid w:val="00736981"/>
    <w:rsid w:val="0079348B"/>
    <w:rsid w:val="00812EFC"/>
    <w:rsid w:val="00836D15"/>
    <w:rsid w:val="008612E0"/>
    <w:rsid w:val="00881D2D"/>
    <w:rsid w:val="008F6666"/>
    <w:rsid w:val="00917DEC"/>
    <w:rsid w:val="00933194"/>
    <w:rsid w:val="009962C3"/>
    <w:rsid w:val="009D57B5"/>
    <w:rsid w:val="00A03534"/>
    <w:rsid w:val="00AA581E"/>
    <w:rsid w:val="00B842A5"/>
    <w:rsid w:val="00C14403"/>
    <w:rsid w:val="00C857FD"/>
    <w:rsid w:val="00D31AC1"/>
    <w:rsid w:val="00D33732"/>
    <w:rsid w:val="00D44372"/>
    <w:rsid w:val="00E41B95"/>
    <w:rsid w:val="00EA53F9"/>
    <w:rsid w:val="00EC18C7"/>
    <w:rsid w:val="00EC36D1"/>
    <w:rsid w:val="00ED060C"/>
    <w:rsid w:val="00FE1F15"/>
    <w:rsid w:val="00FE58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35161A3-1CCE-482A-9C23-0BFC07D5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9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2601</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8060936</vt:i4>
      </vt:variant>
      <vt:variant>
        <vt:i4>0</vt:i4>
      </vt:variant>
      <vt:variant>
        <vt:i4>0</vt:i4>
      </vt:variant>
      <vt:variant>
        <vt:i4>5</vt:i4>
      </vt:variant>
      <vt:variant>
        <vt:lpwstr>http://www.nevo.co.il/Law_word/law06/TAK-6949.pdf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בתי דין מינהליים (אגרות בוועדת הערר לפי חוק שירות הקבע בצבא הגנה לישראל), תשע"א-2010</vt:lpwstr>
  </property>
  <property fmtid="{D5CDD505-2E9C-101B-9397-08002B2CF9AE}" pid="4" name="LAWNUMBER">
    <vt:lpwstr>0412</vt:lpwstr>
  </property>
  <property fmtid="{D5CDD505-2E9C-101B-9397-08002B2CF9AE}" pid="5" name="TYPE">
    <vt:lpwstr>01</vt:lpwstr>
  </property>
  <property fmtid="{D5CDD505-2E9C-101B-9397-08002B2CF9AE}" pid="6" name="CHNAME">
    <vt:lpwstr>שירות ביטחון</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בטחון</vt:lpwstr>
  </property>
  <property fmtid="{D5CDD505-2E9C-101B-9397-08002B2CF9AE}" pid="22" name="NOSE21">
    <vt:lpwstr>צה"ל</vt:lpwstr>
  </property>
  <property fmtid="{D5CDD505-2E9C-101B-9397-08002B2CF9AE}" pid="23" name="NOSE31">
    <vt:lpwstr>שרות קבע (גמלאות)</vt:lpwstr>
  </property>
  <property fmtid="{D5CDD505-2E9C-101B-9397-08002B2CF9AE}" pid="24" name="NOSE41">
    <vt:lpwstr/>
  </property>
  <property fmtid="{D5CDD505-2E9C-101B-9397-08002B2CF9AE}" pid="25" name="NOSE12">
    <vt:lpwstr>בתי משפט וסדרי דין</vt:lpwstr>
  </property>
  <property fmtid="{D5CDD505-2E9C-101B-9397-08002B2CF9AE}" pid="26" name="NOSE22">
    <vt:lpwstr>בתי משפט ובתי דין</vt:lpwstr>
  </property>
  <property fmtid="{D5CDD505-2E9C-101B-9397-08002B2CF9AE}" pid="27" name="NOSE32">
    <vt:lpwstr>אגרות</vt:lpwstr>
  </property>
  <property fmtid="{D5CDD505-2E9C-101B-9397-08002B2CF9AE}" pid="28" name="NOSE42">
    <vt:lpwstr/>
  </property>
  <property fmtid="{D5CDD505-2E9C-101B-9397-08002B2CF9AE}" pid="29" name="NOSE13">
    <vt:lpwstr>בתי משפט וסדרי דין</vt:lpwstr>
  </property>
  <property fmtid="{D5CDD505-2E9C-101B-9397-08002B2CF9AE}" pid="30" name="NOSE23">
    <vt:lpwstr>בתי משפט ובתי דין</vt:lpwstr>
  </property>
  <property fmtid="{D5CDD505-2E9C-101B-9397-08002B2CF9AE}" pid="31" name="NOSE33">
    <vt:lpwstr>בתי דין מינהליים</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בתי דין מינהליים</vt:lpwstr>
  </property>
  <property fmtid="{D5CDD505-2E9C-101B-9397-08002B2CF9AE}" pid="62" name="MEKOR_SAIF1">
    <vt:lpwstr>54XבX9X</vt:lpwstr>
  </property>
  <property fmtid="{D5CDD505-2E9C-101B-9397-08002B2CF9AE}" pid="63" name="MEKOR_NAME2">
    <vt:lpwstr>חוק שירות הקבע בצבא ההגנה לישראל (הליכים לעניין החלטות הנוגעות לחיילים בשירות קבע)</vt:lpwstr>
  </property>
  <property fmtid="{D5CDD505-2E9C-101B-9397-08002B2CF9AE}" pid="64" name="MEKOR_SAIF2">
    <vt:lpwstr>15X;15XבX</vt:lpwstr>
  </property>
  <property fmtid="{D5CDD505-2E9C-101B-9397-08002B2CF9AE}" pid="65" name="MEKOR_NAME3">
    <vt:lpwstr>חוק יסודות התקציב</vt:lpwstr>
  </property>
  <property fmtid="{D5CDD505-2E9C-101B-9397-08002B2CF9AE}" pid="66" name="MEKOR_SAIF3">
    <vt:lpwstr>39בX</vt:lpwstr>
  </property>
  <property fmtid="{D5CDD505-2E9C-101B-9397-08002B2CF9AE}" pid="67" name="LINKK1">
    <vt:lpwstr>http://www.nevo.co.il/Law_word/law06/TAK-6949.pdf;‎רשומות - תקנות כלליות#פורסמו ק"ת ‏תשע"א מס' 6949 #מיום 13.12.2010 עמ' 254‏</vt:lpwstr>
  </property>
  <property fmtid="{D5CDD505-2E9C-101B-9397-08002B2CF9AE}" pid="68" name="LINKK2">
    <vt:lpwstr/>
  </property>
</Properties>
</file>