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1CD2" w14:textId="77777777" w:rsidR="00B8081D" w:rsidRDefault="00AD1B67" w:rsidP="00547F55">
      <w:pPr>
        <w:pStyle w:val="big-header"/>
        <w:ind w:left="0" w:right="1134"/>
        <w:rPr>
          <w:rFonts w:hint="cs"/>
          <w:rtl/>
        </w:rPr>
      </w:pPr>
      <w:r>
        <w:rPr>
          <w:rFonts w:hint="cs"/>
          <w:rtl/>
        </w:rPr>
        <w:t>תקנות בתי דין מינהליים (סדרי דין בוועדת הערר שלפי חוק שירות הקבע</w:t>
      </w:r>
      <w:r w:rsidR="00547F55">
        <w:rPr>
          <w:rFonts w:hint="cs"/>
          <w:rtl/>
        </w:rPr>
        <w:t>), תש"ע-2010</w:t>
      </w:r>
    </w:p>
    <w:p w14:paraId="046A6D33" w14:textId="77777777" w:rsidR="00AD1B67" w:rsidRPr="00AD1B67" w:rsidRDefault="00AD1B67" w:rsidP="00AD1B67">
      <w:pPr>
        <w:spacing w:line="320" w:lineRule="auto"/>
        <w:jc w:val="left"/>
        <w:rPr>
          <w:rFonts w:cs="FrankRuehl"/>
          <w:szCs w:val="26"/>
          <w:rtl/>
        </w:rPr>
      </w:pPr>
    </w:p>
    <w:p w14:paraId="01EBE6E4" w14:textId="77777777" w:rsidR="00AD1B67" w:rsidRDefault="00AD1B67" w:rsidP="00AD1B67">
      <w:pPr>
        <w:spacing w:line="320" w:lineRule="auto"/>
        <w:jc w:val="left"/>
        <w:rPr>
          <w:rtl/>
        </w:rPr>
      </w:pPr>
    </w:p>
    <w:p w14:paraId="5205767E" w14:textId="77777777" w:rsidR="00AD1B67" w:rsidRDefault="00AD1B67" w:rsidP="00AD1B67">
      <w:pPr>
        <w:spacing w:line="320" w:lineRule="auto"/>
        <w:jc w:val="left"/>
        <w:rPr>
          <w:rFonts w:cs="Miriam"/>
          <w:szCs w:val="22"/>
        </w:rPr>
      </w:pPr>
      <w:r w:rsidRPr="00AD1B67">
        <w:rPr>
          <w:rFonts w:cs="Miriam"/>
          <w:szCs w:val="22"/>
          <w:rtl/>
        </w:rPr>
        <w:t>בטחון</w:t>
      </w:r>
      <w:r w:rsidRPr="00AD1B67">
        <w:rPr>
          <w:rFonts w:cs="FrankRuehl"/>
          <w:szCs w:val="26"/>
        </w:rPr>
        <w:t xml:space="preserve"> – </w:t>
      </w:r>
      <w:r w:rsidRPr="00AD1B67">
        <w:rPr>
          <w:rFonts w:cs="FrankRuehl"/>
          <w:szCs w:val="26"/>
          <w:rtl/>
        </w:rPr>
        <w:t>צה"ל</w:t>
      </w:r>
      <w:r w:rsidRPr="00AD1B67">
        <w:rPr>
          <w:rFonts w:cs="FrankRuehl"/>
          <w:szCs w:val="26"/>
        </w:rPr>
        <w:t xml:space="preserve"> – </w:t>
      </w:r>
      <w:r w:rsidRPr="00AD1B67">
        <w:rPr>
          <w:rFonts w:cs="FrankRuehl"/>
          <w:szCs w:val="26"/>
          <w:rtl/>
        </w:rPr>
        <w:t>שרות קבע (גמלאות</w:t>
      </w:r>
      <w:r>
        <w:rPr>
          <w:rFonts w:cs="FrankRuehl" w:hint="cs"/>
          <w:szCs w:val="26"/>
          <w:rtl/>
        </w:rPr>
        <w:t>)</w:t>
      </w:r>
    </w:p>
    <w:p w14:paraId="369FAC6C" w14:textId="77777777" w:rsidR="00AD1B67" w:rsidRPr="00AD1B67" w:rsidRDefault="00AD1B67" w:rsidP="00AD1B67">
      <w:pPr>
        <w:spacing w:line="320" w:lineRule="auto"/>
        <w:jc w:val="left"/>
        <w:rPr>
          <w:rFonts w:cs="Miriam" w:hint="cs"/>
          <w:szCs w:val="22"/>
        </w:rPr>
      </w:pPr>
      <w:r w:rsidRPr="00AD1B67">
        <w:rPr>
          <w:rFonts w:cs="Miriam"/>
          <w:szCs w:val="22"/>
          <w:rtl/>
        </w:rPr>
        <w:t>בתי משפט וסדרי דין</w:t>
      </w:r>
      <w:r w:rsidRPr="00AD1B67">
        <w:rPr>
          <w:rFonts w:cs="FrankRuehl"/>
          <w:szCs w:val="26"/>
        </w:rPr>
        <w:t xml:space="preserve"> – </w:t>
      </w:r>
      <w:r w:rsidRPr="00AD1B67">
        <w:rPr>
          <w:rFonts w:cs="FrankRuehl"/>
          <w:szCs w:val="26"/>
          <w:rtl/>
        </w:rPr>
        <w:t>בתי משפט ובתי דין</w:t>
      </w:r>
      <w:r w:rsidRPr="00AD1B67">
        <w:rPr>
          <w:rFonts w:cs="FrankRuehl"/>
          <w:szCs w:val="26"/>
        </w:rPr>
        <w:t xml:space="preserve"> – </w:t>
      </w:r>
      <w:r w:rsidRPr="00AD1B67">
        <w:rPr>
          <w:rFonts w:cs="FrankRuehl"/>
          <w:szCs w:val="26"/>
          <w:rtl/>
        </w:rPr>
        <w:t>בתי דין מינהליים</w:t>
      </w:r>
      <w:r w:rsidRPr="00AD1B67">
        <w:rPr>
          <w:rFonts w:cs="FrankRuehl"/>
          <w:szCs w:val="26"/>
        </w:rPr>
        <w:t xml:space="preserve"> – </w:t>
      </w:r>
      <w:r w:rsidRPr="00AD1B67">
        <w:rPr>
          <w:rFonts w:cs="FrankRuehl"/>
          <w:szCs w:val="26"/>
          <w:rtl/>
        </w:rPr>
        <w:t>סדר דין</w:t>
      </w:r>
    </w:p>
    <w:p w14:paraId="26A68440"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13AE" w:rsidRPr="007113AE" w14:paraId="18C43BA0" w14:textId="77777777">
        <w:tblPrEx>
          <w:tblCellMar>
            <w:top w:w="0" w:type="dxa"/>
            <w:bottom w:w="0" w:type="dxa"/>
          </w:tblCellMar>
        </w:tblPrEx>
        <w:tc>
          <w:tcPr>
            <w:tcW w:w="1247" w:type="dxa"/>
          </w:tcPr>
          <w:p w14:paraId="5D2C5CFF" w14:textId="77777777" w:rsidR="007113AE" w:rsidRPr="007113AE" w:rsidRDefault="007113AE" w:rsidP="007113AE">
            <w:pPr>
              <w:spacing w:line="240" w:lineRule="auto"/>
              <w:jc w:val="left"/>
              <w:rPr>
                <w:rFonts w:cs="Frankruhel"/>
                <w:sz w:val="24"/>
                <w:rtl/>
              </w:rPr>
            </w:pPr>
            <w:r>
              <w:rPr>
                <w:rFonts w:cs="Times New Roman"/>
                <w:sz w:val="24"/>
                <w:rtl/>
              </w:rPr>
              <w:t xml:space="preserve">סעיף 1 </w:t>
            </w:r>
          </w:p>
        </w:tc>
        <w:tc>
          <w:tcPr>
            <w:tcW w:w="5669" w:type="dxa"/>
          </w:tcPr>
          <w:p w14:paraId="09F88300" w14:textId="77777777" w:rsidR="007113AE" w:rsidRPr="007113AE" w:rsidRDefault="007113AE" w:rsidP="007113AE">
            <w:pPr>
              <w:spacing w:line="240" w:lineRule="auto"/>
              <w:jc w:val="left"/>
              <w:rPr>
                <w:rFonts w:cs="Frankruhel"/>
                <w:sz w:val="24"/>
                <w:rtl/>
              </w:rPr>
            </w:pPr>
            <w:r>
              <w:rPr>
                <w:rFonts w:cs="Times New Roman"/>
                <w:sz w:val="24"/>
                <w:rtl/>
              </w:rPr>
              <w:t>החלה</w:t>
            </w:r>
          </w:p>
        </w:tc>
        <w:tc>
          <w:tcPr>
            <w:tcW w:w="567" w:type="dxa"/>
          </w:tcPr>
          <w:p w14:paraId="1DC63ABE" w14:textId="77777777" w:rsidR="007113AE" w:rsidRPr="007113AE" w:rsidRDefault="007113AE" w:rsidP="007113AE">
            <w:pPr>
              <w:spacing w:line="240" w:lineRule="auto"/>
              <w:jc w:val="left"/>
              <w:rPr>
                <w:rStyle w:val="Hyperlink"/>
                <w:rtl/>
              </w:rPr>
            </w:pPr>
            <w:hyperlink w:anchor="Seif1" w:tooltip="החלה" w:history="1">
              <w:r w:rsidRPr="007113AE">
                <w:rPr>
                  <w:rStyle w:val="Hyperlink"/>
                </w:rPr>
                <w:t>Go</w:t>
              </w:r>
            </w:hyperlink>
          </w:p>
        </w:tc>
        <w:tc>
          <w:tcPr>
            <w:tcW w:w="850" w:type="dxa"/>
          </w:tcPr>
          <w:p w14:paraId="58C85726"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30541590" w14:textId="77777777">
        <w:tblPrEx>
          <w:tblCellMar>
            <w:top w:w="0" w:type="dxa"/>
            <w:bottom w:w="0" w:type="dxa"/>
          </w:tblCellMar>
        </w:tblPrEx>
        <w:tc>
          <w:tcPr>
            <w:tcW w:w="1247" w:type="dxa"/>
          </w:tcPr>
          <w:p w14:paraId="3B303567" w14:textId="77777777" w:rsidR="007113AE" w:rsidRPr="007113AE" w:rsidRDefault="007113AE" w:rsidP="007113AE">
            <w:pPr>
              <w:spacing w:line="240" w:lineRule="auto"/>
              <w:jc w:val="left"/>
              <w:rPr>
                <w:rFonts w:cs="Frankruhel"/>
                <w:sz w:val="24"/>
                <w:rtl/>
              </w:rPr>
            </w:pPr>
            <w:r>
              <w:rPr>
                <w:rFonts w:cs="Times New Roman"/>
                <w:sz w:val="24"/>
                <w:rtl/>
              </w:rPr>
              <w:t xml:space="preserve">סעיף 2 </w:t>
            </w:r>
          </w:p>
        </w:tc>
        <w:tc>
          <w:tcPr>
            <w:tcW w:w="5669" w:type="dxa"/>
          </w:tcPr>
          <w:p w14:paraId="437D86CF" w14:textId="77777777" w:rsidR="007113AE" w:rsidRPr="007113AE" w:rsidRDefault="007113AE" w:rsidP="007113AE">
            <w:pPr>
              <w:spacing w:line="240" w:lineRule="auto"/>
              <w:jc w:val="left"/>
              <w:rPr>
                <w:rFonts w:cs="Frankruhel"/>
                <w:sz w:val="24"/>
                <w:rtl/>
              </w:rPr>
            </w:pPr>
            <w:r>
              <w:rPr>
                <w:rFonts w:cs="Times New Roman"/>
                <w:sz w:val="24"/>
                <w:rtl/>
              </w:rPr>
              <w:t>המצאת כתבי בי דין ומסמכים</w:t>
            </w:r>
          </w:p>
        </w:tc>
        <w:tc>
          <w:tcPr>
            <w:tcW w:w="567" w:type="dxa"/>
          </w:tcPr>
          <w:p w14:paraId="41A99D99" w14:textId="77777777" w:rsidR="007113AE" w:rsidRPr="007113AE" w:rsidRDefault="007113AE" w:rsidP="007113AE">
            <w:pPr>
              <w:spacing w:line="240" w:lineRule="auto"/>
              <w:jc w:val="left"/>
              <w:rPr>
                <w:rStyle w:val="Hyperlink"/>
                <w:rtl/>
              </w:rPr>
            </w:pPr>
            <w:hyperlink w:anchor="Seif2" w:tooltip="המצאת כתבי בי דין ומסמכים" w:history="1">
              <w:r w:rsidRPr="007113AE">
                <w:rPr>
                  <w:rStyle w:val="Hyperlink"/>
                </w:rPr>
                <w:t>Go</w:t>
              </w:r>
            </w:hyperlink>
          </w:p>
        </w:tc>
        <w:tc>
          <w:tcPr>
            <w:tcW w:w="850" w:type="dxa"/>
          </w:tcPr>
          <w:p w14:paraId="230FCDBA"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7AE71D3B" w14:textId="77777777">
        <w:tblPrEx>
          <w:tblCellMar>
            <w:top w:w="0" w:type="dxa"/>
            <w:bottom w:w="0" w:type="dxa"/>
          </w:tblCellMar>
        </w:tblPrEx>
        <w:tc>
          <w:tcPr>
            <w:tcW w:w="1247" w:type="dxa"/>
          </w:tcPr>
          <w:p w14:paraId="24CC099C" w14:textId="77777777" w:rsidR="007113AE" w:rsidRPr="007113AE" w:rsidRDefault="007113AE" w:rsidP="007113AE">
            <w:pPr>
              <w:spacing w:line="240" w:lineRule="auto"/>
              <w:jc w:val="left"/>
              <w:rPr>
                <w:rFonts w:cs="Frankruhel"/>
                <w:sz w:val="24"/>
                <w:rtl/>
              </w:rPr>
            </w:pPr>
            <w:r>
              <w:rPr>
                <w:rFonts w:cs="Times New Roman"/>
                <w:sz w:val="24"/>
                <w:rtl/>
              </w:rPr>
              <w:t xml:space="preserve">סעיף 3 </w:t>
            </w:r>
          </w:p>
        </w:tc>
        <w:tc>
          <w:tcPr>
            <w:tcW w:w="5669" w:type="dxa"/>
          </w:tcPr>
          <w:p w14:paraId="42996669" w14:textId="77777777" w:rsidR="007113AE" w:rsidRPr="007113AE" w:rsidRDefault="007113AE" w:rsidP="007113AE">
            <w:pPr>
              <w:spacing w:line="240" w:lineRule="auto"/>
              <w:jc w:val="left"/>
              <w:rPr>
                <w:rFonts w:cs="Frankruhel"/>
                <w:sz w:val="24"/>
                <w:rtl/>
              </w:rPr>
            </w:pPr>
            <w:r>
              <w:rPr>
                <w:rFonts w:cs="Times New Roman"/>
                <w:sz w:val="24"/>
                <w:rtl/>
              </w:rPr>
              <w:t>פרטי העורר</w:t>
            </w:r>
          </w:p>
        </w:tc>
        <w:tc>
          <w:tcPr>
            <w:tcW w:w="567" w:type="dxa"/>
          </w:tcPr>
          <w:p w14:paraId="11FAA197" w14:textId="77777777" w:rsidR="007113AE" w:rsidRPr="007113AE" w:rsidRDefault="007113AE" w:rsidP="007113AE">
            <w:pPr>
              <w:spacing w:line="240" w:lineRule="auto"/>
              <w:jc w:val="left"/>
              <w:rPr>
                <w:rStyle w:val="Hyperlink"/>
                <w:rtl/>
              </w:rPr>
            </w:pPr>
            <w:hyperlink w:anchor="Seif3" w:tooltip="פרטי העורר" w:history="1">
              <w:r w:rsidRPr="007113AE">
                <w:rPr>
                  <w:rStyle w:val="Hyperlink"/>
                </w:rPr>
                <w:t>Go</w:t>
              </w:r>
            </w:hyperlink>
          </w:p>
        </w:tc>
        <w:tc>
          <w:tcPr>
            <w:tcW w:w="850" w:type="dxa"/>
          </w:tcPr>
          <w:p w14:paraId="5715D05B"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242A875B" w14:textId="77777777">
        <w:tblPrEx>
          <w:tblCellMar>
            <w:top w:w="0" w:type="dxa"/>
            <w:bottom w:w="0" w:type="dxa"/>
          </w:tblCellMar>
        </w:tblPrEx>
        <w:tc>
          <w:tcPr>
            <w:tcW w:w="1247" w:type="dxa"/>
          </w:tcPr>
          <w:p w14:paraId="0F594909" w14:textId="77777777" w:rsidR="007113AE" w:rsidRPr="007113AE" w:rsidRDefault="007113AE" w:rsidP="007113AE">
            <w:pPr>
              <w:spacing w:line="240" w:lineRule="auto"/>
              <w:jc w:val="left"/>
              <w:rPr>
                <w:rFonts w:cs="Frankruhel"/>
                <w:sz w:val="24"/>
                <w:rtl/>
              </w:rPr>
            </w:pPr>
            <w:r>
              <w:rPr>
                <w:rFonts w:cs="Times New Roman"/>
                <w:sz w:val="24"/>
                <w:rtl/>
              </w:rPr>
              <w:t xml:space="preserve">סעיף 4 </w:t>
            </w:r>
          </w:p>
        </w:tc>
        <w:tc>
          <w:tcPr>
            <w:tcW w:w="5669" w:type="dxa"/>
          </w:tcPr>
          <w:p w14:paraId="6F53A79F" w14:textId="77777777" w:rsidR="007113AE" w:rsidRPr="007113AE" w:rsidRDefault="007113AE" w:rsidP="007113AE">
            <w:pPr>
              <w:spacing w:line="240" w:lineRule="auto"/>
              <w:jc w:val="left"/>
              <w:rPr>
                <w:rFonts w:cs="Frankruhel"/>
                <w:sz w:val="24"/>
                <w:rtl/>
              </w:rPr>
            </w:pPr>
            <w:r>
              <w:rPr>
                <w:rFonts w:cs="Times New Roman"/>
                <w:sz w:val="24"/>
                <w:rtl/>
              </w:rPr>
              <w:t>הארכת המועד להגשת ערר</w:t>
            </w:r>
          </w:p>
        </w:tc>
        <w:tc>
          <w:tcPr>
            <w:tcW w:w="567" w:type="dxa"/>
          </w:tcPr>
          <w:p w14:paraId="7752784B" w14:textId="77777777" w:rsidR="007113AE" w:rsidRPr="007113AE" w:rsidRDefault="007113AE" w:rsidP="007113AE">
            <w:pPr>
              <w:spacing w:line="240" w:lineRule="auto"/>
              <w:jc w:val="left"/>
              <w:rPr>
                <w:rStyle w:val="Hyperlink"/>
                <w:rtl/>
              </w:rPr>
            </w:pPr>
            <w:hyperlink w:anchor="Seif4" w:tooltip="הארכת המועד להגשת ערר" w:history="1">
              <w:r w:rsidRPr="007113AE">
                <w:rPr>
                  <w:rStyle w:val="Hyperlink"/>
                </w:rPr>
                <w:t>Go</w:t>
              </w:r>
            </w:hyperlink>
          </w:p>
        </w:tc>
        <w:tc>
          <w:tcPr>
            <w:tcW w:w="850" w:type="dxa"/>
          </w:tcPr>
          <w:p w14:paraId="31DDC710"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497F75BA" w14:textId="77777777">
        <w:tblPrEx>
          <w:tblCellMar>
            <w:top w:w="0" w:type="dxa"/>
            <w:bottom w:w="0" w:type="dxa"/>
          </w:tblCellMar>
        </w:tblPrEx>
        <w:tc>
          <w:tcPr>
            <w:tcW w:w="1247" w:type="dxa"/>
          </w:tcPr>
          <w:p w14:paraId="0E978009" w14:textId="77777777" w:rsidR="007113AE" w:rsidRPr="007113AE" w:rsidRDefault="007113AE" w:rsidP="007113AE">
            <w:pPr>
              <w:spacing w:line="240" w:lineRule="auto"/>
              <w:jc w:val="left"/>
              <w:rPr>
                <w:rFonts w:cs="Frankruhel"/>
                <w:sz w:val="24"/>
                <w:rtl/>
              </w:rPr>
            </w:pPr>
            <w:r>
              <w:rPr>
                <w:rFonts w:cs="Times New Roman"/>
                <w:sz w:val="24"/>
                <w:rtl/>
              </w:rPr>
              <w:t xml:space="preserve">סעיף 5 </w:t>
            </w:r>
          </w:p>
        </w:tc>
        <w:tc>
          <w:tcPr>
            <w:tcW w:w="5669" w:type="dxa"/>
          </w:tcPr>
          <w:p w14:paraId="651781CE" w14:textId="77777777" w:rsidR="007113AE" w:rsidRPr="007113AE" w:rsidRDefault="007113AE" w:rsidP="007113AE">
            <w:pPr>
              <w:spacing w:line="240" w:lineRule="auto"/>
              <w:jc w:val="left"/>
              <w:rPr>
                <w:rFonts w:cs="Frankruhel"/>
                <w:sz w:val="24"/>
                <w:rtl/>
              </w:rPr>
            </w:pPr>
            <w:r>
              <w:rPr>
                <w:rFonts w:cs="Times New Roman"/>
                <w:sz w:val="24"/>
                <w:rtl/>
              </w:rPr>
              <w:t>דיון והחלטה על פי ראיות בכתב</w:t>
            </w:r>
          </w:p>
        </w:tc>
        <w:tc>
          <w:tcPr>
            <w:tcW w:w="567" w:type="dxa"/>
          </w:tcPr>
          <w:p w14:paraId="51DB9FF0" w14:textId="77777777" w:rsidR="007113AE" w:rsidRPr="007113AE" w:rsidRDefault="007113AE" w:rsidP="007113AE">
            <w:pPr>
              <w:spacing w:line="240" w:lineRule="auto"/>
              <w:jc w:val="left"/>
              <w:rPr>
                <w:rStyle w:val="Hyperlink"/>
                <w:rtl/>
              </w:rPr>
            </w:pPr>
            <w:hyperlink w:anchor="Seif5" w:tooltip="דיון והחלטה על פי ראיות בכתב" w:history="1">
              <w:r w:rsidRPr="007113AE">
                <w:rPr>
                  <w:rStyle w:val="Hyperlink"/>
                </w:rPr>
                <w:t>Go</w:t>
              </w:r>
            </w:hyperlink>
          </w:p>
        </w:tc>
        <w:tc>
          <w:tcPr>
            <w:tcW w:w="850" w:type="dxa"/>
          </w:tcPr>
          <w:p w14:paraId="7193ADCD"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184910CE" w14:textId="77777777">
        <w:tblPrEx>
          <w:tblCellMar>
            <w:top w:w="0" w:type="dxa"/>
            <w:bottom w:w="0" w:type="dxa"/>
          </w:tblCellMar>
        </w:tblPrEx>
        <w:tc>
          <w:tcPr>
            <w:tcW w:w="1247" w:type="dxa"/>
          </w:tcPr>
          <w:p w14:paraId="39D43BE9" w14:textId="77777777" w:rsidR="007113AE" w:rsidRPr="007113AE" w:rsidRDefault="007113AE" w:rsidP="007113AE">
            <w:pPr>
              <w:spacing w:line="240" w:lineRule="auto"/>
              <w:jc w:val="left"/>
              <w:rPr>
                <w:rFonts w:cs="Frankruhel"/>
                <w:sz w:val="24"/>
                <w:rtl/>
              </w:rPr>
            </w:pPr>
            <w:r>
              <w:rPr>
                <w:rFonts w:cs="Times New Roman"/>
                <w:sz w:val="24"/>
                <w:rtl/>
              </w:rPr>
              <w:t xml:space="preserve">סעיף 6 </w:t>
            </w:r>
          </w:p>
        </w:tc>
        <w:tc>
          <w:tcPr>
            <w:tcW w:w="5669" w:type="dxa"/>
          </w:tcPr>
          <w:p w14:paraId="1E0B1D3B" w14:textId="77777777" w:rsidR="007113AE" w:rsidRPr="007113AE" w:rsidRDefault="007113AE" w:rsidP="007113AE">
            <w:pPr>
              <w:spacing w:line="240" w:lineRule="auto"/>
              <w:jc w:val="left"/>
              <w:rPr>
                <w:rFonts w:cs="Frankruhel"/>
                <w:sz w:val="24"/>
                <w:rtl/>
              </w:rPr>
            </w:pPr>
            <w:r>
              <w:rPr>
                <w:rFonts w:cs="Times New Roman"/>
                <w:sz w:val="24"/>
                <w:rtl/>
              </w:rPr>
              <w:t>חקירת מצהיר</w:t>
            </w:r>
          </w:p>
        </w:tc>
        <w:tc>
          <w:tcPr>
            <w:tcW w:w="567" w:type="dxa"/>
          </w:tcPr>
          <w:p w14:paraId="2B6D3421" w14:textId="77777777" w:rsidR="007113AE" w:rsidRPr="007113AE" w:rsidRDefault="007113AE" w:rsidP="007113AE">
            <w:pPr>
              <w:spacing w:line="240" w:lineRule="auto"/>
              <w:jc w:val="left"/>
              <w:rPr>
                <w:rStyle w:val="Hyperlink"/>
                <w:rtl/>
              </w:rPr>
            </w:pPr>
            <w:hyperlink w:anchor="Seif6" w:tooltip="חקירת מצהיר" w:history="1">
              <w:r w:rsidRPr="007113AE">
                <w:rPr>
                  <w:rStyle w:val="Hyperlink"/>
                </w:rPr>
                <w:t>Go</w:t>
              </w:r>
            </w:hyperlink>
          </w:p>
        </w:tc>
        <w:tc>
          <w:tcPr>
            <w:tcW w:w="850" w:type="dxa"/>
          </w:tcPr>
          <w:p w14:paraId="1775ABB6"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6CDC2B87" w14:textId="77777777">
        <w:tblPrEx>
          <w:tblCellMar>
            <w:top w:w="0" w:type="dxa"/>
            <w:bottom w:w="0" w:type="dxa"/>
          </w:tblCellMar>
        </w:tblPrEx>
        <w:tc>
          <w:tcPr>
            <w:tcW w:w="1247" w:type="dxa"/>
          </w:tcPr>
          <w:p w14:paraId="46165E57" w14:textId="77777777" w:rsidR="007113AE" w:rsidRPr="007113AE" w:rsidRDefault="007113AE" w:rsidP="007113AE">
            <w:pPr>
              <w:spacing w:line="240" w:lineRule="auto"/>
              <w:jc w:val="left"/>
              <w:rPr>
                <w:rFonts w:cs="Frankruhel"/>
                <w:sz w:val="24"/>
                <w:rtl/>
              </w:rPr>
            </w:pPr>
            <w:r>
              <w:rPr>
                <w:rFonts w:cs="Times New Roman"/>
                <w:sz w:val="24"/>
                <w:rtl/>
              </w:rPr>
              <w:t xml:space="preserve">סעיף 7 </w:t>
            </w:r>
          </w:p>
        </w:tc>
        <w:tc>
          <w:tcPr>
            <w:tcW w:w="5669" w:type="dxa"/>
          </w:tcPr>
          <w:p w14:paraId="632E0F96" w14:textId="77777777" w:rsidR="007113AE" w:rsidRPr="007113AE" w:rsidRDefault="007113AE" w:rsidP="007113AE">
            <w:pPr>
              <w:spacing w:line="240" w:lineRule="auto"/>
              <w:jc w:val="left"/>
              <w:rPr>
                <w:rFonts w:cs="Frankruhel"/>
                <w:sz w:val="24"/>
                <w:rtl/>
              </w:rPr>
            </w:pPr>
            <w:r>
              <w:rPr>
                <w:rFonts w:cs="Times New Roman"/>
                <w:sz w:val="24"/>
                <w:rtl/>
              </w:rPr>
              <w:t>חקירת עד שאינו מצהיר</w:t>
            </w:r>
          </w:p>
        </w:tc>
        <w:tc>
          <w:tcPr>
            <w:tcW w:w="567" w:type="dxa"/>
          </w:tcPr>
          <w:p w14:paraId="7918E17A" w14:textId="77777777" w:rsidR="007113AE" w:rsidRPr="007113AE" w:rsidRDefault="007113AE" w:rsidP="007113AE">
            <w:pPr>
              <w:spacing w:line="240" w:lineRule="auto"/>
              <w:jc w:val="left"/>
              <w:rPr>
                <w:rStyle w:val="Hyperlink"/>
                <w:rtl/>
              </w:rPr>
            </w:pPr>
            <w:hyperlink w:anchor="Seif7" w:tooltip="חקירת עד שאינו מצהיר" w:history="1">
              <w:r w:rsidRPr="007113AE">
                <w:rPr>
                  <w:rStyle w:val="Hyperlink"/>
                </w:rPr>
                <w:t>Go</w:t>
              </w:r>
            </w:hyperlink>
          </w:p>
        </w:tc>
        <w:tc>
          <w:tcPr>
            <w:tcW w:w="850" w:type="dxa"/>
          </w:tcPr>
          <w:p w14:paraId="4A8F0C6A"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595F23AB" w14:textId="77777777">
        <w:tblPrEx>
          <w:tblCellMar>
            <w:top w:w="0" w:type="dxa"/>
            <w:bottom w:w="0" w:type="dxa"/>
          </w:tblCellMar>
        </w:tblPrEx>
        <w:tc>
          <w:tcPr>
            <w:tcW w:w="1247" w:type="dxa"/>
          </w:tcPr>
          <w:p w14:paraId="557EBEE5" w14:textId="77777777" w:rsidR="007113AE" w:rsidRPr="007113AE" w:rsidRDefault="007113AE" w:rsidP="007113AE">
            <w:pPr>
              <w:spacing w:line="240" w:lineRule="auto"/>
              <w:jc w:val="left"/>
              <w:rPr>
                <w:rFonts w:cs="Frankruhel"/>
                <w:sz w:val="24"/>
                <w:rtl/>
              </w:rPr>
            </w:pPr>
            <w:r>
              <w:rPr>
                <w:rFonts w:cs="Times New Roman"/>
                <w:sz w:val="24"/>
                <w:rtl/>
              </w:rPr>
              <w:t xml:space="preserve">סעיף 8 </w:t>
            </w:r>
          </w:p>
        </w:tc>
        <w:tc>
          <w:tcPr>
            <w:tcW w:w="5669" w:type="dxa"/>
          </w:tcPr>
          <w:p w14:paraId="7A6E43E9" w14:textId="77777777" w:rsidR="007113AE" w:rsidRPr="007113AE" w:rsidRDefault="007113AE" w:rsidP="007113AE">
            <w:pPr>
              <w:spacing w:line="240" w:lineRule="auto"/>
              <w:jc w:val="left"/>
              <w:rPr>
                <w:rFonts w:cs="Frankruhel"/>
                <w:sz w:val="24"/>
                <w:rtl/>
              </w:rPr>
            </w:pPr>
            <w:r>
              <w:rPr>
                <w:rFonts w:cs="Times New Roman"/>
                <w:sz w:val="24"/>
                <w:rtl/>
              </w:rPr>
              <w:t>סדר הטיעון</w:t>
            </w:r>
          </w:p>
        </w:tc>
        <w:tc>
          <w:tcPr>
            <w:tcW w:w="567" w:type="dxa"/>
          </w:tcPr>
          <w:p w14:paraId="733030FC" w14:textId="77777777" w:rsidR="007113AE" w:rsidRPr="007113AE" w:rsidRDefault="007113AE" w:rsidP="007113AE">
            <w:pPr>
              <w:spacing w:line="240" w:lineRule="auto"/>
              <w:jc w:val="left"/>
              <w:rPr>
                <w:rStyle w:val="Hyperlink"/>
                <w:rtl/>
              </w:rPr>
            </w:pPr>
            <w:hyperlink w:anchor="Seif8" w:tooltip="סדר הטיעון" w:history="1">
              <w:r w:rsidRPr="007113AE">
                <w:rPr>
                  <w:rStyle w:val="Hyperlink"/>
                </w:rPr>
                <w:t>Go</w:t>
              </w:r>
            </w:hyperlink>
          </w:p>
        </w:tc>
        <w:tc>
          <w:tcPr>
            <w:tcW w:w="850" w:type="dxa"/>
          </w:tcPr>
          <w:p w14:paraId="1AD430C1"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E" w:rsidRPr="007113AE" w14:paraId="248052BA" w14:textId="77777777">
        <w:tblPrEx>
          <w:tblCellMar>
            <w:top w:w="0" w:type="dxa"/>
            <w:bottom w:w="0" w:type="dxa"/>
          </w:tblCellMar>
        </w:tblPrEx>
        <w:tc>
          <w:tcPr>
            <w:tcW w:w="1247" w:type="dxa"/>
          </w:tcPr>
          <w:p w14:paraId="31E842DF" w14:textId="77777777" w:rsidR="007113AE" w:rsidRPr="007113AE" w:rsidRDefault="007113AE" w:rsidP="007113AE">
            <w:pPr>
              <w:spacing w:line="240" w:lineRule="auto"/>
              <w:jc w:val="left"/>
              <w:rPr>
                <w:rFonts w:cs="Frankruhel"/>
                <w:sz w:val="24"/>
                <w:rtl/>
              </w:rPr>
            </w:pPr>
            <w:r>
              <w:rPr>
                <w:rFonts w:cs="Times New Roman"/>
                <w:sz w:val="24"/>
                <w:rtl/>
              </w:rPr>
              <w:t xml:space="preserve">סעיף 9 </w:t>
            </w:r>
          </w:p>
        </w:tc>
        <w:tc>
          <w:tcPr>
            <w:tcW w:w="5669" w:type="dxa"/>
          </w:tcPr>
          <w:p w14:paraId="365A2022" w14:textId="77777777" w:rsidR="007113AE" w:rsidRPr="007113AE" w:rsidRDefault="007113AE" w:rsidP="007113AE">
            <w:pPr>
              <w:spacing w:line="240" w:lineRule="auto"/>
              <w:jc w:val="left"/>
              <w:rPr>
                <w:rFonts w:cs="Frankruhel"/>
                <w:sz w:val="24"/>
                <w:rtl/>
              </w:rPr>
            </w:pPr>
            <w:r>
              <w:rPr>
                <w:rFonts w:cs="Times New Roman"/>
                <w:sz w:val="24"/>
                <w:rtl/>
              </w:rPr>
              <w:t>סמכויות יושב ראש</w:t>
            </w:r>
          </w:p>
        </w:tc>
        <w:tc>
          <w:tcPr>
            <w:tcW w:w="567" w:type="dxa"/>
          </w:tcPr>
          <w:p w14:paraId="3A8F77E4" w14:textId="77777777" w:rsidR="007113AE" w:rsidRPr="007113AE" w:rsidRDefault="007113AE" w:rsidP="007113AE">
            <w:pPr>
              <w:spacing w:line="240" w:lineRule="auto"/>
              <w:jc w:val="left"/>
              <w:rPr>
                <w:rStyle w:val="Hyperlink"/>
                <w:rtl/>
              </w:rPr>
            </w:pPr>
            <w:hyperlink w:anchor="Seif9" w:tooltip="סמכויות יושב ראש" w:history="1">
              <w:r w:rsidRPr="007113AE">
                <w:rPr>
                  <w:rStyle w:val="Hyperlink"/>
                </w:rPr>
                <w:t>Go</w:t>
              </w:r>
            </w:hyperlink>
          </w:p>
        </w:tc>
        <w:tc>
          <w:tcPr>
            <w:tcW w:w="850" w:type="dxa"/>
          </w:tcPr>
          <w:p w14:paraId="2CF740DE" w14:textId="77777777" w:rsidR="007113AE" w:rsidRPr="007113AE" w:rsidRDefault="007113AE" w:rsidP="007113A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69F26762" w14:textId="77777777" w:rsidR="00B8081D" w:rsidRDefault="00B8081D">
      <w:pPr>
        <w:pStyle w:val="big-header"/>
        <w:ind w:left="0" w:right="1134"/>
        <w:rPr>
          <w:rtl/>
        </w:rPr>
      </w:pPr>
    </w:p>
    <w:p w14:paraId="13751530" w14:textId="77777777" w:rsidR="00B8081D" w:rsidRDefault="00B8081D" w:rsidP="00AD1B67">
      <w:pPr>
        <w:pStyle w:val="big-header"/>
        <w:ind w:left="0" w:right="1134"/>
        <w:rPr>
          <w:rStyle w:val="default"/>
          <w:rFonts w:cs="FrankRuehl" w:hint="cs"/>
          <w:rtl/>
        </w:rPr>
      </w:pPr>
      <w:r>
        <w:rPr>
          <w:rtl/>
        </w:rPr>
        <w:br w:type="page"/>
      </w:r>
      <w:r w:rsidR="00AD1B67">
        <w:rPr>
          <w:rFonts w:hint="cs"/>
          <w:rtl/>
        </w:rPr>
        <w:lastRenderedPageBreak/>
        <w:t>תקנות בתי דין מינהליים (סדרי דין בוועדת הערר שלפי חוק שירות הקבע), תש"ע-2010</w:t>
      </w:r>
      <w:r w:rsidR="00690184">
        <w:rPr>
          <w:rStyle w:val="a6"/>
          <w:rtl/>
        </w:rPr>
        <w:footnoteReference w:customMarkFollows="1" w:id="1"/>
        <w:t>*</w:t>
      </w:r>
    </w:p>
    <w:p w14:paraId="0DBA8C36" w14:textId="77777777" w:rsidR="00B8081D" w:rsidRDefault="00B8081D" w:rsidP="00AD1B6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w:t>
      </w:r>
      <w:r w:rsidR="00AD1B67">
        <w:rPr>
          <w:rStyle w:val="default"/>
          <w:rFonts w:cs="FrankRuehl" w:hint="cs"/>
          <w:rtl/>
        </w:rPr>
        <w:t xml:space="preserve">54 לחוק בתי דין מינהליים, התשנ"ב-1992 (להלן </w:t>
      </w:r>
      <w:r w:rsidR="00AD1B67">
        <w:rPr>
          <w:rStyle w:val="default"/>
          <w:rFonts w:cs="FrankRuehl"/>
          <w:rtl/>
        </w:rPr>
        <w:t>–</w:t>
      </w:r>
      <w:r w:rsidR="00AD1B67">
        <w:rPr>
          <w:rStyle w:val="default"/>
          <w:rFonts w:cs="FrankRuehl" w:hint="cs"/>
          <w:rtl/>
        </w:rPr>
        <w:t xml:space="preserve"> חוק בתי דין מינהליים), ולפי סעיף 5 לחוק שירות הקבע בצבא הגנה לישראל (הליכים לעניין החלטות הנוגעות לחיילים בשירות קבע), התש"ע-2010 (להלן </w:t>
      </w:r>
      <w:r w:rsidR="00AD1B67">
        <w:rPr>
          <w:rStyle w:val="default"/>
          <w:rFonts w:cs="FrankRuehl"/>
          <w:rtl/>
        </w:rPr>
        <w:t>–</w:t>
      </w:r>
      <w:r w:rsidR="00AD1B67">
        <w:rPr>
          <w:rStyle w:val="default"/>
          <w:rFonts w:cs="FrankRuehl" w:hint="cs"/>
          <w:rtl/>
        </w:rPr>
        <w:t xml:space="preserve"> חוק שירות הקבע), ובהתייעצות עם המועצה לבתי דין מינהליים, אני מתקין תקנות אלה</w:t>
      </w:r>
      <w:r>
        <w:rPr>
          <w:rStyle w:val="default"/>
          <w:rFonts w:cs="FrankRuehl" w:hint="cs"/>
          <w:rtl/>
        </w:rPr>
        <w:t>:</w:t>
      </w:r>
    </w:p>
    <w:p w14:paraId="48A1A8D1" w14:textId="77777777" w:rsidR="00B8081D" w:rsidRDefault="00B8081D" w:rsidP="00AD1B67">
      <w:pPr>
        <w:pStyle w:val="P00"/>
        <w:spacing w:before="72"/>
        <w:ind w:left="0" w:right="1134"/>
        <w:rPr>
          <w:rStyle w:val="default"/>
          <w:rFonts w:cs="FrankRuehl" w:hint="cs"/>
          <w:rtl/>
        </w:rPr>
      </w:pPr>
      <w:bookmarkStart w:id="0" w:name="Seif1"/>
      <w:bookmarkEnd w:id="0"/>
      <w:r>
        <w:rPr>
          <w:lang w:val="he-IL"/>
        </w:rPr>
        <w:pict w14:anchorId="3A528FF3">
          <v:rect id="_x0000_s1026" style="position:absolute;left:0;text-align:left;margin-left:464.5pt;margin-top:8.05pt;width:75.05pt;height:10pt;z-index:251653632" o:allowincell="f" filled="f" stroked="f" strokecolor="lime" strokeweight=".25pt">
            <v:textbox style="mso-next-textbox:#_x0000_s1026" inset="0,0,0,0">
              <w:txbxContent>
                <w:p w14:paraId="0C9A41BF" w14:textId="77777777" w:rsidR="00B8081D" w:rsidRDefault="00AD1B67">
                  <w:pPr>
                    <w:spacing w:line="160" w:lineRule="exact"/>
                    <w:jc w:val="left"/>
                    <w:rPr>
                      <w:rFonts w:cs="Miriam" w:hint="cs"/>
                      <w:noProof/>
                      <w:szCs w:val="18"/>
                      <w:rtl/>
                    </w:rPr>
                  </w:pPr>
                  <w:r>
                    <w:rPr>
                      <w:rFonts w:cs="Miriam" w:hint="cs"/>
                      <w:szCs w:val="18"/>
                      <w:rtl/>
                    </w:rPr>
                    <w:t>החלה</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AD1B67">
        <w:rPr>
          <w:rStyle w:val="default"/>
          <w:rFonts w:cs="FrankRuehl" w:hint="cs"/>
          <w:rtl/>
        </w:rPr>
        <w:t xml:space="preserve">על ערר ועל ועדת ערר לפי חוק שירות הקבע יחולו תקנות בתי דין מינהליים (סדרי דין), התשנ"ב-1992 (להלן </w:t>
      </w:r>
      <w:r w:rsidR="00AD1B67">
        <w:rPr>
          <w:rStyle w:val="default"/>
          <w:rFonts w:cs="FrankRuehl"/>
          <w:rtl/>
        </w:rPr>
        <w:t>–</w:t>
      </w:r>
      <w:r w:rsidR="00AD1B67">
        <w:rPr>
          <w:rStyle w:val="default"/>
          <w:rFonts w:cs="FrankRuehl" w:hint="cs"/>
          <w:rtl/>
        </w:rPr>
        <w:t xml:space="preserve"> תקנות בתי דין מינהליים), למעט תקנות 9, 10(ג), 19(ב) ו-20, בשינויים המחויבים ובשינויים המפורטים בחוק שירות הקבע ובתקנות אלה</w:t>
      </w:r>
      <w:r>
        <w:rPr>
          <w:rStyle w:val="default"/>
          <w:rFonts w:cs="FrankRuehl" w:hint="cs"/>
          <w:rtl/>
        </w:rPr>
        <w:t>.</w:t>
      </w:r>
    </w:p>
    <w:p w14:paraId="7CD6326A" w14:textId="77777777" w:rsidR="00B8081D" w:rsidRDefault="00B8081D" w:rsidP="00AD1B67">
      <w:pPr>
        <w:pStyle w:val="P00"/>
        <w:spacing w:before="72"/>
        <w:ind w:left="0" w:right="1134"/>
        <w:rPr>
          <w:rStyle w:val="default"/>
          <w:rFonts w:cs="FrankRuehl" w:hint="cs"/>
          <w:rtl/>
        </w:rPr>
      </w:pPr>
      <w:bookmarkStart w:id="1" w:name="Seif2"/>
      <w:bookmarkEnd w:id="1"/>
      <w:r>
        <w:rPr>
          <w:lang w:val="he-IL"/>
        </w:rPr>
        <w:pict w14:anchorId="0C692606">
          <v:rect id="_x0000_s1028" style="position:absolute;left:0;text-align:left;margin-left:464.5pt;margin-top:8.05pt;width:75.05pt;height:17.5pt;z-index:251654656" o:allowincell="f" filled="f" stroked="f" strokecolor="lime" strokeweight=".25pt">
            <v:textbox style="mso-next-textbox:#_x0000_s1028" inset="0,0,0,0">
              <w:txbxContent>
                <w:p w14:paraId="0F98C2FF" w14:textId="77777777" w:rsidR="00B8081D" w:rsidRDefault="00AD1B67">
                  <w:pPr>
                    <w:spacing w:line="160" w:lineRule="exact"/>
                    <w:jc w:val="left"/>
                    <w:rPr>
                      <w:rFonts w:cs="Miriam" w:hint="cs"/>
                      <w:noProof/>
                      <w:szCs w:val="18"/>
                      <w:rtl/>
                    </w:rPr>
                  </w:pPr>
                  <w:r>
                    <w:rPr>
                      <w:rFonts w:cs="Miriam" w:hint="cs"/>
                      <w:szCs w:val="18"/>
                      <w:rtl/>
                    </w:rPr>
                    <w:t>המצאת כתבי בי-דין ומסמכים</w:t>
                  </w:r>
                </w:p>
              </w:txbxContent>
            </v:textbox>
            <w10:anchorlock/>
          </v:rect>
        </w:pict>
      </w:r>
      <w:r w:rsidR="00547F55">
        <w:rPr>
          <w:rStyle w:val="big-number"/>
          <w:rFonts w:cs="Miriam" w:hint="cs"/>
          <w:rtl/>
        </w:rPr>
        <w:t>2</w:t>
      </w:r>
      <w:r>
        <w:rPr>
          <w:rStyle w:val="big-number"/>
          <w:rFonts w:cs="Miriam"/>
          <w:rtl/>
        </w:rPr>
        <w:t>.</w:t>
      </w:r>
      <w:r>
        <w:rPr>
          <w:rStyle w:val="big-number"/>
          <w:rFonts w:cs="Miriam"/>
          <w:rtl/>
        </w:rPr>
        <w:tab/>
      </w:r>
      <w:r w:rsidR="00AD1B67">
        <w:rPr>
          <w:rStyle w:val="default"/>
          <w:rFonts w:cs="FrankRuehl" w:hint="cs"/>
          <w:rtl/>
        </w:rPr>
        <w:t>(א)</w:t>
      </w:r>
      <w:r w:rsidR="00AD1B67">
        <w:rPr>
          <w:rStyle w:val="default"/>
          <w:rFonts w:cs="FrankRuehl" w:hint="cs"/>
          <w:rtl/>
        </w:rPr>
        <w:tab/>
        <w:t>העורר ימציא עותק מכתב הערר למפקדת הפרקליט הצבאי הראשי, במישרין, ביום הגשתו לוועדת הערר, בשלושה העתקים.</w:t>
      </w:r>
    </w:p>
    <w:p w14:paraId="4058FA34" w14:textId="77777777" w:rsidR="00AD1B67" w:rsidRDefault="00AD1B67" w:rsidP="00AD1B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על המצאת כל כתב בי-דין, בקשה, הודעה או מסמך לפי תקנות אלה.</w:t>
      </w:r>
    </w:p>
    <w:p w14:paraId="308373BC" w14:textId="77777777" w:rsidR="00AD1B67" w:rsidRDefault="00AD1B67" w:rsidP="00AD1B67">
      <w:pPr>
        <w:pStyle w:val="P00"/>
        <w:spacing w:before="72"/>
        <w:ind w:left="0" w:right="1134"/>
        <w:rPr>
          <w:rStyle w:val="default"/>
          <w:rFonts w:cs="FrankRuehl" w:hint="cs"/>
          <w:rtl/>
        </w:rPr>
      </w:pPr>
      <w:bookmarkStart w:id="2" w:name="Seif3"/>
      <w:bookmarkEnd w:id="2"/>
      <w:r>
        <w:rPr>
          <w:lang w:val="he-IL"/>
        </w:rPr>
        <w:pict w14:anchorId="38E45F1D">
          <v:rect id="_x0000_s1029" style="position:absolute;left:0;text-align:left;margin-left:464.5pt;margin-top:8.05pt;width:75.05pt;height:10pt;z-index:251655680" o:allowincell="f" filled="f" stroked="f" strokecolor="lime" strokeweight=".25pt">
            <v:textbox style="mso-next-textbox:#_x0000_s1029" inset="0,0,0,0">
              <w:txbxContent>
                <w:p w14:paraId="63107785" w14:textId="77777777" w:rsidR="00AD1B67" w:rsidRDefault="00AD1B67" w:rsidP="00AD1B67">
                  <w:pPr>
                    <w:spacing w:line="160" w:lineRule="exact"/>
                    <w:jc w:val="left"/>
                    <w:rPr>
                      <w:rFonts w:cs="Miriam" w:hint="cs"/>
                      <w:noProof/>
                      <w:szCs w:val="18"/>
                      <w:rtl/>
                    </w:rPr>
                  </w:pPr>
                  <w:r>
                    <w:rPr>
                      <w:rFonts w:cs="Miriam" w:hint="cs"/>
                      <w:szCs w:val="18"/>
                      <w:rtl/>
                    </w:rPr>
                    <w:t>פרטי העורר</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נוסף על האמור בתקנת 6(א)(1) לתקנות בתי דין מינהליים, יכיל כתב הערר גם את מספרו האישי ודרגתו של העורר.</w:t>
      </w:r>
    </w:p>
    <w:p w14:paraId="3DFBBAC7" w14:textId="77777777" w:rsidR="00AD1B67" w:rsidRDefault="00AD1B67" w:rsidP="00AD1B67">
      <w:pPr>
        <w:pStyle w:val="P00"/>
        <w:spacing w:before="72"/>
        <w:ind w:left="0" w:right="1134"/>
        <w:rPr>
          <w:rStyle w:val="default"/>
          <w:rFonts w:cs="FrankRuehl" w:hint="cs"/>
          <w:rtl/>
        </w:rPr>
      </w:pPr>
      <w:bookmarkStart w:id="3" w:name="Seif4"/>
      <w:bookmarkEnd w:id="3"/>
      <w:r>
        <w:rPr>
          <w:lang w:val="he-IL"/>
        </w:rPr>
        <w:pict w14:anchorId="2C21B873">
          <v:rect id="_x0000_s1030" style="position:absolute;left:0;text-align:left;margin-left:464.5pt;margin-top:8.05pt;width:75.05pt;height:22.85pt;z-index:251656704" o:allowincell="f" filled="f" stroked="f" strokecolor="lime" strokeweight=".25pt">
            <v:textbox style="mso-next-textbox:#_x0000_s1030" inset="0,0,0,0">
              <w:txbxContent>
                <w:p w14:paraId="4EF24428" w14:textId="77777777" w:rsidR="00AD1B67" w:rsidRDefault="00AD1B67" w:rsidP="00AD1B67">
                  <w:pPr>
                    <w:spacing w:line="160" w:lineRule="exact"/>
                    <w:jc w:val="left"/>
                    <w:rPr>
                      <w:rFonts w:cs="Miriam" w:hint="cs"/>
                      <w:noProof/>
                      <w:szCs w:val="18"/>
                      <w:rtl/>
                    </w:rPr>
                  </w:pPr>
                  <w:r>
                    <w:rPr>
                      <w:rFonts w:cs="Miriam" w:hint="cs"/>
                      <w:szCs w:val="18"/>
                      <w:rtl/>
                    </w:rPr>
                    <w:t>הארכת המועד להגשת ערר</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עורר המבקש להאריך מועד להגשת ערר, לפי סעיף 7(ג) לחוק שירות הקבע, יגיש לוועדת הערר בהקדם בקשה על כך, בכתב, ויפרט בה את נימוקיו.</w:t>
      </w:r>
    </w:p>
    <w:p w14:paraId="7D394911" w14:textId="77777777" w:rsidR="00AD1B67" w:rsidRDefault="00AD1B67" w:rsidP="00AD1B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המשיב יגיש כתב תגובה לבקשה להארכת מועד בתוך ארבעה עשר ימים מיום שהומצאה לו הבקשה להארכת המועד, אלא אם כן קבעה ועדת הערר מועד אחר.</w:t>
      </w:r>
    </w:p>
    <w:p w14:paraId="19B51D25" w14:textId="77777777" w:rsidR="00AD1B67" w:rsidRDefault="00AD1B67" w:rsidP="00B25813">
      <w:pPr>
        <w:pStyle w:val="P00"/>
        <w:spacing w:before="72"/>
        <w:ind w:left="0" w:right="1134"/>
        <w:rPr>
          <w:rStyle w:val="default"/>
          <w:rFonts w:cs="FrankRuehl" w:hint="cs"/>
          <w:rtl/>
        </w:rPr>
      </w:pPr>
      <w:bookmarkStart w:id="4" w:name="Seif5"/>
      <w:bookmarkEnd w:id="4"/>
      <w:r>
        <w:rPr>
          <w:lang w:val="he-IL"/>
        </w:rPr>
        <w:pict w14:anchorId="24ADD03F">
          <v:rect id="_x0000_s1031" style="position:absolute;left:0;text-align:left;margin-left:464.5pt;margin-top:8.05pt;width:75.05pt;height:21.9pt;z-index:251657728" o:allowincell="f" filled="f" stroked="f" strokecolor="lime" strokeweight=".25pt">
            <v:textbox style="mso-next-textbox:#_x0000_s1031" inset="0,0,0,0">
              <w:txbxContent>
                <w:p w14:paraId="51076ED7" w14:textId="77777777" w:rsidR="00AD1B67" w:rsidRDefault="00B25813" w:rsidP="00AD1B67">
                  <w:pPr>
                    <w:spacing w:line="160" w:lineRule="exact"/>
                    <w:jc w:val="left"/>
                    <w:rPr>
                      <w:rFonts w:cs="Miriam" w:hint="cs"/>
                      <w:noProof/>
                      <w:szCs w:val="18"/>
                      <w:rtl/>
                    </w:rPr>
                  </w:pPr>
                  <w:r>
                    <w:rPr>
                      <w:rFonts w:cs="Miriam" w:hint="cs"/>
                      <w:szCs w:val="18"/>
                      <w:rtl/>
                    </w:rPr>
                    <w:t>דיון והחלטה על פי ראיות בכתב</w:t>
                  </w:r>
                </w:p>
              </w:txbxContent>
            </v:textbox>
            <w10:anchorlock/>
          </v:rect>
        </w:pict>
      </w:r>
      <w:r>
        <w:rPr>
          <w:rStyle w:val="big-number"/>
          <w:rFonts w:cs="Miriam" w:hint="cs"/>
          <w:rtl/>
        </w:rPr>
        <w:t>5</w:t>
      </w:r>
      <w:r>
        <w:rPr>
          <w:rStyle w:val="big-number"/>
          <w:rFonts w:cs="Miriam"/>
          <w:rtl/>
        </w:rPr>
        <w:t>.</w:t>
      </w:r>
      <w:r>
        <w:rPr>
          <w:rStyle w:val="big-number"/>
          <w:rFonts w:cs="Miriam"/>
          <w:rtl/>
        </w:rPr>
        <w:tab/>
      </w:r>
      <w:r w:rsidR="00B25813">
        <w:rPr>
          <w:rStyle w:val="default"/>
          <w:rFonts w:cs="FrankRuehl" w:hint="cs"/>
          <w:rtl/>
        </w:rPr>
        <w:t>ועדת הערר תדון בערר על פי ראיות שהובאו בתצהירים ועל פי ראיות אחרות בכתב שצורפו לכתב הטענות, אלא אם כן החליטה, מיוזמתה או לבקשת בעל דין, לאפשר חקירת מצהיר או עד שאינו מצהיר</w:t>
      </w:r>
      <w:r>
        <w:rPr>
          <w:rStyle w:val="default"/>
          <w:rFonts w:cs="FrankRuehl" w:hint="cs"/>
          <w:rtl/>
        </w:rPr>
        <w:t>.</w:t>
      </w:r>
    </w:p>
    <w:p w14:paraId="542BD39B" w14:textId="77777777" w:rsidR="00AD1B67" w:rsidRDefault="00AD1B67" w:rsidP="00274A6D">
      <w:pPr>
        <w:pStyle w:val="P00"/>
        <w:spacing w:before="72"/>
        <w:ind w:left="0" w:right="1134"/>
        <w:rPr>
          <w:rStyle w:val="default"/>
          <w:rFonts w:cs="FrankRuehl" w:hint="cs"/>
          <w:rtl/>
        </w:rPr>
      </w:pPr>
      <w:bookmarkStart w:id="5" w:name="Seif6"/>
      <w:bookmarkEnd w:id="5"/>
      <w:r>
        <w:rPr>
          <w:lang w:val="he-IL"/>
        </w:rPr>
        <w:pict w14:anchorId="3B1ACAC4">
          <v:rect id="_x0000_s1032" style="position:absolute;left:0;text-align:left;margin-left:464.5pt;margin-top:8.05pt;width:75.05pt;height:10pt;z-index:251658752" o:allowincell="f" filled="f" stroked="f" strokecolor="lime" strokeweight=".25pt">
            <v:textbox style="mso-next-textbox:#_x0000_s1032" inset="0,0,0,0">
              <w:txbxContent>
                <w:p w14:paraId="574CEA28" w14:textId="77777777" w:rsidR="00AD1B67" w:rsidRDefault="00274A6D" w:rsidP="00AD1B67">
                  <w:pPr>
                    <w:spacing w:line="160" w:lineRule="exact"/>
                    <w:jc w:val="left"/>
                    <w:rPr>
                      <w:rFonts w:cs="Miriam" w:hint="cs"/>
                      <w:noProof/>
                      <w:szCs w:val="18"/>
                      <w:rtl/>
                    </w:rPr>
                  </w:pPr>
                  <w:r>
                    <w:rPr>
                      <w:rFonts w:cs="Miriam" w:hint="cs"/>
                      <w:szCs w:val="18"/>
                      <w:rtl/>
                    </w:rPr>
                    <w:t>חקירת מצהיר</w:t>
                  </w:r>
                </w:p>
              </w:txbxContent>
            </v:textbox>
            <w10:anchorlock/>
          </v:rect>
        </w:pict>
      </w:r>
      <w:r w:rsidR="00B25813">
        <w:rPr>
          <w:rStyle w:val="big-number"/>
          <w:rFonts w:cs="Miriam" w:hint="cs"/>
          <w:rtl/>
        </w:rPr>
        <w:t>6</w:t>
      </w:r>
      <w:r>
        <w:rPr>
          <w:rStyle w:val="big-number"/>
          <w:rFonts w:cs="Miriam"/>
          <w:rtl/>
        </w:rPr>
        <w:t>.</w:t>
      </w:r>
      <w:r>
        <w:rPr>
          <w:rStyle w:val="big-number"/>
          <w:rFonts w:cs="Miriam"/>
          <w:rtl/>
        </w:rPr>
        <w:tab/>
      </w:r>
      <w:r w:rsidR="00274A6D">
        <w:rPr>
          <w:rStyle w:val="default"/>
          <w:rFonts w:cs="FrankRuehl" w:hint="cs"/>
          <w:rtl/>
        </w:rPr>
        <w:t>(א)</w:t>
      </w:r>
      <w:r w:rsidR="00274A6D">
        <w:rPr>
          <w:rStyle w:val="default"/>
          <w:rFonts w:cs="FrankRuehl" w:hint="cs"/>
          <w:rtl/>
        </w:rPr>
        <w:tab/>
      </w:r>
      <w:r w:rsidR="00AD4382">
        <w:rPr>
          <w:rStyle w:val="default"/>
          <w:rFonts w:cs="FrankRuehl" w:hint="cs"/>
          <w:rtl/>
        </w:rPr>
        <w:t>בקשה לחקירת מצהיר, כאמור בסעיף 10(א)(2) לחוק שירות הקבע, תוגש בכתב לוועדת הערר, לא יאוחר מעשרים ואחד ימים לפני מועד הדיון, ואם לא נקבע דיון בהשתתפות בעלי הדין, בתוך 14 ימים מיום הגשת התצהיר; בקשה כאמור תפרט את הנושאים שעליהם מתבקשת החקירה ואת עמדתו של בעל הדין שמטעמו הוגש התצהיר, לעניין הבקשה, וכן תצורף לה תגובתו של אותו בעל דין, אם המבקש נתבקש לכך על ידו.</w:t>
      </w:r>
    </w:p>
    <w:p w14:paraId="3061BFDF" w14:textId="77777777" w:rsidR="00AD4382" w:rsidRDefault="00AD4382" w:rsidP="00274A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ועדת הערר את הבקשה, תורה על התייצבותו של המצהיר לחקירה במועד שתיקבע.</w:t>
      </w:r>
    </w:p>
    <w:p w14:paraId="310A8A55" w14:textId="77777777" w:rsidR="00AD1B67" w:rsidRDefault="00AD1B67" w:rsidP="004F08E5">
      <w:pPr>
        <w:pStyle w:val="P00"/>
        <w:spacing w:before="72"/>
        <w:ind w:left="0" w:right="1134"/>
        <w:rPr>
          <w:rStyle w:val="default"/>
          <w:rFonts w:cs="FrankRuehl" w:hint="cs"/>
          <w:rtl/>
        </w:rPr>
      </w:pPr>
      <w:bookmarkStart w:id="6" w:name="Seif7"/>
      <w:bookmarkEnd w:id="6"/>
      <w:r>
        <w:rPr>
          <w:lang w:val="he-IL"/>
        </w:rPr>
        <w:pict w14:anchorId="0DE19ECB">
          <v:rect id="_x0000_s1033" style="position:absolute;left:0;text-align:left;margin-left:464.5pt;margin-top:8.05pt;width:75.05pt;height:20.1pt;z-index:251659776" o:allowincell="f" filled="f" stroked="f" strokecolor="lime" strokeweight=".25pt">
            <v:textbox style="mso-next-textbox:#_x0000_s1033" inset="0,0,0,0">
              <w:txbxContent>
                <w:p w14:paraId="26CD4453" w14:textId="77777777" w:rsidR="00AD1B67" w:rsidRDefault="004F08E5" w:rsidP="00AD1B67">
                  <w:pPr>
                    <w:spacing w:line="160" w:lineRule="exact"/>
                    <w:jc w:val="left"/>
                    <w:rPr>
                      <w:rFonts w:cs="Miriam" w:hint="cs"/>
                      <w:noProof/>
                      <w:szCs w:val="18"/>
                      <w:rtl/>
                    </w:rPr>
                  </w:pPr>
                  <w:r>
                    <w:rPr>
                      <w:rFonts w:cs="Miriam" w:hint="cs"/>
                      <w:szCs w:val="18"/>
                      <w:rtl/>
                    </w:rPr>
                    <w:t>חקירת עד שאינו מצהיר</w:t>
                  </w:r>
                </w:p>
              </w:txbxContent>
            </v:textbox>
            <w10:anchorlock/>
          </v:rect>
        </w:pict>
      </w:r>
      <w:r w:rsidR="00AD4382">
        <w:rPr>
          <w:rStyle w:val="big-number"/>
          <w:rFonts w:cs="Miriam" w:hint="cs"/>
          <w:rtl/>
        </w:rPr>
        <w:t>7</w:t>
      </w:r>
      <w:r>
        <w:rPr>
          <w:rStyle w:val="big-number"/>
          <w:rFonts w:cs="Miriam"/>
          <w:rtl/>
        </w:rPr>
        <w:t>.</w:t>
      </w:r>
      <w:r>
        <w:rPr>
          <w:rStyle w:val="big-number"/>
          <w:rFonts w:cs="Miriam"/>
          <w:rtl/>
        </w:rPr>
        <w:tab/>
      </w:r>
      <w:r w:rsidR="004F08E5">
        <w:rPr>
          <w:rStyle w:val="default"/>
          <w:rFonts w:cs="FrankRuehl" w:hint="cs"/>
          <w:rtl/>
        </w:rPr>
        <w:t>(א)</w:t>
      </w:r>
      <w:r w:rsidR="004F08E5">
        <w:rPr>
          <w:rStyle w:val="default"/>
          <w:rFonts w:cs="FrankRuehl" w:hint="cs"/>
          <w:rtl/>
        </w:rPr>
        <w:tab/>
        <w:t>בקשה לחקירת עד שאינו מצהיר תוגש בכתב לוועדת הערר, לא יאוחר מעשרים ואחד ימים לפני מועד הדיון, ואם לא נקבע דיון בהשתתפות בעלי הדין, בתוך 14 ימים מיום הגשת התצהיר, ותפרט את הנושאים שעליהם מתבקשת החקירה, מדוע נדרשת חקירת העד לצורך הכרעה בערר, מדוע לא ניתן להסתפק בראיות שהוגשו, ואם ניתן לקבל את העדות בדרך אחרת; המבקש יציין בבקשה את עמדתו של בעל הדין שכנגד לעניין הבקשה, וכן יצרף את תגובתו של אותו בעל דין, אם נתבקש לכך על ידו.</w:t>
      </w:r>
    </w:p>
    <w:p w14:paraId="7C699AD1" w14:textId="77777777" w:rsidR="004F08E5" w:rsidRDefault="004F08E5" w:rsidP="004F08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5712C">
        <w:rPr>
          <w:rStyle w:val="default"/>
          <w:rFonts w:cs="FrankRuehl" w:hint="cs"/>
          <w:rtl/>
        </w:rPr>
        <w:t>ועדת הערר רשאית, לאחר שנתנה לשאר בעלי הדין הזדמנות להגיב לבקשה, להתיר השמעת עד שאינו מצהיר.</w:t>
      </w:r>
    </w:p>
    <w:p w14:paraId="7A65501D" w14:textId="77777777" w:rsidR="0015712C" w:rsidRDefault="0015712C" w:rsidP="004F08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קיבלה ועדת הערר את הבקשה, תורה על התייצבותו של העד לחקירה במועד שתקבע.</w:t>
      </w:r>
    </w:p>
    <w:p w14:paraId="1BBF630C" w14:textId="77777777" w:rsidR="00AD1B67" w:rsidRDefault="00AD1B67" w:rsidP="0015712C">
      <w:pPr>
        <w:pStyle w:val="P00"/>
        <w:spacing w:before="72"/>
        <w:ind w:left="0" w:right="1134"/>
        <w:rPr>
          <w:rStyle w:val="default"/>
          <w:rFonts w:cs="FrankRuehl" w:hint="cs"/>
          <w:rtl/>
        </w:rPr>
      </w:pPr>
      <w:bookmarkStart w:id="7" w:name="Seif8"/>
      <w:bookmarkEnd w:id="7"/>
      <w:r>
        <w:rPr>
          <w:lang w:val="he-IL"/>
        </w:rPr>
        <w:pict w14:anchorId="23958034">
          <v:rect id="_x0000_s1034" style="position:absolute;left:0;text-align:left;margin-left:464.5pt;margin-top:8.05pt;width:75.05pt;height:10pt;z-index:251660800" o:allowincell="f" filled="f" stroked="f" strokecolor="lime" strokeweight=".25pt">
            <v:textbox style="mso-next-textbox:#_x0000_s1034" inset="0,0,0,0">
              <w:txbxContent>
                <w:p w14:paraId="6F49B0F7" w14:textId="77777777" w:rsidR="00AD1B67" w:rsidRDefault="0015712C" w:rsidP="00AD1B67">
                  <w:pPr>
                    <w:spacing w:line="160" w:lineRule="exact"/>
                    <w:jc w:val="left"/>
                    <w:rPr>
                      <w:rFonts w:cs="Miriam" w:hint="cs"/>
                      <w:noProof/>
                      <w:szCs w:val="18"/>
                      <w:rtl/>
                    </w:rPr>
                  </w:pPr>
                  <w:r>
                    <w:rPr>
                      <w:rFonts w:cs="Miriam" w:hint="cs"/>
                      <w:szCs w:val="18"/>
                      <w:rtl/>
                    </w:rPr>
                    <w:t>סדר הטיעון</w:t>
                  </w:r>
                </w:p>
              </w:txbxContent>
            </v:textbox>
            <w10:anchorlock/>
          </v:rect>
        </w:pict>
      </w:r>
      <w:r w:rsidR="0015712C">
        <w:rPr>
          <w:rStyle w:val="big-number"/>
          <w:rFonts w:cs="Miriam" w:hint="cs"/>
          <w:rtl/>
        </w:rPr>
        <w:t>8</w:t>
      </w:r>
      <w:r>
        <w:rPr>
          <w:rStyle w:val="big-number"/>
          <w:rFonts w:cs="Miriam"/>
          <w:rtl/>
        </w:rPr>
        <w:t>.</w:t>
      </w:r>
      <w:r>
        <w:rPr>
          <w:rStyle w:val="big-number"/>
          <w:rFonts w:cs="Miriam"/>
          <w:rtl/>
        </w:rPr>
        <w:tab/>
      </w:r>
      <w:r w:rsidR="0015712C">
        <w:rPr>
          <w:rStyle w:val="default"/>
          <w:rFonts w:cs="FrankRuehl" w:hint="cs"/>
          <w:rtl/>
        </w:rPr>
        <w:t>(א)</w:t>
      </w:r>
      <w:r w:rsidR="0015712C">
        <w:rPr>
          <w:rStyle w:val="default"/>
          <w:rFonts w:cs="FrankRuehl" w:hint="cs"/>
          <w:rtl/>
        </w:rPr>
        <w:tab/>
        <w:t>נקבע כי יתקיים דיון בעל פה לפני הוועדה, יטען העורר תחילה והמשיב יטען אחריו, אלא אם כן קבעה ועדת הערר סדר טיעון אחר; היו כמה עוררים, תקבע ועדת הערר את סדר הטיעון ביניהם</w:t>
      </w:r>
      <w:r>
        <w:rPr>
          <w:rStyle w:val="default"/>
          <w:rFonts w:cs="FrankRuehl" w:hint="cs"/>
          <w:rtl/>
        </w:rPr>
        <w:t>.</w:t>
      </w:r>
    </w:p>
    <w:p w14:paraId="1847763D" w14:textId="77777777" w:rsidR="0015712C" w:rsidRDefault="0015712C" w:rsidP="0015712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ועדת הערר רשאית להתיר לבעל דין טיעון נוסף בתשובה לטענות בעל הדין שכנגד.</w:t>
      </w:r>
    </w:p>
    <w:p w14:paraId="088FC274" w14:textId="77777777" w:rsidR="0015712C" w:rsidRDefault="0015712C" w:rsidP="001571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818DE">
        <w:rPr>
          <w:rStyle w:val="default"/>
          <w:rFonts w:cs="FrankRuehl" w:hint="cs"/>
          <w:rtl/>
        </w:rPr>
        <w:t>התירה ועדת הערר חקירת מצהיר או חקירת עד שאינו מצהיר, תיערך חקירתו לפני שמיעת טענות בעלי הדין, ואולם רשאית ועדת הערר, אם ראתה טעם לכך, להתיר חקירת מצהיר בשלב אחר של הדיון; המצהיר מטעם העורר ייחקר תחילה, אלא אם כן קבעה ועדת הערר סדר אחר; היו כמה עוררים, תקבע הוועדה את סדר חקירת המצהירים ביניהם.</w:t>
      </w:r>
    </w:p>
    <w:p w14:paraId="0E2389C6" w14:textId="77777777" w:rsidR="006818DE" w:rsidRDefault="006818DE" w:rsidP="0015712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הערר רשאית להורות על השלמת טיעונים בכתב בעניינים שקבעה, במקום טיעון בעל פה.</w:t>
      </w:r>
    </w:p>
    <w:p w14:paraId="04693C29" w14:textId="77777777" w:rsidR="00AD1B67" w:rsidRDefault="00AD1B67" w:rsidP="006818DE">
      <w:pPr>
        <w:pStyle w:val="P00"/>
        <w:spacing w:before="72"/>
        <w:ind w:left="0" w:right="1134"/>
        <w:rPr>
          <w:rStyle w:val="default"/>
          <w:rFonts w:cs="FrankRuehl" w:hint="cs"/>
          <w:rtl/>
        </w:rPr>
      </w:pPr>
      <w:bookmarkStart w:id="8" w:name="Seif9"/>
      <w:bookmarkEnd w:id="8"/>
      <w:r>
        <w:rPr>
          <w:lang w:val="he-IL"/>
        </w:rPr>
        <w:pict w14:anchorId="3964160B">
          <v:rect id="_x0000_s1035" style="position:absolute;left:0;text-align:left;margin-left:464.5pt;margin-top:8.05pt;width:75.05pt;height:10pt;z-index:251661824" o:allowincell="f" filled="f" stroked="f" strokecolor="lime" strokeweight=".25pt">
            <v:textbox style="mso-next-textbox:#_x0000_s1035" inset="0,0,0,0">
              <w:txbxContent>
                <w:p w14:paraId="7E208605" w14:textId="77777777" w:rsidR="00AD1B67" w:rsidRDefault="006818DE" w:rsidP="00AD1B67">
                  <w:pPr>
                    <w:spacing w:line="160" w:lineRule="exact"/>
                    <w:jc w:val="left"/>
                    <w:rPr>
                      <w:rFonts w:cs="Miriam" w:hint="cs"/>
                      <w:noProof/>
                      <w:szCs w:val="18"/>
                      <w:rtl/>
                    </w:rPr>
                  </w:pPr>
                  <w:r>
                    <w:rPr>
                      <w:rFonts w:cs="Miriam" w:hint="cs"/>
                      <w:szCs w:val="18"/>
                      <w:rtl/>
                    </w:rPr>
                    <w:t>סמכויות יושב ראש</w:t>
                  </w:r>
                </w:p>
              </w:txbxContent>
            </v:textbox>
            <w10:anchorlock/>
          </v:rect>
        </w:pict>
      </w:r>
      <w:r w:rsidR="006818DE">
        <w:rPr>
          <w:rStyle w:val="big-number"/>
          <w:rFonts w:cs="Miriam" w:hint="cs"/>
          <w:rtl/>
        </w:rPr>
        <w:t>9</w:t>
      </w:r>
      <w:r>
        <w:rPr>
          <w:rStyle w:val="big-number"/>
          <w:rFonts w:cs="Miriam"/>
          <w:rtl/>
        </w:rPr>
        <w:t>.</w:t>
      </w:r>
      <w:r>
        <w:rPr>
          <w:rStyle w:val="big-number"/>
          <w:rFonts w:cs="Miriam"/>
          <w:rtl/>
        </w:rPr>
        <w:tab/>
      </w:r>
      <w:r w:rsidR="006818DE">
        <w:rPr>
          <w:rStyle w:val="default"/>
          <w:rFonts w:cs="FrankRuehl" w:hint="cs"/>
          <w:rtl/>
        </w:rPr>
        <w:t>ליושב ראש מותב של ועדת הערר, בין שהוא שופט ובין שאיננו שופט, מוקנות כל הסמכויות המנויות בתקנה 29 לתקנות בתי דין מינהליים</w:t>
      </w:r>
      <w:r>
        <w:rPr>
          <w:rStyle w:val="default"/>
          <w:rFonts w:cs="FrankRuehl" w:hint="cs"/>
          <w:rtl/>
        </w:rPr>
        <w:t>.</w:t>
      </w:r>
    </w:p>
    <w:p w14:paraId="5435B275" w14:textId="77777777" w:rsidR="00B8081D" w:rsidRDefault="00B8081D">
      <w:pPr>
        <w:pStyle w:val="P00"/>
        <w:spacing w:before="72"/>
        <w:ind w:left="0" w:right="1134"/>
        <w:rPr>
          <w:rStyle w:val="default"/>
          <w:rFonts w:cs="FrankRuehl" w:hint="cs"/>
          <w:rtl/>
        </w:rPr>
      </w:pPr>
    </w:p>
    <w:p w14:paraId="2B0C09DF" w14:textId="77777777" w:rsidR="00690184" w:rsidRDefault="00690184">
      <w:pPr>
        <w:pStyle w:val="P00"/>
        <w:spacing w:before="72"/>
        <w:ind w:left="0" w:right="1134"/>
        <w:rPr>
          <w:rStyle w:val="default"/>
          <w:rFonts w:cs="FrankRuehl" w:hint="cs"/>
          <w:rtl/>
        </w:rPr>
      </w:pPr>
    </w:p>
    <w:p w14:paraId="07E381E9" w14:textId="77777777" w:rsidR="00B8081D" w:rsidRDefault="006818DE" w:rsidP="006818DE">
      <w:pPr>
        <w:pStyle w:val="sig-0"/>
        <w:ind w:left="0" w:right="1134"/>
        <w:rPr>
          <w:rtl/>
        </w:rPr>
      </w:pPr>
      <w:r>
        <w:rPr>
          <w:rFonts w:hint="cs"/>
          <w:rtl/>
        </w:rPr>
        <w:t>לק באב</w:t>
      </w:r>
      <w:r w:rsidR="002B6AA8">
        <w:rPr>
          <w:rFonts w:hint="cs"/>
          <w:rtl/>
        </w:rPr>
        <w:t xml:space="preserve"> התש"ע (</w:t>
      </w:r>
      <w:r>
        <w:rPr>
          <w:rFonts w:hint="cs"/>
          <w:rtl/>
        </w:rPr>
        <w:t>20 באוגוסט</w:t>
      </w:r>
      <w:r w:rsidR="002B6AA8">
        <w:rPr>
          <w:rFonts w:hint="cs"/>
          <w:rtl/>
        </w:rPr>
        <w:t xml:space="preserve"> 2010</w:t>
      </w:r>
      <w:r w:rsidR="00B8081D">
        <w:rPr>
          <w:rFonts w:hint="cs"/>
          <w:rtl/>
        </w:rPr>
        <w:t>)</w:t>
      </w:r>
      <w:r w:rsidR="00B8081D">
        <w:rPr>
          <w:rtl/>
        </w:rPr>
        <w:tab/>
      </w:r>
      <w:r>
        <w:rPr>
          <w:rFonts w:hint="cs"/>
          <w:rtl/>
        </w:rPr>
        <w:t>יעקב נאמן</w:t>
      </w:r>
    </w:p>
    <w:p w14:paraId="3DFB8F93" w14:textId="77777777" w:rsidR="00B8081D" w:rsidRDefault="00B8081D" w:rsidP="006818DE">
      <w:pPr>
        <w:pStyle w:val="sig-1"/>
        <w:widowControl/>
        <w:ind w:left="0" w:right="1134"/>
        <w:rPr>
          <w:rFonts w:hint="cs"/>
          <w:rtl/>
        </w:rPr>
      </w:pPr>
      <w:r>
        <w:rPr>
          <w:rtl/>
        </w:rPr>
        <w:tab/>
      </w:r>
      <w:r>
        <w:rPr>
          <w:rtl/>
        </w:rPr>
        <w:tab/>
      </w:r>
      <w:r>
        <w:rPr>
          <w:rtl/>
        </w:rPr>
        <w:tab/>
      </w:r>
      <w:r>
        <w:rPr>
          <w:rFonts w:hint="cs"/>
          <w:rtl/>
        </w:rPr>
        <w:t xml:space="preserve">שר </w:t>
      </w:r>
      <w:r w:rsidR="006818DE">
        <w:rPr>
          <w:rFonts w:hint="cs"/>
          <w:rtl/>
        </w:rPr>
        <w:t>המשפטים</w:t>
      </w:r>
    </w:p>
    <w:p w14:paraId="76BFE2A0" w14:textId="77777777" w:rsidR="00AD1B67" w:rsidRPr="00690184" w:rsidRDefault="00AD1B67" w:rsidP="00690184">
      <w:pPr>
        <w:pStyle w:val="P00"/>
        <w:spacing w:before="72"/>
        <w:ind w:left="0" w:right="1134"/>
        <w:rPr>
          <w:rStyle w:val="default"/>
          <w:rFonts w:cs="FrankRuehl" w:hint="cs"/>
          <w:rtl/>
        </w:rPr>
      </w:pPr>
    </w:p>
    <w:p w14:paraId="3A66075E" w14:textId="77777777" w:rsidR="00690184" w:rsidRPr="00690184" w:rsidRDefault="00690184" w:rsidP="00690184">
      <w:pPr>
        <w:pStyle w:val="P00"/>
        <w:spacing w:before="72"/>
        <w:ind w:left="0" w:right="1134"/>
        <w:rPr>
          <w:rStyle w:val="default"/>
          <w:rFonts w:cs="FrankRuehl"/>
          <w:rtl/>
        </w:rPr>
      </w:pPr>
    </w:p>
    <w:p w14:paraId="773562B5" w14:textId="77777777" w:rsidR="00B8081D" w:rsidRPr="00690184" w:rsidRDefault="00B8081D" w:rsidP="00690184">
      <w:pPr>
        <w:pStyle w:val="P00"/>
        <w:spacing w:before="72"/>
        <w:ind w:left="0" w:right="1134"/>
        <w:rPr>
          <w:rStyle w:val="default"/>
          <w:rFonts w:cs="FrankRuehl"/>
          <w:rtl/>
        </w:rPr>
      </w:pPr>
      <w:bookmarkStart w:id="9" w:name="LawPartEnd"/>
    </w:p>
    <w:bookmarkEnd w:id="9"/>
    <w:p w14:paraId="5618B77C" w14:textId="77777777" w:rsidR="007113AE" w:rsidRDefault="007113AE" w:rsidP="00690184">
      <w:pPr>
        <w:pStyle w:val="P00"/>
        <w:spacing w:before="72"/>
        <w:ind w:left="0" w:right="1134"/>
        <w:rPr>
          <w:rStyle w:val="default"/>
          <w:rFonts w:cs="FrankRuehl"/>
          <w:rtl/>
        </w:rPr>
      </w:pPr>
    </w:p>
    <w:p w14:paraId="0D43E219" w14:textId="77777777" w:rsidR="007113AE" w:rsidRDefault="007113AE" w:rsidP="00690184">
      <w:pPr>
        <w:pStyle w:val="P00"/>
        <w:spacing w:before="72"/>
        <w:ind w:left="0" w:right="1134"/>
        <w:rPr>
          <w:rStyle w:val="default"/>
          <w:rFonts w:cs="FrankRuehl"/>
          <w:rtl/>
        </w:rPr>
      </w:pPr>
    </w:p>
    <w:p w14:paraId="00458897" w14:textId="77777777" w:rsidR="007113AE" w:rsidRDefault="007113AE" w:rsidP="007113A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695C27B" w14:textId="77777777" w:rsidR="00B8081D" w:rsidRPr="007113AE" w:rsidRDefault="00B8081D" w:rsidP="007113AE">
      <w:pPr>
        <w:pStyle w:val="P00"/>
        <w:spacing w:before="72"/>
        <w:ind w:left="0" w:right="1134"/>
        <w:jc w:val="center"/>
        <w:rPr>
          <w:rStyle w:val="default"/>
          <w:rFonts w:cs="David"/>
          <w:color w:val="0000FF"/>
          <w:szCs w:val="24"/>
          <w:u w:val="single"/>
          <w:rtl/>
        </w:rPr>
      </w:pPr>
    </w:p>
    <w:sectPr w:rsidR="00B8081D" w:rsidRPr="007113A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1077" w14:textId="77777777" w:rsidR="00A87B81" w:rsidRDefault="00A87B81">
      <w:r>
        <w:separator/>
      </w:r>
    </w:p>
  </w:endnote>
  <w:endnote w:type="continuationSeparator" w:id="0">
    <w:p w14:paraId="4EFC80D1" w14:textId="77777777" w:rsidR="00A87B81" w:rsidRDefault="00A8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D8FA" w14:textId="77777777" w:rsidR="00B8081D" w:rsidRDefault="00B808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CFA525" w14:textId="77777777" w:rsidR="00B8081D" w:rsidRDefault="00B808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FF4A5E" w14:textId="77777777" w:rsidR="00B8081D" w:rsidRDefault="00B808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13AE">
      <w:rPr>
        <w:rFonts w:cs="TopType Jerushalmi"/>
        <w:noProof/>
        <w:color w:val="000000"/>
        <w:sz w:val="14"/>
        <w:szCs w:val="14"/>
      </w:rPr>
      <w:t>V:\000-law\yael\10-08-12\tav\500_366.doc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ECA" w14:textId="77777777" w:rsidR="00B8081D" w:rsidRDefault="00B808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13AE">
      <w:rPr>
        <w:rFonts w:hAnsi="FrankRuehl" w:cs="FrankRuehl"/>
        <w:noProof/>
        <w:sz w:val="24"/>
        <w:szCs w:val="24"/>
        <w:rtl/>
      </w:rPr>
      <w:t>3</w:t>
    </w:r>
    <w:r>
      <w:rPr>
        <w:rFonts w:hAnsi="FrankRuehl" w:cs="FrankRuehl"/>
        <w:sz w:val="24"/>
        <w:szCs w:val="24"/>
        <w:rtl/>
      </w:rPr>
      <w:fldChar w:fldCharType="end"/>
    </w:r>
  </w:p>
  <w:p w14:paraId="48845AC4" w14:textId="77777777" w:rsidR="00B8081D" w:rsidRDefault="00B808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9AF3D0" w14:textId="77777777" w:rsidR="00B8081D" w:rsidRDefault="00B808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13AE">
      <w:rPr>
        <w:rFonts w:cs="TopType Jerushalmi"/>
        <w:noProof/>
        <w:color w:val="000000"/>
        <w:sz w:val="14"/>
        <w:szCs w:val="14"/>
      </w:rPr>
      <w:t>V:\000-law\yael\10-08-12\tav\500_366.doc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84F4" w14:textId="77777777" w:rsidR="00A87B81" w:rsidRDefault="00A87B81" w:rsidP="00690184">
      <w:pPr>
        <w:spacing w:before="60" w:line="240" w:lineRule="auto"/>
        <w:ind w:right="1134"/>
      </w:pPr>
      <w:r>
        <w:separator/>
      </w:r>
    </w:p>
  </w:footnote>
  <w:footnote w:type="continuationSeparator" w:id="0">
    <w:p w14:paraId="3587A383" w14:textId="77777777" w:rsidR="00A87B81" w:rsidRDefault="00A87B81">
      <w:r>
        <w:continuationSeparator/>
      </w:r>
    </w:p>
  </w:footnote>
  <w:footnote w:id="1">
    <w:p w14:paraId="18C6128B" w14:textId="77777777" w:rsidR="003C0EF2" w:rsidRPr="00690184" w:rsidRDefault="00690184" w:rsidP="003C0E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sidR="00AD1B67">
        <w:rPr>
          <w:rFonts w:hint="cs"/>
          <w:sz w:val="20"/>
          <w:rtl/>
        </w:rPr>
        <w:t>ורסמו</w:t>
      </w:r>
      <w:r>
        <w:rPr>
          <w:rFonts w:hint="cs"/>
          <w:sz w:val="20"/>
          <w:rtl/>
        </w:rPr>
        <w:t xml:space="preserve"> </w:t>
      </w:r>
      <w:r w:rsidRPr="00547F55">
        <w:rPr>
          <w:rFonts w:hint="cs"/>
          <w:sz w:val="20"/>
          <w:rtl/>
        </w:rPr>
        <w:t xml:space="preserve">ק"ת </w:t>
      </w:r>
      <w:r w:rsidR="00547F55">
        <w:rPr>
          <w:rFonts w:hint="cs"/>
          <w:sz w:val="20"/>
          <w:rtl/>
        </w:rPr>
        <w:t>תש"ע</w:t>
      </w:r>
      <w:r w:rsidRPr="00547F55">
        <w:rPr>
          <w:rFonts w:hint="cs"/>
          <w:sz w:val="20"/>
          <w:rtl/>
        </w:rPr>
        <w:t xml:space="preserve"> </w:t>
      </w:r>
      <w:hyperlink r:id="rId1" w:history="1">
        <w:r w:rsidRPr="003C0EF2">
          <w:rPr>
            <w:rStyle w:val="Hyperlink"/>
            <w:rFonts w:hint="cs"/>
            <w:sz w:val="20"/>
            <w:rtl/>
          </w:rPr>
          <w:t xml:space="preserve">מס' </w:t>
        </w:r>
        <w:r w:rsidR="00547F55" w:rsidRPr="003C0EF2">
          <w:rPr>
            <w:rStyle w:val="Hyperlink"/>
            <w:rFonts w:hint="cs"/>
            <w:sz w:val="20"/>
            <w:rtl/>
          </w:rPr>
          <w:t>691</w:t>
        </w:r>
        <w:r w:rsidR="00AD1B67" w:rsidRPr="003C0EF2">
          <w:rPr>
            <w:rStyle w:val="Hyperlink"/>
            <w:rFonts w:hint="cs"/>
            <w:sz w:val="20"/>
            <w:rtl/>
          </w:rPr>
          <w:t>9</w:t>
        </w:r>
      </w:hyperlink>
      <w:r>
        <w:rPr>
          <w:rFonts w:hint="cs"/>
          <w:sz w:val="20"/>
          <w:rtl/>
        </w:rPr>
        <w:t xml:space="preserve"> מיום </w:t>
      </w:r>
      <w:r w:rsidR="00AD1B67">
        <w:rPr>
          <w:rFonts w:hint="cs"/>
          <w:sz w:val="20"/>
          <w:rtl/>
        </w:rPr>
        <w:t>12</w:t>
      </w:r>
      <w:r w:rsidR="00547F55">
        <w:rPr>
          <w:rFonts w:hint="cs"/>
          <w:sz w:val="20"/>
          <w:rtl/>
        </w:rPr>
        <w:t>.8.2010</w:t>
      </w:r>
      <w:r>
        <w:rPr>
          <w:rFonts w:hint="cs"/>
          <w:sz w:val="20"/>
          <w:rtl/>
        </w:rPr>
        <w:t xml:space="preserve"> עמ' </w:t>
      </w:r>
      <w:r w:rsidR="00AD1B67">
        <w:rPr>
          <w:rFonts w:hint="cs"/>
          <w:sz w:val="20"/>
          <w:rtl/>
        </w:rPr>
        <w:t>1484</w:t>
      </w:r>
      <w:r>
        <w:rPr>
          <w:rFonts w:hint="cs"/>
          <w:sz w:val="20"/>
          <w:rtl/>
        </w:rPr>
        <w:t>.</w:t>
      </w:r>
      <w:r w:rsidR="003C0EF2">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D5CE" w14:textId="77777777" w:rsidR="00B8081D" w:rsidRDefault="00B808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71BE2FA0" w14:textId="77777777" w:rsidR="00B8081D" w:rsidRDefault="00B808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360DA1" w14:textId="77777777" w:rsidR="00B8081D" w:rsidRDefault="00B8081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8F43" w14:textId="77777777" w:rsidR="00B8081D" w:rsidRDefault="00AD1B67" w:rsidP="00547F5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בתי דין מינהליים (סדרי דין בוועדת הערר שלפי חוק שירות הקבע</w:t>
    </w:r>
    <w:r w:rsidR="00547F55">
      <w:rPr>
        <w:rFonts w:hAnsi="FrankRuehl" w:cs="FrankRuehl" w:hint="cs"/>
        <w:color w:val="000000"/>
        <w:sz w:val="28"/>
        <w:szCs w:val="28"/>
        <w:rtl/>
      </w:rPr>
      <w:t>), תש"ע-2010</w:t>
    </w:r>
  </w:p>
  <w:p w14:paraId="4158C8F1" w14:textId="77777777" w:rsidR="00B8081D" w:rsidRDefault="00B808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21A9F5" w14:textId="77777777" w:rsidR="00B8081D" w:rsidRDefault="00B8081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15712C"/>
    <w:rsid w:val="001A4318"/>
    <w:rsid w:val="00274A6D"/>
    <w:rsid w:val="0028727B"/>
    <w:rsid w:val="002A7F36"/>
    <w:rsid w:val="002B6AA8"/>
    <w:rsid w:val="002D77DC"/>
    <w:rsid w:val="003C0EF2"/>
    <w:rsid w:val="004F08E5"/>
    <w:rsid w:val="004F7A92"/>
    <w:rsid w:val="00547F55"/>
    <w:rsid w:val="006818DE"/>
    <w:rsid w:val="00690184"/>
    <w:rsid w:val="006A31DC"/>
    <w:rsid w:val="007113AE"/>
    <w:rsid w:val="00A65261"/>
    <w:rsid w:val="00A77E67"/>
    <w:rsid w:val="00A87B81"/>
    <w:rsid w:val="00AD1B67"/>
    <w:rsid w:val="00AD4382"/>
    <w:rsid w:val="00B25813"/>
    <w:rsid w:val="00B8081D"/>
    <w:rsid w:val="00BE16D3"/>
    <w:rsid w:val="00E929B5"/>
    <w:rsid w:val="00F363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835F77"/>
  <w15:chartTrackingRefBased/>
  <w15:docId w15:val="{296817A4-8FDF-4804-8AAF-7A5B2ED6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פרק 314</vt:lpstr>
    </vt:vector>
  </TitlesOfParts>
  <Company/>
  <LinksUpToDate>false</LinksUpToDate>
  <CharactersWithSpaces>4431</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8257544</vt:i4>
      </vt:variant>
      <vt:variant>
        <vt:i4>0</vt:i4>
      </vt:variant>
      <vt:variant>
        <vt:i4>0</vt:i4>
      </vt:variant>
      <vt:variant>
        <vt:i4>5</vt:i4>
      </vt:variant>
      <vt:variant>
        <vt:lpwstr>http://www.nevo.co.il/Law_word/law06/tak-6919.pdf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סדרי דין</vt:lpwstr>
  </property>
  <property fmtid="{D5CDD505-2E9C-101B-9397-08002B2CF9AE}" pid="4" name="LAWNAME">
    <vt:lpwstr>תקנות בתי דין מינהליים (סדרי דין בוועדת הערר שלפי חוק שירות הקבע), תש"ע-2010</vt:lpwstr>
  </property>
  <property fmtid="{D5CDD505-2E9C-101B-9397-08002B2CF9AE}" pid="5" name="LAWNUMBER">
    <vt:lpwstr>0366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מינהליים</vt:lpwstr>
  </property>
  <property fmtid="{D5CDD505-2E9C-101B-9397-08002B2CF9AE}" pid="14" name="NOSE42">
    <vt:lpwstr>סדר דין</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בתי דין מינהליים</vt:lpwstr>
  </property>
  <property fmtid="{D5CDD505-2E9C-101B-9397-08002B2CF9AE}" pid="48" name="MEKOR_SAIF1">
    <vt:lpwstr>54X</vt:lpwstr>
  </property>
  <property fmtid="{D5CDD505-2E9C-101B-9397-08002B2CF9AE}" pid="49" name="MEKOR_NAME2">
    <vt:lpwstr>חוק שירות הקבע בצבא הגנה לישראל (הליכים לעניין החלטות הנוגעות לחיילים בשירות קבע)</vt:lpwstr>
  </property>
  <property fmtid="{D5CDD505-2E9C-101B-9397-08002B2CF9AE}" pid="50" name="MEKOR_SAIF2">
    <vt:lpwstr>5X</vt:lpwstr>
  </property>
  <property fmtid="{D5CDD505-2E9C-101B-9397-08002B2CF9AE}" pid="51" name="MEKORSAMCHUT">
    <vt:lpwstr/>
  </property>
  <property fmtid="{D5CDD505-2E9C-101B-9397-08002B2CF9AE}" pid="52" name="LINKK1">
    <vt:lpwstr>http://www.nevo.co.il/Law_word/law06/tak-6919.pdf;‎רשומות – תקנות כלליות#פורסמו ק"ת תש"ע מס' ‏‏6919#מיום 12.8.2010#עמ' 1484‏</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