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9C85" w14:textId="77777777" w:rsidR="005650B4" w:rsidRDefault="005650B4" w:rsidP="00227F1E">
      <w:pPr>
        <w:pStyle w:val="big-header"/>
        <w:ind w:left="0" w:right="1134"/>
        <w:rPr>
          <w:rFonts w:cs="FrankRuehl"/>
          <w:sz w:val="32"/>
        </w:rPr>
      </w:pPr>
      <w:r>
        <w:rPr>
          <w:rFonts w:cs="FrankRuehl"/>
          <w:sz w:val="32"/>
          <w:rtl/>
        </w:rPr>
        <w:t>תקנות בתי דין מינהליים (סדרי דין), תשנ"ב</w:t>
      </w:r>
      <w:r w:rsidR="00227F1E">
        <w:rPr>
          <w:rFonts w:cs="FrankRuehl" w:hint="cs"/>
          <w:sz w:val="32"/>
          <w:rtl/>
        </w:rPr>
        <w:t>-</w:t>
      </w:r>
      <w:r>
        <w:rPr>
          <w:rFonts w:cs="FrankRuehl"/>
          <w:sz w:val="32"/>
          <w:rtl/>
        </w:rPr>
        <w:t>1992</w:t>
      </w:r>
    </w:p>
    <w:p w14:paraId="26028BAF" w14:textId="77777777" w:rsidR="003139F3" w:rsidRPr="003139F3" w:rsidRDefault="003139F3" w:rsidP="003139F3">
      <w:pPr>
        <w:spacing w:line="320" w:lineRule="auto"/>
        <w:jc w:val="left"/>
        <w:rPr>
          <w:rFonts w:cs="FrankRuehl"/>
          <w:szCs w:val="26"/>
          <w:rtl/>
        </w:rPr>
      </w:pPr>
    </w:p>
    <w:p w14:paraId="4AB58B98" w14:textId="77777777" w:rsidR="003139F3" w:rsidRDefault="003139F3" w:rsidP="003139F3">
      <w:pPr>
        <w:spacing w:line="320" w:lineRule="auto"/>
        <w:jc w:val="left"/>
        <w:rPr>
          <w:rtl/>
        </w:rPr>
      </w:pPr>
    </w:p>
    <w:p w14:paraId="31B929F3" w14:textId="77777777" w:rsidR="003139F3" w:rsidRDefault="003139F3" w:rsidP="003139F3">
      <w:pPr>
        <w:spacing w:line="320" w:lineRule="auto"/>
        <w:jc w:val="left"/>
        <w:rPr>
          <w:rFonts w:cs="FrankRuehl"/>
          <w:szCs w:val="26"/>
          <w:rtl/>
        </w:rPr>
      </w:pPr>
      <w:r w:rsidRPr="003139F3">
        <w:rPr>
          <w:rFonts w:cs="Miriam"/>
          <w:szCs w:val="22"/>
          <w:rtl/>
        </w:rPr>
        <w:t>רשויות ומשפט מנהלי</w:t>
      </w:r>
      <w:r w:rsidRPr="003139F3">
        <w:rPr>
          <w:rFonts w:cs="FrankRuehl"/>
          <w:szCs w:val="26"/>
          <w:rtl/>
        </w:rPr>
        <w:t xml:space="preserve"> – בתי דין מינהליים – סדר דין</w:t>
      </w:r>
    </w:p>
    <w:p w14:paraId="278B200D" w14:textId="77777777" w:rsidR="003139F3" w:rsidRDefault="003139F3" w:rsidP="003139F3">
      <w:pPr>
        <w:spacing w:line="320" w:lineRule="auto"/>
        <w:jc w:val="left"/>
        <w:rPr>
          <w:rFonts w:cs="FrankRuehl"/>
          <w:szCs w:val="26"/>
          <w:rtl/>
        </w:rPr>
      </w:pPr>
      <w:r w:rsidRPr="003139F3">
        <w:rPr>
          <w:rFonts w:cs="Miriam"/>
          <w:szCs w:val="22"/>
          <w:rtl/>
        </w:rPr>
        <w:t>בתי משפט וסדרי דין</w:t>
      </w:r>
      <w:r w:rsidRPr="003139F3">
        <w:rPr>
          <w:rFonts w:cs="FrankRuehl"/>
          <w:szCs w:val="26"/>
          <w:rtl/>
        </w:rPr>
        <w:t xml:space="preserve"> – בתי משפט ובתי דין – בתי דין מינהליים</w:t>
      </w:r>
    </w:p>
    <w:p w14:paraId="1F596539" w14:textId="77777777" w:rsidR="003139F3" w:rsidRPr="003139F3" w:rsidRDefault="003139F3" w:rsidP="003139F3">
      <w:pPr>
        <w:spacing w:line="320" w:lineRule="auto"/>
        <w:jc w:val="left"/>
        <w:rPr>
          <w:rFonts w:cs="Miriam"/>
          <w:szCs w:val="22"/>
          <w:rtl/>
        </w:rPr>
      </w:pPr>
      <w:r w:rsidRPr="003139F3">
        <w:rPr>
          <w:rFonts w:cs="Miriam"/>
          <w:szCs w:val="22"/>
          <w:rtl/>
        </w:rPr>
        <w:t>בתי משפט וסדרי דין</w:t>
      </w:r>
      <w:r w:rsidRPr="003139F3">
        <w:rPr>
          <w:rFonts w:cs="FrankRuehl"/>
          <w:szCs w:val="26"/>
          <w:rtl/>
        </w:rPr>
        <w:t xml:space="preserve"> – סדר דין אזרחי – סדר דין בבי"ד שונים</w:t>
      </w:r>
    </w:p>
    <w:p w14:paraId="438CEEA9" w14:textId="77777777" w:rsidR="005650B4" w:rsidRDefault="005650B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1AF2" w:rsidRPr="00041AF2" w14:paraId="6CA2132B" w14:textId="77777777">
        <w:tblPrEx>
          <w:tblCellMar>
            <w:top w:w="0" w:type="dxa"/>
            <w:bottom w:w="0" w:type="dxa"/>
          </w:tblCellMar>
        </w:tblPrEx>
        <w:tc>
          <w:tcPr>
            <w:tcW w:w="1247" w:type="dxa"/>
          </w:tcPr>
          <w:p w14:paraId="10AC90A8" w14:textId="77777777" w:rsidR="00041AF2" w:rsidRPr="00041AF2" w:rsidRDefault="00041AF2" w:rsidP="00041AF2">
            <w:pPr>
              <w:spacing w:line="240" w:lineRule="auto"/>
              <w:jc w:val="left"/>
              <w:rPr>
                <w:rFonts w:cs="Frankruhel"/>
                <w:sz w:val="24"/>
                <w:rtl/>
              </w:rPr>
            </w:pPr>
            <w:r>
              <w:rPr>
                <w:sz w:val="24"/>
                <w:rtl/>
              </w:rPr>
              <w:t xml:space="preserve">סעיף 1 </w:t>
            </w:r>
          </w:p>
        </w:tc>
        <w:tc>
          <w:tcPr>
            <w:tcW w:w="5669" w:type="dxa"/>
          </w:tcPr>
          <w:p w14:paraId="4736268B" w14:textId="77777777" w:rsidR="00041AF2" w:rsidRPr="00041AF2" w:rsidRDefault="00041AF2" w:rsidP="00041AF2">
            <w:pPr>
              <w:spacing w:line="240" w:lineRule="auto"/>
              <w:jc w:val="left"/>
              <w:rPr>
                <w:rFonts w:cs="Frankruhel"/>
                <w:sz w:val="24"/>
                <w:rtl/>
              </w:rPr>
            </w:pPr>
            <w:r>
              <w:rPr>
                <w:sz w:val="24"/>
                <w:rtl/>
              </w:rPr>
              <w:t>פירוש מלים וביטויים</w:t>
            </w:r>
          </w:p>
        </w:tc>
        <w:tc>
          <w:tcPr>
            <w:tcW w:w="567" w:type="dxa"/>
          </w:tcPr>
          <w:p w14:paraId="03716E1A" w14:textId="77777777" w:rsidR="00041AF2" w:rsidRPr="00041AF2" w:rsidRDefault="00041AF2" w:rsidP="00041AF2">
            <w:pPr>
              <w:spacing w:line="240" w:lineRule="auto"/>
              <w:jc w:val="left"/>
              <w:rPr>
                <w:rStyle w:val="Hyperlink"/>
                <w:rtl/>
              </w:rPr>
            </w:pPr>
            <w:hyperlink w:anchor="Seif1" w:tooltip="פירוש מלים וביטויים" w:history="1">
              <w:r w:rsidRPr="00041AF2">
                <w:rPr>
                  <w:rStyle w:val="Hyperlink"/>
                </w:rPr>
                <w:t>Go</w:t>
              </w:r>
            </w:hyperlink>
          </w:p>
        </w:tc>
        <w:tc>
          <w:tcPr>
            <w:tcW w:w="850" w:type="dxa"/>
          </w:tcPr>
          <w:p w14:paraId="3199997D"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6999F337" w14:textId="77777777">
        <w:tblPrEx>
          <w:tblCellMar>
            <w:top w:w="0" w:type="dxa"/>
            <w:bottom w:w="0" w:type="dxa"/>
          </w:tblCellMar>
        </w:tblPrEx>
        <w:tc>
          <w:tcPr>
            <w:tcW w:w="1247" w:type="dxa"/>
          </w:tcPr>
          <w:p w14:paraId="20C652C2" w14:textId="77777777" w:rsidR="00041AF2" w:rsidRPr="00041AF2" w:rsidRDefault="00041AF2" w:rsidP="00041AF2">
            <w:pPr>
              <w:spacing w:line="240" w:lineRule="auto"/>
              <w:jc w:val="left"/>
              <w:rPr>
                <w:rFonts w:cs="Frankruhel"/>
                <w:sz w:val="24"/>
                <w:rtl/>
              </w:rPr>
            </w:pPr>
            <w:r>
              <w:rPr>
                <w:sz w:val="24"/>
                <w:rtl/>
              </w:rPr>
              <w:t xml:space="preserve">סעיף 2 </w:t>
            </w:r>
          </w:p>
        </w:tc>
        <w:tc>
          <w:tcPr>
            <w:tcW w:w="5669" w:type="dxa"/>
          </w:tcPr>
          <w:p w14:paraId="736192F2" w14:textId="77777777" w:rsidR="00041AF2" w:rsidRPr="00041AF2" w:rsidRDefault="00041AF2" w:rsidP="00041AF2">
            <w:pPr>
              <w:spacing w:line="240" w:lineRule="auto"/>
              <w:jc w:val="left"/>
              <w:rPr>
                <w:rFonts w:cs="Frankruhel"/>
                <w:sz w:val="24"/>
                <w:rtl/>
              </w:rPr>
            </w:pPr>
            <w:r>
              <w:rPr>
                <w:sz w:val="24"/>
                <w:rtl/>
              </w:rPr>
              <w:t>תחולה</w:t>
            </w:r>
          </w:p>
        </w:tc>
        <w:tc>
          <w:tcPr>
            <w:tcW w:w="567" w:type="dxa"/>
          </w:tcPr>
          <w:p w14:paraId="014F5025" w14:textId="77777777" w:rsidR="00041AF2" w:rsidRPr="00041AF2" w:rsidRDefault="00041AF2" w:rsidP="00041AF2">
            <w:pPr>
              <w:spacing w:line="240" w:lineRule="auto"/>
              <w:jc w:val="left"/>
              <w:rPr>
                <w:rStyle w:val="Hyperlink"/>
                <w:rtl/>
              </w:rPr>
            </w:pPr>
            <w:hyperlink w:anchor="Seif2" w:tooltip="תחולה" w:history="1">
              <w:r w:rsidRPr="00041AF2">
                <w:rPr>
                  <w:rStyle w:val="Hyperlink"/>
                </w:rPr>
                <w:t>Go</w:t>
              </w:r>
            </w:hyperlink>
          </w:p>
        </w:tc>
        <w:tc>
          <w:tcPr>
            <w:tcW w:w="850" w:type="dxa"/>
          </w:tcPr>
          <w:p w14:paraId="5AC2433A"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227E4C8F" w14:textId="77777777">
        <w:tblPrEx>
          <w:tblCellMar>
            <w:top w:w="0" w:type="dxa"/>
            <w:bottom w:w="0" w:type="dxa"/>
          </w:tblCellMar>
        </w:tblPrEx>
        <w:tc>
          <w:tcPr>
            <w:tcW w:w="1247" w:type="dxa"/>
          </w:tcPr>
          <w:p w14:paraId="521486E8" w14:textId="77777777" w:rsidR="00041AF2" w:rsidRPr="00041AF2" w:rsidRDefault="00041AF2" w:rsidP="00041AF2">
            <w:pPr>
              <w:spacing w:line="240" w:lineRule="auto"/>
              <w:jc w:val="left"/>
              <w:rPr>
                <w:rFonts w:cs="Frankruhel"/>
                <w:sz w:val="24"/>
                <w:rtl/>
              </w:rPr>
            </w:pPr>
            <w:r>
              <w:rPr>
                <w:sz w:val="24"/>
                <w:rtl/>
              </w:rPr>
              <w:t xml:space="preserve">סעיף 3 </w:t>
            </w:r>
          </w:p>
        </w:tc>
        <w:tc>
          <w:tcPr>
            <w:tcW w:w="5669" w:type="dxa"/>
          </w:tcPr>
          <w:p w14:paraId="78884AC5" w14:textId="77777777" w:rsidR="00041AF2" w:rsidRPr="00041AF2" w:rsidRDefault="00041AF2" w:rsidP="00041AF2">
            <w:pPr>
              <w:spacing w:line="240" w:lineRule="auto"/>
              <w:jc w:val="left"/>
              <w:rPr>
                <w:rFonts w:cs="Frankruhel"/>
                <w:sz w:val="24"/>
                <w:rtl/>
              </w:rPr>
            </w:pPr>
            <w:r>
              <w:rPr>
                <w:sz w:val="24"/>
                <w:rtl/>
              </w:rPr>
              <w:t>המען להגשת הערר</w:t>
            </w:r>
          </w:p>
        </w:tc>
        <w:tc>
          <w:tcPr>
            <w:tcW w:w="567" w:type="dxa"/>
          </w:tcPr>
          <w:p w14:paraId="1FA95544" w14:textId="77777777" w:rsidR="00041AF2" w:rsidRPr="00041AF2" w:rsidRDefault="00041AF2" w:rsidP="00041AF2">
            <w:pPr>
              <w:spacing w:line="240" w:lineRule="auto"/>
              <w:jc w:val="left"/>
              <w:rPr>
                <w:rStyle w:val="Hyperlink"/>
                <w:rtl/>
              </w:rPr>
            </w:pPr>
            <w:hyperlink w:anchor="Seif3" w:tooltip="המען להגשת הערר" w:history="1">
              <w:r w:rsidRPr="00041AF2">
                <w:rPr>
                  <w:rStyle w:val="Hyperlink"/>
                </w:rPr>
                <w:t>Go</w:t>
              </w:r>
            </w:hyperlink>
          </w:p>
        </w:tc>
        <w:tc>
          <w:tcPr>
            <w:tcW w:w="850" w:type="dxa"/>
          </w:tcPr>
          <w:p w14:paraId="3E38C22F"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3D3BA38F" w14:textId="77777777">
        <w:tblPrEx>
          <w:tblCellMar>
            <w:top w:w="0" w:type="dxa"/>
            <w:bottom w:w="0" w:type="dxa"/>
          </w:tblCellMar>
        </w:tblPrEx>
        <w:tc>
          <w:tcPr>
            <w:tcW w:w="1247" w:type="dxa"/>
          </w:tcPr>
          <w:p w14:paraId="624BC85D" w14:textId="77777777" w:rsidR="00041AF2" w:rsidRPr="00041AF2" w:rsidRDefault="00041AF2" w:rsidP="00041AF2">
            <w:pPr>
              <w:spacing w:line="240" w:lineRule="auto"/>
              <w:jc w:val="left"/>
              <w:rPr>
                <w:rFonts w:cs="Frankruhel"/>
                <w:sz w:val="24"/>
                <w:rtl/>
              </w:rPr>
            </w:pPr>
            <w:r>
              <w:rPr>
                <w:sz w:val="24"/>
                <w:rtl/>
              </w:rPr>
              <w:t xml:space="preserve">סעיף 4 </w:t>
            </w:r>
          </w:p>
        </w:tc>
        <w:tc>
          <w:tcPr>
            <w:tcW w:w="5669" w:type="dxa"/>
          </w:tcPr>
          <w:p w14:paraId="10527D64" w14:textId="77777777" w:rsidR="00041AF2" w:rsidRPr="00041AF2" w:rsidRDefault="00041AF2" w:rsidP="00041AF2">
            <w:pPr>
              <w:spacing w:line="240" w:lineRule="auto"/>
              <w:jc w:val="left"/>
              <w:rPr>
                <w:rFonts w:cs="Frankruhel"/>
                <w:sz w:val="24"/>
                <w:rtl/>
              </w:rPr>
            </w:pPr>
            <w:r>
              <w:rPr>
                <w:sz w:val="24"/>
                <w:rtl/>
              </w:rPr>
              <w:t>מקום השיפוט</w:t>
            </w:r>
          </w:p>
        </w:tc>
        <w:tc>
          <w:tcPr>
            <w:tcW w:w="567" w:type="dxa"/>
          </w:tcPr>
          <w:p w14:paraId="47A1247E" w14:textId="77777777" w:rsidR="00041AF2" w:rsidRPr="00041AF2" w:rsidRDefault="00041AF2" w:rsidP="00041AF2">
            <w:pPr>
              <w:spacing w:line="240" w:lineRule="auto"/>
              <w:jc w:val="left"/>
              <w:rPr>
                <w:rStyle w:val="Hyperlink"/>
                <w:rtl/>
              </w:rPr>
            </w:pPr>
            <w:hyperlink w:anchor="Seif4" w:tooltip="מקום השיפוט" w:history="1">
              <w:r w:rsidRPr="00041AF2">
                <w:rPr>
                  <w:rStyle w:val="Hyperlink"/>
                </w:rPr>
                <w:t>Go</w:t>
              </w:r>
            </w:hyperlink>
          </w:p>
        </w:tc>
        <w:tc>
          <w:tcPr>
            <w:tcW w:w="850" w:type="dxa"/>
          </w:tcPr>
          <w:p w14:paraId="0C01D456"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135C2850" w14:textId="77777777">
        <w:tblPrEx>
          <w:tblCellMar>
            <w:top w:w="0" w:type="dxa"/>
            <w:bottom w:w="0" w:type="dxa"/>
          </w:tblCellMar>
        </w:tblPrEx>
        <w:tc>
          <w:tcPr>
            <w:tcW w:w="1247" w:type="dxa"/>
          </w:tcPr>
          <w:p w14:paraId="33FE8742" w14:textId="77777777" w:rsidR="00041AF2" w:rsidRPr="00041AF2" w:rsidRDefault="00041AF2" w:rsidP="00041AF2">
            <w:pPr>
              <w:spacing w:line="240" w:lineRule="auto"/>
              <w:jc w:val="left"/>
              <w:rPr>
                <w:rFonts w:cs="Frankruhel"/>
                <w:sz w:val="24"/>
                <w:rtl/>
              </w:rPr>
            </w:pPr>
            <w:r>
              <w:rPr>
                <w:sz w:val="24"/>
                <w:rtl/>
              </w:rPr>
              <w:t xml:space="preserve">סעיף 5 </w:t>
            </w:r>
          </w:p>
        </w:tc>
        <w:tc>
          <w:tcPr>
            <w:tcW w:w="5669" w:type="dxa"/>
          </w:tcPr>
          <w:p w14:paraId="4697AE71" w14:textId="77777777" w:rsidR="00041AF2" w:rsidRPr="00041AF2" w:rsidRDefault="00041AF2" w:rsidP="00041AF2">
            <w:pPr>
              <w:spacing w:line="240" w:lineRule="auto"/>
              <w:jc w:val="left"/>
              <w:rPr>
                <w:rFonts w:cs="Frankruhel"/>
                <w:sz w:val="24"/>
                <w:rtl/>
              </w:rPr>
            </w:pPr>
            <w:r>
              <w:rPr>
                <w:sz w:val="24"/>
                <w:rtl/>
              </w:rPr>
              <w:t>כתב הערר</w:t>
            </w:r>
          </w:p>
        </w:tc>
        <w:tc>
          <w:tcPr>
            <w:tcW w:w="567" w:type="dxa"/>
          </w:tcPr>
          <w:p w14:paraId="440BF91F" w14:textId="77777777" w:rsidR="00041AF2" w:rsidRPr="00041AF2" w:rsidRDefault="00041AF2" w:rsidP="00041AF2">
            <w:pPr>
              <w:spacing w:line="240" w:lineRule="auto"/>
              <w:jc w:val="left"/>
              <w:rPr>
                <w:rStyle w:val="Hyperlink"/>
                <w:rtl/>
              </w:rPr>
            </w:pPr>
            <w:hyperlink w:anchor="Seif5" w:tooltip="כתב הערר" w:history="1">
              <w:r w:rsidRPr="00041AF2">
                <w:rPr>
                  <w:rStyle w:val="Hyperlink"/>
                </w:rPr>
                <w:t>Go</w:t>
              </w:r>
            </w:hyperlink>
          </w:p>
        </w:tc>
        <w:tc>
          <w:tcPr>
            <w:tcW w:w="850" w:type="dxa"/>
          </w:tcPr>
          <w:p w14:paraId="1A60EC76"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04DD6F09" w14:textId="77777777">
        <w:tblPrEx>
          <w:tblCellMar>
            <w:top w:w="0" w:type="dxa"/>
            <w:bottom w:w="0" w:type="dxa"/>
          </w:tblCellMar>
        </w:tblPrEx>
        <w:tc>
          <w:tcPr>
            <w:tcW w:w="1247" w:type="dxa"/>
          </w:tcPr>
          <w:p w14:paraId="51833671" w14:textId="77777777" w:rsidR="00041AF2" w:rsidRPr="00041AF2" w:rsidRDefault="00041AF2" w:rsidP="00041AF2">
            <w:pPr>
              <w:spacing w:line="240" w:lineRule="auto"/>
              <w:jc w:val="left"/>
              <w:rPr>
                <w:rFonts w:cs="Frankruhel"/>
                <w:sz w:val="24"/>
                <w:rtl/>
              </w:rPr>
            </w:pPr>
            <w:r>
              <w:rPr>
                <w:sz w:val="24"/>
                <w:rtl/>
              </w:rPr>
              <w:t xml:space="preserve">סעיף 6 </w:t>
            </w:r>
          </w:p>
        </w:tc>
        <w:tc>
          <w:tcPr>
            <w:tcW w:w="5669" w:type="dxa"/>
          </w:tcPr>
          <w:p w14:paraId="31CC5B6D" w14:textId="77777777" w:rsidR="00041AF2" w:rsidRPr="00041AF2" w:rsidRDefault="00041AF2" w:rsidP="00041AF2">
            <w:pPr>
              <w:spacing w:line="240" w:lineRule="auto"/>
              <w:jc w:val="left"/>
              <w:rPr>
                <w:rFonts w:cs="Frankruhel"/>
                <w:sz w:val="24"/>
                <w:rtl/>
              </w:rPr>
            </w:pPr>
            <w:r>
              <w:rPr>
                <w:sz w:val="24"/>
                <w:rtl/>
              </w:rPr>
              <w:t>פרטי הערר</w:t>
            </w:r>
          </w:p>
        </w:tc>
        <w:tc>
          <w:tcPr>
            <w:tcW w:w="567" w:type="dxa"/>
          </w:tcPr>
          <w:p w14:paraId="07DC3E4A" w14:textId="77777777" w:rsidR="00041AF2" w:rsidRPr="00041AF2" w:rsidRDefault="00041AF2" w:rsidP="00041AF2">
            <w:pPr>
              <w:spacing w:line="240" w:lineRule="auto"/>
              <w:jc w:val="left"/>
              <w:rPr>
                <w:rStyle w:val="Hyperlink"/>
                <w:rtl/>
              </w:rPr>
            </w:pPr>
            <w:hyperlink w:anchor="Seif6" w:tooltip="פרטי הערר" w:history="1">
              <w:r w:rsidRPr="00041AF2">
                <w:rPr>
                  <w:rStyle w:val="Hyperlink"/>
                </w:rPr>
                <w:t>Go</w:t>
              </w:r>
            </w:hyperlink>
          </w:p>
        </w:tc>
        <w:tc>
          <w:tcPr>
            <w:tcW w:w="850" w:type="dxa"/>
          </w:tcPr>
          <w:p w14:paraId="274E609F"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082682C0" w14:textId="77777777">
        <w:tblPrEx>
          <w:tblCellMar>
            <w:top w:w="0" w:type="dxa"/>
            <w:bottom w:w="0" w:type="dxa"/>
          </w:tblCellMar>
        </w:tblPrEx>
        <w:tc>
          <w:tcPr>
            <w:tcW w:w="1247" w:type="dxa"/>
          </w:tcPr>
          <w:p w14:paraId="3DF95362" w14:textId="77777777" w:rsidR="00041AF2" w:rsidRPr="00041AF2" w:rsidRDefault="00041AF2" w:rsidP="00041AF2">
            <w:pPr>
              <w:spacing w:line="240" w:lineRule="auto"/>
              <w:jc w:val="left"/>
              <w:rPr>
                <w:rFonts w:cs="Frankruhel"/>
                <w:sz w:val="24"/>
                <w:rtl/>
              </w:rPr>
            </w:pPr>
            <w:r>
              <w:rPr>
                <w:sz w:val="24"/>
                <w:rtl/>
              </w:rPr>
              <w:t xml:space="preserve">סעיף 7 </w:t>
            </w:r>
          </w:p>
        </w:tc>
        <w:tc>
          <w:tcPr>
            <w:tcW w:w="5669" w:type="dxa"/>
          </w:tcPr>
          <w:p w14:paraId="2100A966" w14:textId="77777777" w:rsidR="00041AF2" w:rsidRPr="00041AF2" w:rsidRDefault="00041AF2" w:rsidP="00041AF2">
            <w:pPr>
              <w:spacing w:line="240" w:lineRule="auto"/>
              <w:jc w:val="left"/>
              <w:rPr>
                <w:rFonts w:cs="Frankruhel"/>
                <w:sz w:val="24"/>
                <w:rtl/>
              </w:rPr>
            </w:pPr>
            <w:r>
              <w:rPr>
                <w:sz w:val="24"/>
                <w:rtl/>
              </w:rPr>
              <w:t>צירוף מסמכים</w:t>
            </w:r>
          </w:p>
        </w:tc>
        <w:tc>
          <w:tcPr>
            <w:tcW w:w="567" w:type="dxa"/>
          </w:tcPr>
          <w:p w14:paraId="316F7CE1" w14:textId="77777777" w:rsidR="00041AF2" w:rsidRPr="00041AF2" w:rsidRDefault="00041AF2" w:rsidP="00041AF2">
            <w:pPr>
              <w:spacing w:line="240" w:lineRule="auto"/>
              <w:jc w:val="left"/>
              <w:rPr>
                <w:rStyle w:val="Hyperlink"/>
                <w:rtl/>
              </w:rPr>
            </w:pPr>
            <w:hyperlink w:anchor="Seif7" w:tooltip="צירוף מסמכים" w:history="1">
              <w:r w:rsidRPr="00041AF2">
                <w:rPr>
                  <w:rStyle w:val="Hyperlink"/>
                </w:rPr>
                <w:t>Go</w:t>
              </w:r>
            </w:hyperlink>
          </w:p>
        </w:tc>
        <w:tc>
          <w:tcPr>
            <w:tcW w:w="850" w:type="dxa"/>
          </w:tcPr>
          <w:p w14:paraId="1D16A0E0"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58889270" w14:textId="77777777">
        <w:tblPrEx>
          <w:tblCellMar>
            <w:top w:w="0" w:type="dxa"/>
            <w:bottom w:w="0" w:type="dxa"/>
          </w:tblCellMar>
        </w:tblPrEx>
        <w:tc>
          <w:tcPr>
            <w:tcW w:w="1247" w:type="dxa"/>
          </w:tcPr>
          <w:p w14:paraId="4872BD44" w14:textId="77777777" w:rsidR="00041AF2" w:rsidRPr="00041AF2" w:rsidRDefault="00041AF2" w:rsidP="00041AF2">
            <w:pPr>
              <w:spacing w:line="240" w:lineRule="auto"/>
              <w:jc w:val="left"/>
              <w:rPr>
                <w:rFonts w:cs="Frankruhel"/>
                <w:sz w:val="24"/>
                <w:rtl/>
              </w:rPr>
            </w:pPr>
            <w:r>
              <w:rPr>
                <w:sz w:val="24"/>
                <w:rtl/>
              </w:rPr>
              <w:t xml:space="preserve">סעיף 8 </w:t>
            </w:r>
          </w:p>
        </w:tc>
        <w:tc>
          <w:tcPr>
            <w:tcW w:w="5669" w:type="dxa"/>
          </w:tcPr>
          <w:p w14:paraId="74D3B869" w14:textId="77777777" w:rsidR="00041AF2" w:rsidRPr="00041AF2" w:rsidRDefault="00041AF2" w:rsidP="00041AF2">
            <w:pPr>
              <w:spacing w:line="240" w:lineRule="auto"/>
              <w:jc w:val="left"/>
              <w:rPr>
                <w:rFonts w:cs="Frankruhel"/>
                <w:sz w:val="24"/>
                <w:rtl/>
              </w:rPr>
            </w:pPr>
            <w:r>
              <w:rPr>
                <w:sz w:val="24"/>
                <w:rtl/>
              </w:rPr>
              <w:t>עורר פסול דין</w:t>
            </w:r>
          </w:p>
        </w:tc>
        <w:tc>
          <w:tcPr>
            <w:tcW w:w="567" w:type="dxa"/>
          </w:tcPr>
          <w:p w14:paraId="795684C2" w14:textId="77777777" w:rsidR="00041AF2" w:rsidRPr="00041AF2" w:rsidRDefault="00041AF2" w:rsidP="00041AF2">
            <w:pPr>
              <w:spacing w:line="240" w:lineRule="auto"/>
              <w:jc w:val="left"/>
              <w:rPr>
                <w:rStyle w:val="Hyperlink"/>
                <w:rtl/>
              </w:rPr>
            </w:pPr>
            <w:hyperlink w:anchor="Seif8" w:tooltip="עורר פסול דין" w:history="1">
              <w:r w:rsidRPr="00041AF2">
                <w:rPr>
                  <w:rStyle w:val="Hyperlink"/>
                </w:rPr>
                <w:t>Go</w:t>
              </w:r>
            </w:hyperlink>
          </w:p>
        </w:tc>
        <w:tc>
          <w:tcPr>
            <w:tcW w:w="850" w:type="dxa"/>
          </w:tcPr>
          <w:p w14:paraId="073006FB"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1AF2" w:rsidRPr="00041AF2" w14:paraId="3A1052D6" w14:textId="77777777">
        <w:tblPrEx>
          <w:tblCellMar>
            <w:top w:w="0" w:type="dxa"/>
            <w:bottom w:w="0" w:type="dxa"/>
          </w:tblCellMar>
        </w:tblPrEx>
        <w:tc>
          <w:tcPr>
            <w:tcW w:w="1247" w:type="dxa"/>
          </w:tcPr>
          <w:p w14:paraId="0A66C8EE" w14:textId="77777777" w:rsidR="00041AF2" w:rsidRPr="00041AF2" w:rsidRDefault="00041AF2" w:rsidP="00041AF2">
            <w:pPr>
              <w:spacing w:line="240" w:lineRule="auto"/>
              <w:jc w:val="left"/>
              <w:rPr>
                <w:rFonts w:cs="Frankruhel"/>
                <w:sz w:val="24"/>
                <w:rtl/>
              </w:rPr>
            </w:pPr>
            <w:r>
              <w:rPr>
                <w:sz w:val="24"/>
                <w:rtl/>
              </w:rPr>
              <w:t xml:space="preserve">סעיף 9 </w:t>
            </w:r>
          </w:p>
        </w:tc>
        <w:tc>
          <w:tcPr>
            <w:tcW w:w="5669" w:type="dxa"/>
          </w:tcPr>
          <w:p w14:paraId="2436F7B4" w14:textId="77777777" w:rsidR="00041AF2" w:rsidRPr="00041AF2" w:rsidRDefault="00041AF2" w:rsidP="00041AF2">
            <w:pPr>
              <w:spacing w:line="240" w:lineRule="auto"/>
              <w:jc w:val="left"/>
              <w:rPr>
                <w:rFonts w:cs="Frankruhel"/>
                <w:sz w:val="24"/>
                <w:rtl/>
              </w:rPr>
            </w:pPr>
            <w:r>
              <w:rPr>
                <w:sz w:val="24"/>
                <w:rtl/>
              </w:rPr>
              <w:t>הארכת המועד להגשת ערר</w:t>
            </w:r>
          </w:p>
        </w:tc>
        <w:tc>
          <w:tcPr>
            <w:tcW w:w="567" w:type="dxa"/>
          </w:tcPr>
          <w:p w14:paraId="6BC9726E" w14:textId="77777777" w:rsidR="00041AF2" w:rsidRPr="00041AF2" w:rsidRDefault="00041AF2" w:rsidP="00041AF2">
            <w:pPr>
              <w:spacing w:line="240" w:lineRule="auto"/>
              <w:jc w:val="left"/>
              <w:rPr>
                <w:rStyle w:val="Hyperlink"/>
                <w:rtl/>
              </w:rPr>
            </w:pPr>
            <w:hyperlink w:anchor="Seif9" w:tooltip="הארכת המועד להגשת ערר" w:history="1">
              <w:r w:rsidRPr="00041AF2">
                <w:rPr>
                  <w:rStyle w:val="Hyperlink"/>
                </w:rPr>
                <w:t>Go</w:t>
              </w:r>
            </w:hyperlink>
          </w:p>
        </w:tc>
        <w:tc>
          <w:tcPr>
            <w:tcW w:w="850" w:type="dxa"/>
          </w:tcPr>
          <w:p w14:paraId="2A37CF16"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758BB5AE" w14:textId="77777777">
        <w:tblPrEx>
          <w:tblCellMar>
            <w:top w:w="0" w:type="dxa"/>
            <w:bottom w:w="0" w:type="dxa"/>
          </w:tblCellMar>
        </w:tblPrEx>
        <w:tc>
          <w:tcPr>
            <w:tcW w:w="1247" w:type="dxa"/>
          </w:tcPr>
          <w:p w14:paraId="1F46BF66" w14:textId="77777777" w:rsidR="00041AF2" w:rsidRPr="00041AF2" w:rsidRDefault="00041AF2" w:rsidP="00041AF2">
            <w:pPr>
              <w:spacing w:line="240" w:lineRule="auto"/>
              <w:jc w:val="left"/>
              <w:rPr>
                <w:rFonts w:cs="Frankruhel"/>
                <w:sz w:val="24"/>
                <w:rtl/>
              </w:rPr>
            </w:pPr>
            <w:r>
              <w:rPr>
                <w:sz w:val="24"/>
                <w:rtl/>
              </w:rPr>
              <w:t xml:space="preserve">סעיף 10 </w:t>
            </w:r>
          </w:p>
        </w:tc>
        <w:tc>
          <w:tcPr>
            <w:tcW w:w="5669" w:type="dxa"/>
          </w:tcPr>
          <w:p w14:paraId="782975DB" w14:textId="77777777" w:rsidR="00041AF2" w:rsidRPr="00041AF2" w:rsidRDefault="00041AF2" w:rsidP="00041AF2">
            <w:pPr>
              <w:spacing w:line="240" w:lineRule="auto"/>
              <w:jc w:val="left"/>
              <w:rPr>
                <w:rFonts w:cs="Frankruhel"/>
                <w:sz w:val="24"/>
                <w:rtl/>
              </w:rPr>
            </w:pPr>
            <w:r>
              <w:rPr>
                <w:sz w:val="24"/>
                <w:rtl/>
              </w:rPr>
              <w:t>המשיב</w:t>
            </w:r>
          </w:p>
        </w:tc>
        <w:tc>
          <w:tcPr>
            <w:tcW w:w="567" w:type="dxa"/>
          </w:tcPr>
          <w:p w14:paraId="699B4F89" w14:textId="77777777" w:rsidR="00041AF2" w:rsidRPr="00041AF2" w:rsidRDefault="00041AF2" w:rsidP="00041AF2">
            <w:pPr>
              <w:spacing w:line="240" w:lineRule="auto"/>
              <w:jc w:val="left"/>
              <w:rPr>
                <w:rStyle w:val="Hyperlink"/>
                <w:rtl/>
              </w:rPr>
            </w:pPr>
            <w:hyperlink w:anchor="Seif10" w:tooltip="המשיב" w:history="1">
              <w:r w:rsidRPr="00041AF2">
                <w:rPr>
                  <w:rStyle w:val="Hyperlink"/>
                </w:rPr>
                <w:t>Go</w:t>
              </w:r>
            </w:hyperlink>
          </w:p>
        </w:tc>
        <w:tc>
          <w:tcPr>
            <w:tcW w:w="850" w:type="dxa"/>
          </w:tcPr>
          <w:p w14:paraId="06473A14"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766268E9" w14:textId="77777777">
        <w:tblPrEx>
          <w:tblCellMar>
            <w:top w:w="0" w:type="dxa"/>
            <w:bottom w:w="0" w:type="dxa"/>
          </w:tblCellMar>
        </w:tblPrEx>
        <w:tc>
          <w:tcPr>
            <w:tcW w:w="1247" w:type="dxa"/>
          </w:tcPr>
          <w:p w14:paraId="0BC5B8B1" w14:textId="77777777" w:rsidR="00041AF2" w:rsidRPr="00041AF2" w:rsidRDefault="00041AF2" w:rsidP="00041AF2">
            <w:pPr>
              <w:spacing w:line="240" w:lineRule="auto"/>
              <w:jc w:val="left"/>
              <w:rPr>
                <w:rFonts w:cs="Frankruhel"/>
                <w:sz w:val="24"/>
                <w:rtl/>
              </w:rPr>
            </w:pPr>
            <w:r>
              <w:rPr>
                <w:sz w:val="24"/>
                <w:rtl/>
              </w:rPr>
              <w:t xml:space="preserve">סעיף 11 </w:t>
            </w:r>
          </w:p>
        </w:tc>
        <w:tc>
          <w:tcPr>
            <w:tcW w:w="5669" w:type="dxa"/>
          </w:tcPr>
          <w:p w14:paraId="3B4B281B" w14:textId="77777777" w:rsidR="00041AF2" w:rsidRPr="00041AF2" w:rsidRDefault="00041AF2" w:rsidP="00041AF2">
            <w:pPr>
              <w:spacing w:line="240" w:lineRule="auto"/>
              <w:jc w:val="left"/>
              <w:rPr>
                <w:rFonts w:cs="Frankruhel"/>
                <w:sz w:val="24"/>
                <w:rtl/>
              </w:rPr>
            </w:pPr>
            <w:r>
              <w:rPr>
                <w:sz w:val="24"/>
                <w:rtl/>
              </w:rPr>
              <w:t>פגם בכתב הערר</w:t>
            </w:r>
          </w:p>
        </w:tc>
        <w:tc>
          <w:tcPr>
            <w:tcW w:w="567" w:type="dxa"/>
          </w:tcPr>
          <w:p w14:paraId="4D4E6A6D" w14:textId="77777777" w:rsidR="00041AF2" w:rsidRPr="00041AF2" w:rsidRDefault="00041AF2" w:rsidP="00041AF2">
            <w:pPr>
              <w:spacing w:line="240" w:lineRule="auto"/>
              <w:jc w:val="left"/>
              <w:rPr>
                <w:rStyle w:val="Hyperlink"/>
                <w:rtl/>
              </w:rPr>
            </w:pPr>
            <w:hyperlink w:anchor="Seif11" w:tooltip="פגם בכתב הערר" w:history="1">
              <w:r w:rsidRPr="00041AF2">
                <w:rPr>
                  <w:rStyle w:val="Hyperlink"/>
                </w:rPr>
                <w:t>Go</w:t>
              </w:r>
            </w:hyperlink>
          </w:p>
        </w:tc>
        <w:tc>
          <w:tcPr>
            <w:tcW w:w="850" w:type="dxa"/>
          </w:tcPr>
          <w:p w14:paraId="5455B089"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35DFAA89" w14:textId="77777777">
        <w:tblPrEx>
          <w:tblCellMar>
            <w:top w:w="0" w:type="dxa"/>
            <w:bottom w:w="0" w:type="dxa"/>
          </w:tblCellMar>
        </w:tblPrEx>
        <w:tc>
          <w:tcPr>
            <w:tcW w:w="1247" w:type="dxa"/>
          </w:tcPr>
          <w:p w14:paraId="385F9720" w14:textId="77777777" w:rsidR="00041AF2" w:rsidRPr="00041AF2" w:rsidRDefault="00041AF2" w:rsidP="00041AF2">
            <w:pPr>
              <w:spacing w:line="240" w:lineRule="auto"/>
              <w:jc w:val="left"/>
              <w:rPr>
                <w:rFonts w:cs="Frankruhel"/>
                <w:sz w:val="24"/>
                <w:rtl/>
              </w:rPr>
            </w:pPr>
            <w:r>
              <w:rPr>
                <w:sz w:val="24"/>
                <w:rtl/>
              </w:rPr>
              <w:t xml:space="preserve">סעיף 12 </w:t>
            </w:r>
          </w:p>
        </w:tc>
        <w:tc>
          <w:tcPr>
            <w:tcW w:w="5669" w:type="dxa"/>
          </w:tcPr>
          <w:p w14:paraId="4635706E" w14:textId="77777777" w:rsidR="00041AF2" w:rsidRPr="00041AF2" w:rsidRDefault="00041AF2" w:rsidP="00041AF2">
            <w:pPr>
              <w:spacing w:line="240" w:lineRule="auto"/>
              <w:jc w:val="left"/>
              <w:rPr>
                <w:rFonts w:cs="Frankruhel"/>
                <w:sz w:val="24"/>
                <w:rtl/>
              </w:rPr>
            </w:pPr>
            <w:r>
              <w:rPr>
                <w:sz w:val="24"/>
                <w:rtl/>
              </w:rPr>
              <w:t>אגרה וערובה</w:t>
            </w:r>
          </w:p>
        </w:tc>
        <w:tc>
          <w:tcPr>
            <w:tcW w:w="567" w:type="dxa"/>
          </w:tcPr>
          <w:p w14:paraId="0B270295" w14:textId="77777777" w:rsidR="00041AF2" w:rsidRPr="00041AF2" w:rsidRDefault="00041AF2" w:rsidP="00041AF2">
            <w:pPr>
              <w:spacing w:line="240" w:lineRule="auto"/>
              <w:jc w:val="left"/>
              <w:rPr>
                <w:rStyle w:val="Hyperlink"/>
                <w:rtl/>
              </w:rPr>
            </w:pPr>
            <w:hyperlink w:anchor="Seif12" w:tooltip="אגרה וערובה" w:history="1">
              <w:r w:rsidRPr="00041AF2">
                <w:rPr>
                  <w:rStyle w:val="Hyperlink"/>
                </w:rPr>
                <w:t>Go</w:t>
              </w:r>
            </w:hyperlink>
          </w:p>
        </w:tc>
        <w:tc>
          <w:tcPr>
            <w:tcW w:w="850" w:type="dxa"/>
          </w:tcPr>
          <w:p w14:paraId="729AC0B4"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7C0D8D43" w14:textId="77777777">
        <w:tblPrEx>
          <w:tblCellMar>
            <w:top w:w="0" w:type="dxa"/>
            <w:bottom w:w="0" w:type="dxa"/>
          </w:tblCellMar>
        </w:tblPrEx>
        <w:tc>
          <w:tcPr>
            <w:tcW w:w="1247" w:type="dxa"/>
          </w:tcPr>
          <w:p w14:paraId="609E0809" w14:textId="77777777" w:rsidR="00041AF2" w:rsidRPr="00041AF2" w:rsidRDefault="00041AF2" w:rsidP="00041AF2">
            <w:pPr>
              <w:spacing w:line="240" w:lineRule="auto"/>
              <w:jc w:val="left"/>
              <w:rPr>
                <w:rFonts w:cs="Frankruhel"/>
                <w:sz w:val="24"/>
                <w:rtl/>
              </w:rPr>
            </w:pPr>
            <w:r>
              <w:rPr>
                <w:sz w:val="24"/>
                <w:rtl/>
              </w:rPr>
              <w:t xml:space="preserve">סעיף 13 </w:t>
            </w:r>
          </w:p>
        </w:tc>
        <w:tc>
          <w:tcPr>
            <w:tcW w:w="5669" w:type="dxa"/>
          </w:tcPr>
          <w:p w14:paraId="29A718F0" w14:textId="77777777" w:rsidR="00041AF2" w:rsidRPr="00041AF2" w:rsidRDefault="00041AF2" w:rsidP="00041AF2">
            <w:pPr>
              <w:spacing w:line="240" w:lineRule="auto"/>
              <w:jc w:val="left"/>
              <w:rPr>
                <w:rFonts w:cs="Frankruhel"/>
                <w:sz w:val="24"/>
                <w:rtl/>
              </w:rPr>
            </w:pPr>
            <w:r>
              <w:rPr>
                <w:sz w:val="24"/>
                <w:rtl/>
              </w:rPr>
              <w:t>חזרה מן הערר</w:t>
            </w:r>
          </w:p>
        </w:tc>
        <w:tc>
          <w:tcPr>
            <w:tcW w:w="567" w:type="dxa"/>
          </w:tcPr>
          <w:p w14:paraId="0A747699" w14:textId="77777777" w:rsidR="00041AF2" w:rsidRPr="00041AF2" w:rsidRDefault="00041AF2" w:rsidP="00041AF2">
            <w:pPr>
              <w:spacing w:line="240" w:lineRule="auto"/>
              <w:jc w:val="left"/>
              <w:rPr>
                <w:rStyle w:val="Hyperlink"/>
                <w:rtl/>
              </w:rPr>
            </w:pPr>
            <w:hyperlink w:anchor="Seif13" w:tooltip="חזרה מן הערר" w:history="1">
              <w:r w:rsidRPr="00041AF2">
                <w:rPr>
                  <w:rStyle w:val="Hyperlink"/>
                </w:rPr>
                <w:t>Go</w:t>
              </w:r>
            </w:hyperlink>
          </w:p>
        </w:tc>
        <w:tc>
          <w:tcPr>
            <w:tcW w:w="850" w:type="dxa"/>
          </w:tcPr>
          <w:p w14:paraId="30F68308"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33D6C91F" w14:textId="77777777">
        <w:tblPrEx>
          <w:tblCellMar>
            <w:top w:w="0" w:type="dxa"/>
            <w:bottom w:w="0" w:type="dxa"/>
          </w:tblCellMar>
        </w:tblPrEx>
        <w:tc>
          <w:tcPr>
            <w:tcW w:w="1247" w:type="dxa"/>
          </w:tcPr>
          <w:p w14:paraId="2EF14EDC" w14:textId="77777777" w:rsidR="00041AF2" w:rsidRPr="00041AF2" w:rsidRDefault="00041AF2" w:rsidP="00041AF2">
            <w:pPr>
              <w:spacing w:line="240" w:lineRule="auto"/>
              <w:jc w:val="left"/>
              <w:rPr>
                <w:rFonts w:cs="Frankruhel"/>
                <w:sz w:val="24"/>
                <w:rtl/>
              </w:rPr>
            </w:pPr>
            <w:r>
              <w:rPr>
                <w:sz w:val="24"/>
                <w:rtl/>
              </w:rPr>
              <w:t xml:space="preserve">סעיף 14 </w:t>
            </w:r>
          </w:p>
        </w:tc>
        <w:tc>
          <w:tcPr>
            <w:tcW w:w="5669" w:type="dxa"/>
          </w:tcPr>
          <w:p w14:paraId="7A6B09C9" w14:textId="77777777" w:rsidR="00041AF2" w:rsidRPr="00041AF2" w:rsidRDefault="00041AF2" w:rsidP="00041AF2">
            <w:pPr>
              <w:spacing w:line="240" w:lineRule="auto"/>
              <w:jc w:val="left"/>
              <w:rPr>
                <w:rFonts w:cs="Frankruhel"/>
                <w:sz w:val="24"/>
                <w:rtl/>
              </w:rPr>
            </w:pPr>
            <w:r>
              <w:rPr>
                <w:sz w:val="24"/>
                <w:rtl/>
              </w:rPr>
              <w:t>כתב תשובה</w:t>
            </w:r>
          </w:p>
        </w:tc>
        <w:tc>
          <w:tcPr>
            <w:tcW w:w="567" w:type="dxa"/>
          </w:tcPr>
          <w:p w14:paraId="7763693D" w14:textId="77777777" w:rsidR="00041AF2" w:rsidRPr="00041AF2" w:rsidRDefault="00041AF2" w:rsidP="00041AF2">
            <w:pPr>
              <w:spacing w:line="240" w:lineRule="auto"/>
              <w:jc w:val="left"/>
              <w:rPr>
                <w:rStyle w:val="Hyperlink"/>
                <w:rtl/>
              </w:rPr>
            </w:pPr>
            <w:hyperlink w:anchor="Seif14" w:tooltip="כתב תשובה" w:history="1">
              <w:r w:rsidRPr="00041AF2">
                <w:rPr>
                  <w:rStyle w:val="Hyperlink"/>
                </w:rPr>
                <w:t>Go</w:t>
              </w:r>
            </w:hyperlink>
          </w:p>
        </w:tc>
        <w:tc>
          <w:tcPr>
            <w:tcW w:w="850" w:type="dxa"/>
          </w:tcPr>
          <w:p w14:paraId="3BC947DD"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722F0238" w14:textId="77777777">
        <w:tblPrEx>
          <w:tblCellMar>
            <w:top w:w="0" w:type="dxa"/>
            <w:bottom w:w="0" w:type="dxa"/>
          </w:tblCellMar>
        </w:tblPrEx>
        <w:tc>
          <w:tcPr>
            <w:tcW w:w="1247" w:type="dxa"/>
          </w:tcPr>
          <w:p w14:paraId="51EE69F3" w14:textId="77777777" w:rsidR="00041AF2" w:rsidRPr="00041AF2" w:rsidRDefault="00041AF2" w:rsidP="00041AF2">
            <w:pPr>
              <w:spacing w:line="240" w:lineRule="auto"/>
              <w:jc w:val="left"/>
              <w:rPr>
                <w:rFonts w:cs="Frankruhel"/>
                <w:sz w:val="24"/>
                <w:rtl/>
              </w:rPr>
            </w:pPr>
            <w:r>
              <w:rPr>
                <w:sz w:val="24"/>
                <w:rtl/>
              </w:rPr>
              <w:t xml:space="preserve">סעיף 15 </w:t>
            </w:r>
          </w:p>
        </w:tc>
        <w:tc>
          <w:tcPr>
            <w:tcW w:w="5669" w:type="dxa"/>
          </w:tcPr>
          <w:p w14:paraId="42637841" w14:textId="77777777" w:rsidR="00041AF2" w:rsidRPr="00041AF2" w:rsidRDefault="00041AF2" w:rsidP="00041AF2">
            <w:pPr>
              <w:spacing w:line="240" w:lineRule="auto"/>
              <w:jc w:val="left"/>
              <w:rPr>
                <w:rFonts w:cs="Frankruhel"/>
                <w:sz w:val="24"/>
                <w:rtl/>
              </w:rPr>
            </w:pPr>
            <w:r>
              <w:rPr>
                <w:sz w:val="24"/>
                <w:rtl/>
              </w:rPr>
              <w:t>החלטה בלא כתב תשובה</w:t>
            </w:r>
          </w:p>
        </w:tc>
        <w:tc>
          <w:tcPr>
            <w:tcW w:w="567" w:type="dxa"/>
          </w:tcPr>
          <w:p w14:paraId="7D091B71" w14:textId="77777777" w:rsidR="00041AF2" w:rsidRPr="00041AF2" w:rsidRDefault="00041AF2" w:rsidP="00041AF2">
            <w:pPr>
              <w:spacing w:line="240" w:lineRule="auto"/>
              <w:jc w:val="left"/>
              <w:rPr>
                <w:rStyle w:val="Hyperlink"/>
                <w:rtl/>
              </w:rPr>
            </w:pPr>
            <w:hyperlink w:anchor="Seif15" w:tooltip="החלטה בלא כתב תשובה" w:history="1">
              <w:r w:rsidRPr="00041AF2">
                <w:rPr>
                  <w:rStyle w:val="Hyperlink"/>
                </w:rPr>
                <w:t>Go</w:t>
              </w:r>
            </w:hyperlink>
          </w:p>
        </w:tc>
        <w:tc>
          <w:tcPr>
            <w:tcW w:w="850" w:type="dxa"/>
          </w:tcPr>
          <w:p w14:paraId="616EC957"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45012682" w14:textId="77777777">
        <w:tblPrEx>
          <w:tblCellMar>
            <w:top w:w="0" w:type="dxa"/>
            <w:bottom w:w="0" w:type="dxa"/>
          </w:tblCellMar>
        </w:tblPrEx>
        <w:tc>
          <w:tcPr>
            <w:tcW w:w="1247" w:type="dxa"/>
          </w:tcPr>
          <w:p w14:paraId="1075029A" w14:textId="77777777" w:rsidR="00041AF2" w:rsidRPr="00041AF2" w:rsidRDefault="00041AF2" w:rsidP="00041AF2">
            <w:pPr>
              <w:spacing w:line="240" w:lineRule="auto"/>
              <w:jc w:val="left"/>
              <w:rPr>
                <w:rFonts w:cs="Frankruhel"/>
                <w:sz w:val="24"/>
                <w:rtl/>
              </w:rPr>
            </w:pPr>
            <w:r>
              <w:rPr>
                <w:sz w:val="24"/>
                <w:rtl/>
              </w:rPr>
              <w:t xml:space="preserve">סעיף 16 </w:t>
            </w:r>
          </w:p>
        </w:tc>
        <w:tc>
          <w:tcPr>
            <w:tcW w:w="5669" w:type="dxa"/>
          </w:tcPr>
          <w:p w14:paraId="73F182EB" w14:textId="77777777" w:rsidR="00041AF2" w:rsidRPr="00041AF2" w:rsidRDefault="00041AF2" w:rsidP="00041AF2">
            <w:pPr>
              <w:spacing w:line="240" w:lineRule="auto"/>
              <w:jc w:val="left"/>
              <w:rPr>
                <w:rFonts w:cs="Frankruhel"/>
                <w:sz w:val="24"/>
                <w:rtl/>
              </w:rPr>
            </w:pPr>
            <w:r>
              <w:rPr>
                <w:sz w:val="24"/>
                <w:rtl/>
              </w:rPr>
              <w:t>איחוד עררים</w:t>
            </w:r>
          </w:p>
        </w:tc>
        <w:tc>
          <w:tcPr>
            <w:tcW w:w="567" w:type="dxa"/>
          </w:tcPr>
          <w:p w14:paraId="13385B53" w14:textId="77777777" w:rsidR="00041AF2" w:rsidRPr="00041AF2" w:rsidRDefault="00041AF2" w:rsidP="00041AF2">
            <w:pPr>
              <w:spacing w:line="240" w:lineRule="auto"/>
              <w:jc w:val="left"/>
              <w:rPr>
                <w:rStyle w:val="Hyperlink"/>
                <w:rtl/>
              </w:rPr>
            </w:pPr>
            <w:hyperlink w:anchor="Seif16" w:tooltip="איחוד עררים" w:history="1">
              <w:r w:rsidRPr="00041AF2">
                <w:rPr>
                  <w:rStyle w:val="Hyperlink"/>
                </w:rPr>
                <w:t>Go</w:t>
              </w:r>
            </w:hyperlink>
          </w:p>
        </w:tc>
        <w:tc>
          <w:tcPr>
            <w:tcW w:w="850" w:type="dxa"/>
          </w:tcPr>
          <w:p w14:paraId="74142CA2"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1B596C5A" w14:textId="77777777">
        <w:tblPrEx>
          <w:tblCellMar>
            <w:top w:w="0" w:type="dxa"/>
            <w:bottom w:w="0" w:type="dxa"/>
          </w:tblCellMar>
        </w:tblPrEx>
        <w:tc>
          <w:tcPr>
            <w:tcW w:w="1247" w:type="dxa"/>
          </w:tcPr>
          <w:p w14:paraId="582F132E" w14:textId="77777777" w:rsidR="00041AF2" w:rsidRPr="00041AF2" w:rsidRDefault="00041AF2" w:rsidP="00041AF2">
            <w:pPr>
              <w:spacing w:line="240" w:lineRule="auto"/>
              <w:jc w:val="left"/>
              <w:rPr>
                <w:rFonts w:cs="Frankruhel"/>
                <w:sz w:val="24"/>
                <w:rtl/>
              </w:rPr>
            </w:pPr>
            <w:r>
              <w:rPr>
                <w:sz w:val="24"/>
                <w:rtl/>
              </w:rPr>
              <w:t xml:space="preserve">סעיף 17 </w:t>
            </w:r>
          </w:p>
        </w:tc>
        <w:tc>
          <w:tcPr>
            <w:tcW w:w="5669" w:type="dxa"/>
          </w:tcPr>
          <w:p w14:paraId="20FFB044" w14:textId="77777777" w:rsidR="00041AF2" w:rsidRPr="00041AF2" w:rsidRDefault="00041AF2" w:rsidP="00041AF2">
            <w:pPr>
              <w:spacing w:line="240" w:lineRule="auto"/>
              <w:jc w:val="left"/>
              <w:rPr>
                <w:rFonts w:cs="Frankruhel"/>
                <w:sz w:val="24"/>
                <w:rtl/>
              </w:rPr>
            </w:pPr>
            <w:r>
              <w:rPr>
                <w:sz w:val="24"/>
                <w:rtl/>
              </w:rPr>
              <w:t>קביעת מועד לדיון</w:t>
            </w:r>
          </w:p>
        </w:tc>
        <w:tc>
          <w:tcPr>
            <w:tcW w:w="567" w:type="dxa"/>
          </w:tcPr>
          <w:p w14:paraId="0C19F168" w14:textId="77777777" w:rsidR="00041AF2" w:rsidRPr="00041AF2" w:rsidRDefault="00041AF2" w:rsidP="00041AF2">
            <w:pPr>
              <w:spacing w:line="240" w:lineRule="auto"/>
              <w:jc w:val="left"/>
              <w:rPr>
                <w:rStyle w:val="Hyperlink"/>
                <w:rtl/>
              </w:rPr>
            </w:pPr>
            <w:hyperlink w:anchor="Seif17" w:tooltip="קביעת מועד לדיון" w:history="1">
              <w:r w:rsidRPr="00041AF2">
                <w:rPr>
                  <w:rStyle w:val="Hyperlink"/>
                </w:rPr>
                <w:t>Go</w:t>
              </w:r>
            </w:hyperlink>
          </w:p>
        </w:tc>
        <w:tc>
          <w:tcPr>
            <w:tcW w:w="850" w:type="dxa"/>
          </w:tcPr>
          <w:p w14:paraId="5A4EC7F2"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1F6A3731" w14:textId="77777777">
        <w:tblPrEx>
          <w:tblCellMar>
            <w:top w:w="0" w:type="dxa"/>
            <w:bottom w:w="0" w:type="dxa"/>
          </w:tblCellMar>
        </w:tblPrEx>
        <w:tc>
          <w:tcPr>
            <w:tcW w:w="1247" w:type="dxa"/>
          </w:tcPr>
          <w:p w14:paraId="509E7F94" w14:textId="77777777" w:rsidR="00041AF2" w:rsidRPr="00041AF2" w:rsidRDefault="00041AF2" w:rsidP="00041AF2">
            <w:pPr>
              <w:spacing w:line="240" w:lineRule="auto"/>
              <w:jc w:val="left"/>
              <w:rPr>
                <w:rFonts w:cs="Frankruhel"/>
                <w:sz w:val="24"/>
                <w:rtl/>
              </w:rPr>
            </w:pPr>
            <w:r>
              <w:rPr>
                <w:sz w:val="24"/>
                <w:rtl/>
              </w:rPr>
              <w:t xml:space="preserve">סעיף 18 </w:t>
            </w:r>
          </w:p>
        </w:tc>
        <w:tc>
          <w:tcPr>
            <w:tcW w:w="5669" w:type="dxa"/>
          </w:tcPr>
          <w:p w14:paraId="6B912429" w14:textId="77777777" w:rsidR="00041AF2" w:rsidRPr="00041AF2" w:rsidRDefault="00041AF2" w:rsidP="00041AF2">
            <w:pPr>
              <w:spacing w:line="240" w:lineRule="auto"/>
              <w:jc w:val="left"/>
              <w:rPr>
                <w:rFonts w:cs="Frankruhel"/>
                <w:sz w:val="24"/>
                <w:rtl/>
              </w:rPr>
            </w:pPr>
            <w:r>
              <w:rPr>
                <w:sz w:val="24"/>
                <w:rtl/>
              </w:rPr>
              <w:t>קדם דיון</w:t>
            </w:r>
          </w:p>
        </w:tc>
        <w:tc>
          <w:tcPr>
            <w:tcW w:w="567" w:type="dxa"/>
          </w:tcPr>
          <w:p w14:paraId="3A25191A" w14:textId="77777777" w:rsidR="00041AF2" w:rsidRPr="00041AF2" w:rsidRDefault="00041AF2" w:rsidP="00041AF2">
            <w:pPr>
              <w:spacing w:line="240" w:lineRule="auto"/>
              <w:jc w:val="left"/>
              <w:rPr>
                <w:rStyle w:val="Hyperlink"/>
                <w:rtl/>
              </w:rPr>
            </w:pPr>
            <w:hyperlink w:anchor="Seif18" w:tooltip="קדם דיון" w:history="1">
              <w:r w:rsidRPr="00041AF2">
                <w:rPr>
                  <w:rStyle w:val="Hyperlink"/>
                </w:rPr>
                <w:t>Go</w:t>
              </w:r>
            </w:hyperlink>
          </w:p>
        </w:tc>
        <w:tc>
          <w:tcPr>
            <w:tcW w:w="850" w:type="dxa"/>
          </w:tcPr>
          <w:p w14:paraId="3C40DCFA"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1AF2" w:rsidRPr="00041AF2" w14:paraId="75F72570" w14:textId="77777777">
        <w:tblPrEx>
          <w:tblCellMar>
            <w:top w:w="0" w:type="dxa"/>
            <w:bottom w:w="0" w:type="dxa"/>
          </w:tblCellMar>
        </w:tblPrEx>
        <w:tc>
          <w:tcPr>
            <w:tcW w:w="1247" w:type="dxa"/>
          </w:tcPr>
          <w:p w14:paraId="48D41A82" w14:textId="77777777" w:rsidR="00041AF2" w:rsidRPr="00041AF2" w:rsidRDefault="00041AF2" w:rsidP="00041AF2">
            <w:pPr>
              <w:spacing w:line="240" w:lineRule="auto"/>
              <w:jc w:val="left"/>
              <w:rPr>
                <w:rFonts w:cs="Frankruhel"/>
                <w:sz w:val="24"/>
                <w:rtl/>
              </w:rPr>
            </w:pPr>
            <w:r>
              <w:rPr>
                <w:sz w:val="24"/>
                <w:rtl/>
              </w:rPr>
              <w:t xml:space="preserve">סעיף 19 </w:t>
            </w:r>
          </w:p>
        </w:tc>
        <w:tc>
          <w:tcPr>
            <w:tcW w:w="5669" w:type="dxa"/>
          </w:tcPr>
          <w:p w14:paraId="0C09C08D" w14:textId="77777777" w:rsidR="00041AF2" w:rsidRPr="00041AF2" w:rsidRDefault="00041AF2" w:rsidP="00041AF2">
            <w:pPr>
              <w:spacing w:line="240" w:lineRule="auto"/>
              <w:jc w:val="left"/>
              <w:rPr>
                <w:rFonts w:cs="Frankruhel"/>
                <w:sz w:val="24"/>
                <w:rtl/>
              </w:rPr>
            </w:pPr>
            <w:r>
              <w:rPr>
                <w:sz w:val="24"/>
                <w:rtl/>
              </w:rPr>
              <w:t>טענות בכתב</w:t>
            </w:r>
          </w:p>
        </w:tc>
        <w:tc>
          <w:tcPr>
            <w:tcW w:w="567" w:type="dxa"/>
          </w:tcPr>
          <w:p w14:paraId="6D2C9419" w14:textId="77777777" w:rsidR="00041AF2" w:rsidRPr="00041AF2" w:rsidRDefault="00041AF2" w:rsidP="00041AF2">
            <w:pPr>
              <w:spacing w:line="240" w:lineRule="auto"/>
              <w:jc w:val="left"/>
              <w:rPr>
                <w:rStyle w:val="Hyperlink"/>
                <w:rtl/>
              </w:rPr>
            </w:pPr>
            <w:hyperlink w:anchor="Seif19" w:tooltip="טענות בכתב" w:history="1">
              <w:r w:rsidRPr="00041AF2">
                <w:rPr>
                  <w:rStyle w:val="Hyperlink"/>
                </w:rPr>
                <w:t>Go</w:t>
              </w:r>
            </w:hyperlink>
          </w:p>
        </w:tc>
        <w:tc>
          <w:tcPr>
            <w:tcW w:w="850" w:type="dxa"/>
          </w:tcPr>
          <w:p w14:paraId="623A69BB"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53E35BFF" w14:textId="77777777">
        <w:tblPrEx>
          <w:tblCellMar>
            <w:top w:w="0" w:type="dxa"/>
            <w:bottom w:w="0" w:type="dxa"/>
          </w:tblCellMar>
        </w:tblPrEx>
        <w:tc>
          <w:tcPr>
            <w:tcW w:w="1247" w:type="dxa"/>
          </w:tcPr>
          <w:p w14:paraId="25643938" w14:textId="77777777" w:rsidR="00041AF2" w:rsidRPr="00041AF2" w:rsidRDefault="00041AF2" w:rsidP="00041AF2">
            <w:pPr>
              <w:spacing w:line="240" w:lineRule="auto"/>
              <w:jc w:val="left"/>
              <w:rPr>
                <w:rFonts w:cs="Frankruhel"/>
                <w:sz w:val="24"/>
                <w:rtl/>
              </w:rPr>
            </w:pPr>
            <w:r>
              <w:rPr>
                <w:sz w:val="24"/>
                <w:rtl/>
              </w:rPr>
              <w:t xml:space="preserve">סעיף 20 </w:t>
            </w:r>
          </w:p>
        </w:tc>
        <w:tc>
          <w:tcPr>
            <w:tcW w:w="5669" w:type="dxa"/>
          </w:tcPr>
          <w:p w14:paraId="10F3D2D1" w14:textId="77777777" w:rsidR="00041AF2" w:rsidRPr="00041AF2" w:rsidRDefault="00041AF2" w:rsidP="00041AF2">
            <w:pPr>
              <w:spacing w:line="240" w:lineRule="auto"/>
              <w:jc w:val="left"/>
              <w:rPr>
                <w:rFonts w:cs="Frankruhel"/>
                <w:sz w:val="24"/>
                <w:rtl/>
              </w:rPr>
            </w:pPr>
            <w:r>
              <w:rPr>
                <w:sz w:val="24"/>
                <w:rtl/>
              </w:rPr>
              <w:t>חקירת מצהיר</w:t>
            </w:r>
          </w:p>
        </w:tc>
        <w:tc>
          <w:tcPr>
            <w:tcW w:w="567" w:type="dxa"/>
          </w:tcPr>
          <w:p w14:paraId="74EB5B9D" w14:textId="77777777" w:rsidR="00041AF2" w:rsidRPr="00041AF2" w:rsidRDefault="00041AF2" w:rsidP="00041AF2">
            <w:pPr>
              <w:spacing w:line="240" w:lineRule="auto"/>
              <w:jc w:val="left"/>
              <w:rPr>
                <w:rStyle w:val="Hyperlink"/>
                <w:rtl/>
              </w:rPr>
            </w:pPr>
            <w:hyperlink w:anchor="Seif20" w:tooltip="חקירת מצהיר" w:history="1">
              <w:r w:rsidRPr="00041AF2">
                <w:rPr>
                  <w:rStyle w:val="Hyperlink"/>
                </w:rPr>
                <w:t>Go</w:t>
              </w:r>
            </w:hyperlink>
          </w:p>
        </w:tc>
        <w:tc>
          <w:tcPr>
            <w:tcW w:w="850" w:type="dxa"/>
          </w:tcPr>
          <w:p w14:paraId="04267F04"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549FD73A" w14:textId="77777777">
        <w:tblPrEx>
          <w:tblCellMar>
            <w:top w:w="0" w:type="dxa"/>
            <w:bottom w:w="0" w:type="dxa"/>
          </w:tblCellMar>
        </w:tblPrEx>
        <w:tc>
          <w:tcPr>
            <w:tcW w:w="1247" w:type="dxa"/>
          </w:tcPr>
          <w:p w14:paraId="544D3188" w14:textId="77777777" w:rsidR="00041AF2" w:rsidRPr="00041AF2" w:rsidRDefault="00041AF2" w:rsidP="00041AF2">
            <w:pPr>
              <w:spacing w:line="240" w:lineRule="auto"/>
              <w:jc w:val="left"/>
              <w:rPr>
                <w:rFonts w:cs="Frankruhel"/>
                <w:sz w:val="24"/>
                <w:rtl/>
              </w:rPr>
            </w:pPr>
            <w:r>
              <w:rPr>
                <w:sz w:val="24"/>
                <w:rtl/>
              </w:rPr>
              <w:t xml:space="preserve">סעיף 21 </w:t>
            </w:r>
          </w:p>
        </w:tc>
        <w:tc>
          <w:tcPr>
            <w:tcW w:w="5669" w:type="dxa"/>
          </w:tcPr>
          <w:p w14:paraId="30721DD3" w14:textId="77777777" w:rsidR="00041AF2" w:rsidRPr="00041AF2" w:rsidRDefault="00041AF2" w:rsidP="00041AF2">
            <w:pPr>
              <w:spacing w:line="240" w:lineRule="auto"/>
              <w:jc w:val="left"/>
              <w:rPr>
                <w:rFonts w:cs="Frankruhel"/>
                <w:sz w:val="24"/>
                <w:rtl/>
              </w:rPr>
            </w:pPr>
            <w:r>
              <w:rPr>
                <w:sz w:val="24"/>
                <w:rtl/>
              </w:rPr>
              <w:t>חקירת עד בידי בית דין</w:t>
            </w:r>
          </w:p>
        </w:tc>
        <w:tc>
          <w:tcPr>
            <w:tcW w:w="567" w:type="dxa"/>
          </w:tcPr>
          <w:p w14:paraId="24EF0551" w14:textId="77777777" w:rsidR="00041AF2" w:rsidRPr="00041AF2" w:rsidRDefault="00041AF2" w:rsidP="00041AF2">
            <w:pPr>
              <w:spacing w:line="240" w:lineRule="auto"/>
              <w:jc w:val="left"/>
              <w:rPr>
                <w:rStyle w:val="Hyperlink"/>
                <w:rtl/>
              </w:rPr>
            </w:pPr>
            <w:hyperlink w:anchor="Seif21" w:tooltip="חקירת עד בידי בית דין" w:history="1">
              <w:r w:rsidRPr="00041AF2">
                <w:rPr>
                  <w:rStyle w:val="Hyperlink"/>
                </w:rPr>
                <w:t>Go</w:t>
              </w:r>
            </w:hyperlink>
          </w:p>
        </w:tc>
        <w:tc>
          <w:tcPr>
            <w:tcW w:w="850" w:type="dxa"/>
          </w:tcPr>
          <w:p w14:paraId="00ABA9DB"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7CBCA7D5" w14:textId="77777777">
        <w:tblPrEx>
          <w:tblCellMar>
            <w:top w:w="0" w:type="dxa"/>
            <w:bottom w:w="0" w:type="dxa"/>
          </w:tblCellMar>
        </w:tblPrEx>
        <w:tc>
          <w:tcPr>
            <w:tcW w:w="1247" w:type="dxa"/>
          </w:tcPr>
          <w:p w14:paraId="1310AD68" w14:textId="77777777" w:rsidR="00041AF2" w:rsidRPr="00041AF2" w:rsidRDefault="00041AF2" w:rsidP="00041AF2">
            <w:pPr>
              <w:spacing w:line="240" w:lineRule="auto"/>
              <w:jc w:val="left"/>
              <w:rPr>
                <w:rFonts w:cs="Frankruhel"/>
                <w:sz w:val="24"/>
                <w:rtl/>
              </w:rPr>
            </w:pPr>
            <w:r>
              <w:rPr>
                <w:sz w:val="24"/>
                <w:rtl/>
              </w:rPr>
              <w:t xml:space="preserve">סעיף 22 </w:t>
            </w:r>
          </w:p>
        </w:tc>
        <w:tc>
          <w:tcPr>
            <w:tcW w:w="5669" w:type="dxa"/>
          </w:tcPr>
          <w:p w14:paraId="01D92BDA" w14:textId="77777777" w:rsidR="00041AF2" w:rsidRPr="00041AF2" w:rsidRDefault="00041AF2" w:rsidP="00041AF2">
            <w:pPr>
              <w:spacing w:line="240" w:lineRule="auto"/>
              <w:jc w:val="left"/>
              <w:rPr>
                <w:rFonts w:cs="Frankruhel"/>
                <w:sz w:val="24"/>
                <w:rtl/>
              </w:rPr>
            </w:pPr>
            <w:r>
              <w:rPr>
                <w:sz w:val="24"/>
                <w:rtl/>
              </w:rPr>
              <w:t>טענות חדשות</w:t>
            </w:r>
          </w:p>
        </w:tc>
        <w:tc>
          <w:tcPr>
            <w:tcW w:w="567" w:type="dxa"/>
          </w:tcPr>
          <w:p w14:paraId="0373FF19" w14:textId="77777777" w:rsidR="00041AF2" w:rsidRPr="00041AF2" w:rsidRDefault="00041AF2" w:rsidP="00041AF2">
            <w:pPr>
              <w:spacing w:line="240" w:lineRule="auto"/>
              <w:jc w:val="left"/>
              <w:rPr>
                <w:rStyle w:val="Hyperlink"/>
                <w:rtl/>
              </w:rPr>
            </w:pPr>
            <w:hyperlink w:anchor="Seif22" w:tooltip="טענות חדשות" w:history="1">
              <w:r w:rsidRPr="00041AF2">
                <w:rPr>
                  <w:rStyle w:val="Hyperlink"/>
                </w:rPr>
                <w:t>Go</w:t>
              </w:r>
            </w:hyperlink>
          </w:p>
        </w:tc>
        <w:tc>
          <w:tcPr>
            <w:tcW w:w="850" w:type="dxa"/>
          </w:tcPr>
          <w:p w14:paraId="140E1EB4"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1F8B36F5" w14:textId="77777777">
        <w:tblPrEx>
          <w:tblCellMar>
            <w:top w:w="0" w:type="dxa"/>
            <w:bottom w:w="0" w:type="dxa"/>
          </w:tblCellMar>
        </w:tblPrEx>
        <w:tc>
          <w:tcPr>
            <w:tcW w:w="1247" w:type="dxa"/>
          </w:tcPr>
          <w:p w14:paraId="6C7FA022" w14:textId="77777777" w:rsidR="00041AF2" w:rsidRPr="00041AF2" w:rsidRDefault="00041AF2" w:rsidP="00041AF2">
            <w:pPr>
              <w:spacing w:line="240" w:lineRule="auto"/>
              <w:jc w:val="left"/>
              <w:rPr>
                <w:rFonts w:cs="Frankruhel"/>
                <w:sz w:val="24"/>
                <w:rtl/>
              </w:rPr>
            </w:pPr>
            <w:r>
              <w:rPr>
                <w:sz w:val="24"/>
                <w:rtl/>
              </w:rPr>
              <w:t xml:space="preserve">סעיף 23 </w:t>
            </w:r>
          </w:p>
        </w:tc>
        <w:tc>
          <w:tcPr>
            <w:tcW w:w="5669" w:type="dxa"/>
          </w:tcPr>
          <w:p w14:paraId="772F236C" w14:textId="77777777" w:rsidR="00041AF2" w:rsidRPr="00041AF2" w:rsidRDefault="00041AF2" w:rsidP="00041AF2">
            <w:pPr>
              <w:spacing w:line="240" w:lineRule="auto"/>
              <w:jc w:val="left"/>
              <w:rPr>
                <w:rFonts w:cs="Frankruhel"/>
                <w:sz w:val="24"/>
                <w:rtl/>
              </w:rPr>
            </w:pPr>
            <w:r>
              <w:rPr>
                <w:sz w:val="24"/>
                <w:rtl/>
              </w:rPr>
              <w:t>אי התייצבות לדיון</w:t>
            </w:r>
          </w:p>
        </w:tc>
        <w:tc>
          <w:tcPr>
            <w:tcW w:w="567" w:type="dxa"/>
          </w:tcPr>
          <w:p w14:paraId="666ED5CD" w14:textId="77777777" w:rsidR="00041AF2" w:rsidRPr="00041AF2" w:rsidRDefault="00041AF2" w:rsidP="00041AF2">
            <w:pPr>
              <w:spacing w:line="240" w:lineRule="auto"/>
              <w:jc w:val="left"/>
              <w:rPr>
                <w:rStyle w:val="Hyperlink"/>
                <w:rtl/>
              </w:rPr>
            </w:pPr>
            <w:hyperlink w:anchor="Seif23" w:tooltip="אי התייצבות לדיון" w:history="1">
              <w:r w:rsidRPr="00041AF2">
                <w:rPr>
                  <w:rStyle w:val="Hyperlink"/>
                </w:rPr>
                <w:t>Go</w:t>
              </w:r>
            </w:hyperlink>
          </w:p>
        </w:tc>
        <w:tc>
          <w:tcPr>
            <w:tcW w:w="850" w:type="dxa"/>
          </w:tcPr>
          <w:p w14:paraId="450D0525"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05A26FD3" w14:textId="77777777">
        <w:tblPrEx>
          <w:tblCellMar>
            <w:top w:w="0" w:type="dxa"/>
            <w:bottom w:w="0" w:type="dxa"/>
          </w:tblCellMar>
        </w:tblPrEx>
        <w:tc>
          <w:tcPr>
            <w:tcW w:w="1247" w:type="dxa"/>
          </w:tcPr>
          <w:p w14:paraId="3AC818AA" w14:textId="77777777" w:rsidR="00041AF2" w:rsidRPr="00041AF2" w:rsidRDefault="00041AF2" w:rsidP="00041AF2">
            <w:pPr>
              <w:spacing w:line="240" w:lineRule="auto"/>
              <w:jc w:val="left"/>
              <w:rPr>
                <w:rFonts w:cs="Frankruhel"/>
                <w:sz w:val="24"/>
                <w:rtl/>
              </w:rPr>
            </w:pPr>
            <w:r>
              <w:rPr>
                <w:sz w:val="24"/>
                <w:rtl/>
              </w:rPr>
              <w:t xml:space="preserve">סעיף 24 </w:t>
            </w:r>
          </w:p>
        </w:tc>
        <w:tc>
          <w:tcPr>
            <w:tcW w:w="5669" w:type="dxa"/>
          </w:tcPr>
          <w:p w14:paraId="29670C6C" w14:textId="77777777" w:rsidR="00041AF2" w:rsidRPr="00041AF2" w:rsidRDefault="00041AF2" w:rsidP="00041AF2">
            <w:pPr>
              <w:spacing w:line="240" w:lineRule="auto"/>
              <w:jc w:val="left"/>
              <w:rPr>
                <w:rFonts w:cs="Frankruhel"/>
                <w:sz w:val="24"/>
                <w:rtl/>
              </w:rPr>
            </w:pPr>
            <w:r>
              <w:rPr>
                <w:sz w:val="24"/>
                <w:rtl/>
              </w:rPr>
              <w:t>דחיית דיון</w:t>
            </w:r>
          </w:p>
        </w:tc>
        <w:tc>
          <w:tcPr>
            <w:tcW w:w="567" w:type="dxa"/>
          </w:tcPr>
          <w:p w14:paraId="71545CD4" w14:textId="77777777" w:rsidR="00041AF2" w:rsidRPr="00041AF2" w:rsidRDefault="00041AF2" w:rsidP="00041AF2">
            <w:pPr>
              <w:spacing w:line="240" w:lineRule="auto"/>
              <w:jc w:val="left"/>
              <w:rPr>
                <w:rStyle w:val="Hyperlink"/>
                <w:rtl/>
              </w:rPr>
            </w:pPr>
            <w:hyperlink w:anchor="Seif24" w:tooltip="דחיית דיון" w:history="1">
              <w:r w:rsidRPr="00041AF2">
                <w:rPr>
                  <w:rStyle w:val="Hyperlink"/>
                </w:rPr>
                <w:t>Go</w:t>
              </w:r>
            </w:hyperlink>
          </w:p>
        </w:tc>
        <w:tc>
          <w:tcPr>
            <w:tcW w:w="850" w:type="dxa"/>
          </w:tcPr>
          <w:p w14:paraId="4C7A29CD"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04D1076D" w14:textId="77777777">
        <w:tblPrEx>
          <w:tblCellMar>
            <w:top w:w="0" w:type="dxa"/>
            <w:bottom w:w="0" w:type="dxa"/>
          </w:tblCellMar>
        </w:tblPrEx>
        <w:tc>
          <w:tcPr>
            <w:tcW w:w="1247" w:type="dxa"/>
          </w:tcPr>
          <w:p w14:paraId="43A896AB" w14:textId="77777777" w:rsidR="00041AF2" w:rsidRPr="00041AF2" w:rsidRDefault="00041AF2" w:rsidP="00041AF2">
            <w:pPr>
              <w:spacing w:line="240" w:lineRule="auto"/>
              <w:jc w:val="left"/>
              <w:rPr>
                <w:rFonts w:cs="Frankruhel"/>
                <w:sz w:val="24"/>
                <w:rtl/>
              </w:rPr>
            </w:pPr>
            <w:r>
              <w:rPr>
                <w:sz w:val="24"/>
                <w:rtl/>
              </w:rPr>
              <w:t xml:space="preserve">סעיף 25 </w:t>
            </w:r>
          </w:p>
        </w:tc>
        <w:tc>
          <w:tcPr>
            <w:tcW w:w="5669" w:type="dxa"/>
          </w:tcPr>
          <w:p w14:paraId="35A8ED9F" w14:textId="77777777" w:rsidR="00041AF2" w:rsidRPr="00041AF2" w:rsidRDefault="00041AF2" w:rsidP="00041AF2">
            <w:pPr>
              <w:spacing w:line="240" w:lineRule="auto"/>
              <w:jc w:val="left"/>
              <w:rPr>
                <w:rFonts w:cs="Frankruhel"/>
                <w:sz w:val="24"/>
                <w:rtl/>
              </w:rPr>
            </w:pPr>
            <w:r>
              <w:rPr>
                <w:sz w:val="24"/>
                <w:rtl/>
              </w:rPr>
              <w:t>פרוטוקול</w:t>
            </w:r>
          </w:p>
        </w:tc>
        <w:tc>
          <w:tcPr>
            <w:tcW w:w="567" w:type="dxa"/>
          </w:tcPr>
          <w:p w14:paraId="2CB0BBE3" w14:textId="77777777" w:rsidR="00041AF2" w:rsidRPr="00041AF2" w:rsidRDefault="00041AF2" w:rsidP="00041AF2">
            <w:pPr>
              <w:spacing w:line="240" w:lineRule="auto"/>
              <w:jc w:val="left"/>
              <w:rPr>
                <w:rStyle w:val="Hyperlink"/>
                <w:rtl/>
              </w:rPr>
            </w:pPr>
            <w:hyperlink w:anchor="Seif25" w:tooltip="פרוטוקול" w:history="1">
              <w:r w:rsidRPr="00041AF2">
                <w:rPr>
                  <w:rStyle w:val="Hyperlink"/>
                </w:rPr>
                <w:t>Go</w:t>
              </w:r>
            </w:hyperlink>
          </w:p>
        </w:tc>
        <w:tc>
          <w:tcPr>
            <w:tcW w:w="850" w:type="dxa"/>
          </w:tcPr>
          <w:p w14:paraId="1324C61D"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1AF8660A" w14:textId="77777777">
        <w:tblPrEx>
          <w:tblCellMar>
            <w:top w:w="0" w:type="dxa"/>
            <w:bottom w:w="0" w:type="dxa"/>
          </w:tblCellMar>
        </w:tblPrEx>
        <w:tc>
          <w:tcPr>
            <w:tcW w:w="1247" w:type="dxa"/>
          </w:tcPr>
          <w:p w14:paraId="62169F9C" w14:textId="77777777" w:rsidR="00041AF2" w:rsidRPr="00041AF2" w:rsidRDefault="00041AF2" w:rsidP="00041AF2">
            <w:pPr>
              <w:spacing w:line="240" w:lineRule="auto"/>
              <w:jc w:val="left"/>
              <w:rPr>
                <w:rFonts w:cs="Frankruhel"/>
                <w:sz w:val="24"/>
                <w:rtl/>
              </w:rPr>
            </w:pPr>
            <w:r>
              <w:rPr>
                <w:sz w:val="24"/>
                <w:rtl/>
              </w:rPr>
              <w:t xml:space="preserve">סעיף 26 </w:t>
            </w:r>
          </w:p>
        </w:tc>
        <w:tc>
          <w:tcPr>
            <w:tcW w:w="5669" w:type="dxa"/>
          </w:tcPr>
          <w:p w14:paraId="18F61AA9" w14:textId="77777777" w:rsidR="00041AF2" w:rsidRPr="00041AF2" w:rsidRDefault="00041AF2" w:rsidP="00041AF2">
            <w:pPr>
              <w:spacing w:line="240" w:lineRule="auto"/>
              <w:jc w:val="left"/>
              <w:rPr>
                <w:rFonts w:cs="Frankruhel"/>
                <w:sz w:val="24"/>
                <w:rtl/>
              </w:rPr>
            </w:pPr>
            <w:r>
              <w:rPr>
                <w:sz w:val="24"/>
                <w:rtl/>
              </w:rPr>
              <w:t>ההחלטה</w:t>
            </w:r>
          </w:p>
        </w:tc>
        <w:tc>
          <w:tcPr>
            <w:tcW w:w="567" w:type="dxa"/>
          </w:tcPr>
          <w:p w14:paraId="346989F4" w14:textId="77777777" w:rsidR="00041AF2" w:rsidRPr="00041AF2" w:rsidRDefault="00041AF2" w:rsidP="00041AF2">
            <w:pPr>
              <w:spacing w:line="240" w:lineRule="auto"/>
              <w:jc w:val="left"/>
              <w:rPr>
                <w:rStyle w:val="Hyperlink"/>
                <w:rtl/>
              </w:rPr>
            </w:pPr>
            <w:hyperlink w:anchor="Seif26" w:tooltip="ההחלטה" w:history="1">
              <w:r w:rsidRPr="00041AF2">
                <w:rPr>
                  <w:rStyle w:val="Hyperlink"/>
                </w:rPr>
                <w:t>Go</w:t>
              </w:r>
            </w:hyperlink>
          </w:p>
        </w:tc>
        <w:tc>
          <w:tcPr>
            <w:tcW w:w="850" w:type="dxa"/>
          </w:tcPr>
          <w:p w14:paraId="4FDE3732"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3359EB2B" w14:textId="77777777">
        <w:tblPrEx>
          <w:tblCellMar>
            <w:top w:w="0" w:type="dxa"/>
            <w:bottom w:w="0" w:type="dxa"/>
          </w:tblCellMar>
        </w:tblPrEx>
        <w:tc>
          <w:tcPr>
            <w:tcW w:w="1247" w:type="dxa"/>
          </w:tcPr>
          <w:p w14:paraId="466F3E30" w14:textId="77777777" w:rsidR="00041AF2" w:rsidRPr="00041AF2" w:rsidRDefault="00041AF2" w:rsidP="00041AF2">
            <w:pPr>
              <w:spacing w:line="240" w:lineRule="auto"/>
              <w:jc w:val="left"/>
              <w:rPr>
                <w:rFonts w:cs="Frankruhel"/>
                <w:sz w:val="24"/>
                <w:rtl/>
              </w:rPr>
            </w:pPr>
            <w:r>
              <w:rPr>
                <w:sz w:val="24"/>
                <w:rtl/>
              </w:rPr>
              <w:t xml:space="preserve">סעיף 27 </w:t>
            </w:r>
          </w:p>
        </w:tc>
        <w:tc>
          <w:tcPr>
            <w:tcW w:w="5669" w:type="dxa"/>
          </w:tcPr>
          <w:p w14:paraId="34B185E3" w14:textId="77777777" w:rsidR="00041AF2" w:rsidRPr="00041AF2" w:rsidRDefault="00041AF2" w:rsidP="00041AF2">
            <w:pPr>
              <w:spacing w:line="240" w:lineRule="auto"/>
              <w:jc w:val="left"/>
              <w:rPr>
                <w:rFonts w:cs="Frankruhel"/>
                <w:sz w:val="24"/>
                <w:rtl/>
              </w:rPr>
            </w:pPr>
            <w:r>
              <w:rPr>
                <w:sz w:val="24"/>
                <w:rtl/>
              </w:rPr>
              <w:t>פגם בסדרי הדין</w:t>
            </w:r>
          </w:p>
        </w:tc>
        <w:tc>
          <w:tcPr>
            <w:tcW w:w="567" w:type="dxa"/>
          </w:tcPr>
          <w:p w14:paraId="196A3620" w14:textId="77777777" w:rsidR="00041AF2" w:rsidRPr="00041AF2" w:rsidRDefault="00041AF2" w:rsidP="00041AF2">
            <w:pPr>
              <w:spacing w:line="240" w:lineRule="auto"/>
              <w:jc w:val="left"/>
              <w:rPr>
                <w:rStyle w:val="Hyperlink"/>
                <w:rtl/>
              </w:rPr>
            </w:pPr>
            <w:hyperlink w:anchor="Seif27" w:tooltip="פגם בסדרי הדין" w:history="1">
              <w:r w:rsidRPr="00041AF2">
                <w:rPr>
                  <w:rStyle w:val="Hyperlink"/>
                </w:rPr>
                <w:t>Go</w:t>
              </w:r>
            </w:hyperlink>
          </w:p>
        </w:tc>
        <w:tc>
          <w:tcPr>
            <w:tcW w:w="850" w:type="dxa"/>
          </w:tcPr>
          <w:p w14:paraId="1AAB293E"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07D198CF" w14:textId="77777777">
        <w:tblPrEx>
          <w:tblCellMar>
            <w:top w:w="0" w:type="dxa"/>
            <w:bottom w:w="0" w:type="dxa"/>
          </w:tblCellMar>
        </w:tblPrEx>
        <w:tc>
          <w:tcPr>
            <w:tcW w:w="1247" w:type="dxa"/>
          </w:tcPr>
          <w:p w14:paraId="1B9F9A94" w14:textId="77777777" w:rsidR="00041AF2" w:rsidRPr="00041AF2" w:rsidRDefault="00041AF2" w:rsidP="00041AF2">
            <w:pPr>
              <w:spacing w:line="240" w:lineRule="auto"/>
              <w:jc w:val="left"/>
              <w:rPr>
                <w:rFonts w:cs="Frankruhel"/>
                <w:sz w:val="24"/>
                <w:rtl/>
              </w:rPr>
            </w:pPr>
            <w:r>
              <w:rPr>
                <w:sz w:val="24"/>
                <w:rtl/>
              </w:rPr>
              <w:t xml:space="preserve">סעיף 28 </w:t>
            </w:r>
          </w:p>
        </w:tc>
        <w:tc>
          <w:tcPr>
            <w:tcW w:w="5669" w:type="dxa"/>
          </w:tcPr>
          <w:p w14:paraId="54F9DDF5" w14:textId="77777777" w:rsidR="00041AF2" w:rsidRPr="00041AF2" w:rsidRDefault="00041AF2" w:rsidP="00041AF2">
            <w:pPr>
              <w:spacing w:line="240" w:lineRule="auto"/>
              <w:jc w:val="left"/>
              <w:rPr>
                <w:rFonts w:cs="Frankruhel"/>
                <w:sz w:val="24"/>
                <w:rtl/>
              </w:rPr>
            </w:pPr>
            <w:r>
              <w:rPr>
                <w:sz w:val="24"/>
                <w:rtl/>
              </w:rPr>
              <w:t>הארכת מועדים</w:t>
            </w:r>
          </w:p>
        </w:tc>
        <w:tc>
          <w:tcPr>
            <w:tcW w:w="567" w:type="dxa"/>
          </w:tcPr>
          <w:p w14:paraId="10C4D0B4" w14:textId="77777777" w:rsidR="00041AF2" w:rsidRPr="00041AF2" w:rsidRDefault="00041AF2" w:rsidP="00041AF2">
            <w:pPr>
              <w:spacing w:line="240" w:lineRule="auto"/>
              <w:jc w:val="left"/>
              <w:rPr>
                <w:rStyle w:val="Hyperlink"/>
                <w:rtl/>
              </w:rPr>
            </w:pPr>
            <w:hyperlink w:anchor="Seif28" w:tooltip="הארכת מועדים" w:history="1">
              <w:r w:rsidRPr="00041AF2">
                <w:rPr>
                  <w:rStyle w:val="Hyperlink"/>
                </w:rPr>
                <w:t>Go</w:t>
              </w:r>
            </w:hyperlink>
          </w:p>
        </w:tc>
        <w:tc>
          <w:tcPr>
            <w:tcW w:w="850" w:type="dxa"/>
          </w:tcPr>
          <w:p w14:paraId="698754EB"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1AF2" w:rsidRPr="00041AF2" w14:paraId="37D74B82" w14:textId="77777777">
        <w:tblPrEx>
          <w:tblCellMar>
            <w:top w:w="0" w:type="dxa"/>
            <w:bottom w:w="0" w:type="dxa"/>
          </w:tblCellMar>
        </w:tblPrEx>
        <w:tc>
          <w:tcPr>
            <w:tcW w:w="1247" w:type="dxa"/>
          </w:tcPr>
          <w:p w14:paraId="0EE00416" w14:textId="77777777" w:rsidR="00041AF2" w:rsidRPr="00041AF2" w:rsidRDefault="00041AF2" w:rsidP="00041AF2">
            <w:pPr>
              <w:spacing w:line="240" w:lineRule="auto"/>
              <w:jc w:val="left"/>
              <w:rPr>
                <w:rFonts w:cs="Frankruhel"/>
                <w:sz w:val="24"/>
                <w:rtl/>
              </w:rPr>
            </w:pPr>
            <w:r>
              <w:rPr>
                <w:sz w:val="24"/>
                <w:rtl/>
              </w:rPr>
              <w:t xml:space="preserve">סעיף 29 </w:t>
            </w:r>
          </w:p>
        </w:tc>
        <w:tc>
          <w:tcPr>
            <w:tcW w:w="5669" w:type="dxa"/>
          </w:tcPr>
          <w:p w14:paraId="43096D06" w14:textId="77777777" w:rsidR="00041AF2" w:rsidRPr="00041AF2" w:rsidRDefault="00041AF2" w:rsidP="00041AF2">
            <w:pPr>
              <w:spacing w:line="240" w:lineRule="auto"/>
              <w:jc w:val="left"/>
              <w:rPr>
                <w:rFonts w:cs="Frankruhel"/>
                <w:sz w:val="24"/>
                <w:rtl/>
              </w:rPr>
            </w:pPr>
            <w:r>
              <w:rPr>
                <w:sz w:val="24"/>
                <w:rtl/>
              </w:rPr>
              <w:t>סמכויות יושב ראש</w:t>
            </w:r>
          </w:p>
        </w:tc>
        <w:tc>
          <w:tcPr>
            <w:tcW w:w="567" w:type="dxa"/>
          </w:tcPr>
          <w:p w14:paraId="5BA85F63" w14:textId="77777777" w:rsidR="00041AF2" w:rsidRPr="00041AF2" w:rsidRDefault="00041AF2" w:rsidP="00041AF2">
            <w:pPr>
              <w:spacing w:line="240" w:lineRule="auto"/>
              <w:jc w:val="left"/>
              <w:rPr>
                <w:rStyle w:val="Hyperlink"/>
                <w:rtl/>
              </w:rPr>
            </w:pPr>
            <w:hyperlink w:anchor="Seif29" w:tooltip="סמכויות יושב ראש" w:history="1">
              <w:r w:rsidRPr="00041AF2">
                <w:rPr>
                  <w:rStyle w:val="Hyperlink"/>
                </w:rPr>
                <w:t>Go</w:t>
              </w:r>
            </w:hyperlink>
          </w:p>
        </w:tc>
        <w:tc>
          <w:tcPr>
            <w:tcW w:w="850" w:type="dxa"/>
          </w:tcPr>
          <w:p w14:paraId="65603B7E"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1AF2" w:rsidRPr="00041AF2" w14:paraId="0DEF5027" w14:textId="77777777">
        <w:tblPrEx>
          <w:tblCellMar>
            <w:top w:w="0" w:type="dxa"/>
            <w:bottom w:w="0" w:type="dxa"/>
          </w:tblCellMar>
        </w:tblPrEx>
        <w:tc>
          <w:tcPr>
            <w:tcW w:w="1247" w:type="dxa"/>
          </w:tcPr>
          <w:p w14:paraId="597881EF" w14:textId="77777777" w:rsidR="00041AF2" w:rsidRPr="00041AF2" w:rsidRDefault="00041AF2" w:rsidP="00041AF2">
            <w:pPr>
              <w:spacing w:line="240" w:lineRule="auto"/>
              <w:jc w:val="left"/>
              <w:rPr>
                <w:rFonts w:cs="Frankruhel"/>
                <w:sz w:val="24"/>
                <w:rtl/>
              </w:rPr>
            </w:pPr>
            <w:r>
              <w:rPr>
                <w:sz w:val="24"/>
                <w:rtl/>
              </w:rPr>
              <w:t xml:space="preserve">סעיף 30 </w:t>
            </w:r>
          </w:p>
        </w:tc>
        <w:tc>
          <w:tcPr>
            <w:tcW w:w="5669" w:type="dxa"/>
          </w:tcPr>
          <w:p w14:paraId="7F1D8124" w14:textId="77777777" w:rsidR="00041AF2" w:rsidRPr="00041AF2" w:rsidRDefault="00041AF2" w:rsidP="00041AF2">
            <w:pPr>
              <w:spacing w:line="240" w:lineRule="auto"/>
              <w:jc w:val="left"/>
              <w:rPr>
                <w:rFonts w:cs="Frankruhel"/>
                <w:sz w:val="24"/>
                <w:rtl/>
              </w:rPr>
            </w:pPr>
            <w:r>
              <w:rPr>
                <w:sz w:val="24"/>
                <w:rtl/>
              </w:rPr>
              <w:t>המצאת הודעות ומסמכים</w:t>
            </w:r>
          </w:p>
        </w:tc>
        <w:tc>
          <w:tcPr>
            <w:tcW w:w="567" w:type="dxa"/>
          </w:tcPr>
          <w:p w14:paraId="29F041AF" w14:textId="77777777" w:rsidR="00041AF2" w:rsidRPr="00041AF2" w:rsidRDefault="00041AF2" w:rsidP="00041AF2">
            <w:pPr>
              <w:spacing w:line="240" w:lineRule="auto"/>
              <w:jc w:val="left"/>
              <w:rPr>
                <w:rStyle w:val="Hyperlink"/>
                <w:rtl/>
              </w:rPr>
            </w:pPr>
            <w:hyperlink w:anchor="Seif30" w:tooltip="המצאת הודעות ומסמכים" w:history="1">
              <w:r w:rsidRPr="00041AF2">
                <w:rPr>
                  <w:rStyle w:val="Hyperlink"/>
                </w:rPr>
                <w:t>Go</w:t>
              </w:r>
            </w:hyperlink>
          </w:p>
        </w:tc>
        <w:tc>
          <w:tcPr>
            <w:tcW w:w="850" w:type="dxa"/>
          </w:tcPr>
          <w:p w14:paraId="011496F1"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1AF2" w:rsidRPr="00041AF2" w14:paraId="77F3452A" w14:textId="77777777">
        <w:tblPrEx>
          <w:tblCellMar>
            <w:top w:w="0" w:type="dxa"/>
            <w:bottom w:w="0" w:type="dxa"/>
          </w:tblCellMar>
        </w:tblPrEx>
        <w:tc>
          <w:tcPr>
            <w:tcW w:w="1247" w:type="dxa"/>
          </w:tcPr>
          <w:p w14:paraId="30E2AF47" w14:textId="77777777" w:rsidR="00041AF2" w:rsidRPr="00041AF2" w:rsidRDefault="00041AF2" w:rsidP="00041AF2">
            <w:pPr>
              <w:spacing w:line="240" w:lineRule="auto"/>
              <w:jc w:val="left"/>
              <w:rPr>
                <w:rFonts w:cs="Frankruhel"/>
                <w:sz w:val="24"/>
                <w:rtl/>
              </w:rPr>
            </w:pPr>
            <w:r>
              <w:rPr>
                <w:sz w:val="24"/>
                <w:rtl/>
              </w:rPr>
              <w:t xml:space="preserve">סעיף 31 </w:t>
            </w:r>
          </w:p>
        </w:tc>
        <w:tc>
          <w:tcPr>
            <w:tcW w:w="5669" w:type="dxa"/>
          </w:tcPr>
          <w:p w14:paraId="036B043C" w14:textId="77777777" w:rsidR="00041AF2" w:rsidRPr="00041AF2" w:rsidRDefault="00041AF2" w:rsidP="00041AF2">
            <w:pPr>
              <w:spacing w:line="240" w:lineRule="auto"/>
              <w:jc w:val="left"/>
              <w:rPr>
                <w:rFonts w:cs="Frankruhel"/>
                <w:sz w:val="24"/>
                <w:rtl/>
              </w:rPr>
            </w:pPr>
            <w:r>
              <w:rPr>
                <w:sz w:val="24"/>
                <w:rtl/>
              </w:rPr>
              <w:t>תחילה</w:t>
            </w:r>
          </w:p>
        </w:tc>
        <w:tc>
          <w:tcPr>
            <w:tcW w:w="567" w:type="dxa"/>
          </w:tcPr>
          <w:p w14:paraId="3B8E2DED" w14:textId="77777777" w:rsidR="00041AF2" w:rsidRPr="00041AF2" w:rsidRDefault="00041AF2" w:rsidP="00041AF2">
            <w:pPr>
              <w:spacing w:line="240" w:lineRule="auto"/>
              <w:jc w:val="left"/>
              <w:rPr>
                <w:rStyle w:val="Hyperlink"/>
                <w:rtl/>
              </w:rPr>
            </w:pPr>
            <w:hyperlink w:anchor="Seif31" w:tooltip="תחילה" w:history="1">
              <w:r w:rsidRPr="00041AF2">
                <w:rPr>
                  <w:rStyle w:val="Hyperlink"/>
                </w:rPr>
                <w:t>Go</w:t>
              </w:r>
            </w:hyperlink>
          </w:p>
        </w:tc>
        <w:tc>
          <w:tcPr>
            <w:tcW w:w="850" w:type="dxa"/>
          </w:tcPr>
          <w:p w14:paraId="5884C12A" w14:textId="77777777" w:rsidR="00041AF2" w:rsidRPr="00041AF2" w:rsidRDefault="00041AF2" w:rsidP="00041A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AB16574" w14:textId="77777777" w:rsidR="005650B4" w:rsidRDefault="005650B4">
      <w:pPr>
        <w:pStyle w:val="big-header"/>
        <w:ind w:left="0" w:right="1134"/>
        <w:rPr>
          <w:rFonts w:cs="FrankRuehl"/>
          <w:sz w:val="32"/>
          <w:rtl/>
        </w:rPr>
      </w:pPr>
    </w:p>
    <w:p w14:paraId="128DDD19" w14:textId="77777777" w:rsidR="005650B4" w:rsidRDefault="005650B4" w:rsidP="003139F3">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בתי דין מינהליים (סדרי דין), תשנ"ב</w:t>
      </w:r>
      <w:r w:rsidR="00227F1E">
        <w:rPr>
          <w:rFonts w:cs="FrankRuehl" w:hint="cs"/>
          <w:sz w:val="32"/>
          <w:rtl/>
        </w:rPr>
        <w:t>-</w:t>
      </w:r>
      <w:r>
        <w:rPr>
          <w:rFonts w:cs="FrankRuehl"/>
          <w:sz w:val="32"/>
          <w:rtl/>
        </w:rPr>
        <w:t>1992</w:t>
      </w:r>
      <w:r w:rsidR="00227F1E">
        <w:rPr>
          <w:rStyle w:val="a6"/>
          <w:rFonts w:cs="FrankRuehl"/>
          <w:sz w:val="32"/>
          <w:rtl/>
        </w:rPr>
        <w:footnoteReference w:customMarkFollows="1" w:id="1"/>
        <w:t>*</w:t>
      </w:r>
    </w:p>
    <w:p w14:paraId="6767C645" w14:textId="77777777" w:rsidR="005650B4" w:rsidRDefault="005650B4" w:rsidP="00227F1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w:t>
      </w:r>
      <w:r>
        <w:rPr>
          <w:rStyle w:val="default"/>
          <w:rFonts w:cs="FrankRuehl"/>
          <w:rtl/>
        </w:rPr>
        <w:t>ת</w:t>
      </w:r>
      <w:r>
        <w:rPr>
          <w:rStyle w:val="default"/>
          <w:rFonts w:cs="FrankRuehl" w:hint="cs"/>
          <w:rtl/>
        </w:rPr>
        <w:t>י לפי סעיף 54 לחוק בתי דין מינהליים, תשנ"ב</w:t>
      </w:r>
      <w:r w:rsidR="00227F1E">
        <w:rPr>
          <w:rStyle w:val="default"/>
          <w:rFonts w:cs="FrankRuehl" w:hint="cs"/>
          <w:rtl/>
        </w:rPr>
        <w:t>-</w:t>
      </w:r>
      <w:r>
        <w:rPr>
          <w:rStyle w:val="default"/>
          <w:rFonts w:cs="FrankRuehl"/>
          <w:rtl/>
        </w:rPr>
        <w:t>1992 (</w:t>
      </w:r>
      <w:r>
        <w:rPr>
          <w:rStyle w:val="default"/>
          <w:rFonts w:cs="FrankRuehl" w:hint="cs"/>
          <w:rtl/>
        </w:rPr>
        <w:t xml:space="preserve">להלן </w:t>
      </w:r>
      <w:r w:rsidR="00227F1E">
        <w:rPr>
          <w:rStyle w:val="default"/>
          <w:rFonts w:cs="FrankRuehl" w:hint="cs"/>
          <w:rtl/>
        </w:rPr>
        <w:t>-</w:t>
      </w:r>
      <w:r>
        <w:rPr>
          <w:rStyle w:val="default"/>
          <w:rFonts w:cs="FrankRuehl"/>
          <w:rtl/>
        </w:rPr>
        <w:t xml:space="preserve"> </w:t>
      </w:r>
      <w:r>
        <w:rPr>
          <w:rStyle w:val="default"/>
          <w:rFonts w:cs="FrankRuehl" w:hint="cs"/>
          <w:rtl/>
        </w:rPr>
        <w:t xml:space="preserve">החוק), ובהתייעצות עם המועצה לבתי דין מינהליים שנתמנתה לפי סעיף 47 לחוק, אני מתקין תקנות אלה: </w:t>
      </w:r>
    </w:p>
    <w:p w14:paraId="132E3C21" w14:textId="77777777" w:rsidR="005650B4" w:rsidRDefault="005650B4">
      <w:pPr>
        <w:pStyle w:val="P00"/>
        <w:spacing w:before="72"/>
        <w:ind w:left="0" w:right="1134"/>
        <w:rPr>
          <w:rStyle w:val="default"/>
          <w:rFonts w:cs="FrankRuehl"/>
          <w:rtl/>
        </w:rPr>
      </w:pPr>
      <w:bookmarkStart w:id="0" w:name="Seif1"/>
      <w:bookmarkEnd w:id="0"/>
      <w:r>
        <w:rPr>
          <w:lang w:val="he-IL"/>
        </w:rPr>
        <w:pict w14:anchorId="488477DC">
          <v:rect id="_x0000_s1026" style="position:absolute;left:0;text-align:left;margin-left:464.5pt;margin-top:8.05pt;width:75.05pt;height:11.65pt;z-index:251642368" o:allowincell="f" filled="f" stroked="f" strokecolor="lime" strokeweight=".25pt">
            <v:textbox inset="0,0,0,0">
              <w:txbxContent>
                <w:p w14:paraId="4EED1377" w14:textId="77777777" w:rsidR="005650B4" w:rsidRDefault="005650B4">
                  <w:pPr>
                    <w:spacing w:line="160" w:lineRule="exact"/>
                    <w:jc w:val="left"/>
                    <w:rPr>
                      <w:rFonts w:cs="Miriam"/>
                      <w:noProof/>
                      <w:sz w:val="18"/>
                      <w:szCs w:val="18"/>
                      <w:rtl/>
                    </w:rPr>
                  </w:pPr>
                  <w:r>
                    <w:rPr>
                      <w:rFonts w:cs="Miriam"/>
                      <w:sz w:val="18"/>
                      <w:szCs w:val="18"/>
                      <w:rtl/>
                    </w:rPr>
                    <w:t>פי</w:t>
                  </w:r>
                  <w:r>
                    <w:rPr>
                      <w:rFonts w:cs="Miriam" w:hint="cs"/>
                      <w:sz w:val="18"/>
                      <w:szCs w:val="18"/>
                      <w:rtl/>
                    </w:rPr>
                    <w:t>רוש מלים וביטויים</w:t>
                  </w:r>
                </w:p>
              </w:txbxContent>
            </v:textbox>
            <w10:anchorlock/>
          </v:rect>
        </w:pict>
      </w:r>
      <w:r>
        <w:rPr>
          <w:rStyle w:val="big-number"/>
          <w:rFonts w:cs="Miriam"/>
          <w:rtl/>
        </w:rPr>
        <w:t>1.</w:t>
      </w:r>
      <w:r>
        <w:rPr>
          <w:rStyle w:val="big-number"/>
          <w:rFonts w:cs="Miriam"/>
          <w:rtl/>
        </w:rPr>
        <w:tab/>
      </w:r>
      <w:r>
        <w:rPr>
          <w:rStyle w:val="default"/>
          <w:rFonts w:cs="FrankRuehl"/>
          <w:rtl/>
        </w:rPr>
        <w:t>מל</w:t>
      </w:r>
      <w:r>
        <w:rPr>
          <w:rStyle w:val="default"/>
          <w:rFonts w:cs="FrankRuehl" w:hint="cs"/>
          <w:rtl/>
        </w:rPr>
        <w:t>ים וביטויים שב</w:t>
      </w:r>
      <w:r>
        <w:rPr>
          <w:rStyle w:val="default"/>
          <w:rFonts w:cs="FrankRuehl"/>
          <w:rtl/>
        </w:rPr>
        <w:t>תק</w:t>
      </w:r>
      <w:r>
        <w:rPr>
          <w:rStyle w:val="default"/>
          <w:rFonts w:cs="FrankRuehl" w:hint="cs"/>
          <w:rtl/>
        </w:rPr>
        <w:t>נות אלה יפורשו כמשמעותם בחוק, אם אין בענין הנדון או בהקשרו דבר שאינו מתיישב עם אותה משמעות.</w:t>
      </w:r>
    </w:p>
    <w:p w14:paraId="6FC58983" w14:textId="77777777" w:rsidR="005650B4" w:rsidRDefault="005650B4">
      <w:pPr>
        <w:pStyle w:val="P00"/>
        <w:spacing w:before="72"/>
        <w:ind w:left="0" w:right="1134"/>
        <w:rPr>
          <w:rStyle w:val="default"/>
          <w:rFonts w:cs="FrankRuehl"/>
          <w:rtl/>
        </w:rPr>
      </w:pPr>
      <w:bookmarkStart w:id="1" w:name="Seif2"/>
      <w:bookmarkEnd w:id="1"/>
      <w:r>
        <w:rPr>
          <w:lang w:val="he-IL"/>
        </w:rPr>
        <w:pict w14:anchorId="1CF700ED">
          <v:rect id="_x0000_s1027" style="position:absolute;left:0;text-align:left;margin-left:464.5pt;margin-top:8.05pt;width:75.05pt;height:12.35pt;z-index:251643392" o:allowincell="f" filled="f" stroked="f" strokecolor="lime" strokeweight=".25pt">
            <v:textbox inset="0,0,0,0">
              <w:txbxContent>
                <w:p w14:paraId="2D9F5621" w14:textId="77777777" w:rsidR="005650B4" w:rsidRDefault="005650B4">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 xml:space="preserve">נות אלה יחולו על כל בית דין המנוי בתוספת לחוק אם אין בחיקוק אחר הוראה לאותו ענין החלה על אותו בית דין. </w:t>
      </w:r>
    </w:p>
    <w:p w14:paraId="08396A64" w14:textId="77777777" w:rsidR="005650B4" w:rsidRDefault="005650B4">
      <w:pPr>
        <w:pStyle w:val="P00"/>
        <w:spacing w:before="72"/>
        <w:ind w:left="0" w:right="1134"/>
        <w:rPr>
          <w:rStyle w:val="default"/>
          <w:rFonts w:cs="FrankRuehl" w:hint="cs"/>
          <w:rtl/>
        </w:rPr>
      </w:pPr>
      <w:bookmarkStart w:id="2" w:name="Seif3"/>
      <w:bookmarkEnd w:id="2"/>
      <w:r>
        <w:rPr>
          <w:lang w:val="he-IL"/>
        </w:rPr>
        <w:pict w14:anchorId="4AEB3AF2">
          <v:rect id="_x0000_s1028" style="position:absolute;left:0;text-align:left;margin-left:464.5pt;margin-top:8.05pt;width:75.05pt;height:13pt;z-index:251644416" o:allowincell="f" filled="f" stroked="f" strokecolor="lime" strokeweight=".25pt">
            <v:textbox inset="0,0,0,0">
              <w:txbxContent>
                <w:p w14:paraId="30ABFABA" w14:textId="77777777" w:rsidR="005650B4" w:rsidRDefault="005650B4">
                  <w:pPr>
                    <w:spacing w:line="160" w:lineRule="exact"/>
                    <w:jc w:val="left"/>
                    <w:rPr>
                      <w:rFonts w:cs="Miriam"/>
                      <w:noProof/>
                      <w:sz w:val="18"/>
                      <w:szCs w:val="18"/>
                      <w:rtl/>
                    </w:rPr>
                  </w:pPr>
                  <w:r>
                    <w:rPr>
                      <w:rFonts w:cs="Miriam"/>
                      <w:sz w:val="18"/>
                      <w:szCs w:val="18"/>
                      <w:rtl/>
                    </w:rPr>
                    <w:t>המ</w:t>
                  </w:r>
                  <w:r>
                    <w:rPr>
                      <w:rFonts w:cs="Miriam" w:hint="cs"/>
                      <w:sz w:val="18"/>
                      <w:szCs w:val="18"/>
                      <w:rtl/>
                    </w:rPr>
                    <w:t>ען להגשת הערר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יוגש במען שצויין לצורך זה בהחלטה נושא הע</w:t>
      </w:r>
      <w:r>
        <w:rPr>
          <w:rStyle w:val="default"/>
          <w:rFonts w:cs="FrankRuehl"/>
          <w:rtl/>
        </w:rPr>
        <w:t>רר</w:t>
      </w:r>
      <w:r>
        <w:rPr>
          <w:rStyle w:val="default"/>
          <w:rFonts w:cs="FrankRuehl" w:hint="cs"/>
          <w:rtl/>
        </w:rPr>
        <w:t xml:space="preserve">; לא צויין מען, יוגש הערר </w:t>
      </w:r>
      <w:r w:rsidR="00227F1E">
        <w:rPr>
          <w:rStyle w:val="default"/>
          <w:rFonts w:cs="FrankRuehl"/>
          <w:rtl/>
        </w:rPr>
        <w:t>–</w:t>
      </w:r>
    </w:p>
    <w:p w14:paraId="1DB3454A" w14:textId="77777777" w:rsidR="005650B4" w:rsidRDefault="005650B4" w:rsidP="009B3D1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הוא בענין מקרקעין או בענין מיסוי מקרקעין </w:t>
      </w:r>
      <w:r w:rsidR="009B3D1F">
        <w:rPr>
          <w:rStyle w:val="default"/>
          <w:rFonts w:cs="FrankRuehl" w:hint="cs"/>
          <w:rtl/>
        </w:rPr>
        <w:t>-</w:t>
      </w:r>
      <w:r>
        <w:rPr>
          <w:rStyle w:val="default"/>
          <w:rFonts w:cs="FrankRuehl"/>
          <w:rtl/>
        </w:rPr>
        <w:t xml:space="preserve"> </w:t>
      </w:r>
      <w:r>
        <w:rPr>
          <w:rStyle w:val="default"/>
          <w:rFonts w:cs="FrankRuehl" w:hint="cs"/>
          <w:rtl/>
        </w:rPr>
        <w:t>לבית הדין אשר באזור שיפוטו מצויים המקרקעין;</w:t>
      </w:r>
    </w:p>
    <w:p w14:paraId="0175DBE3" w14:textId="77777777" w:rsidR="005650B4" w:rsidRDefault="005650B4" w:rsidP="009B3D1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הוא בענין אחר </w:t>
      </w:r>
      <w:r w:rsidR="009B3D1F">
        <w:rPr>
          <w:rStyle w:val="default"/>
          <w:rFonts w:cs="FrankRuehl" w:hint="cs"/>
          <w:rtl/>
        </w:rPr>
        <w:t>-</w:t>
      </w:r>
      <w:r>
        <w:rPr>
          <w:rStyle w:val="default"/>
          <w:rFonts w:cs="FrankRuehl"/>
          <w:rtl/>
        </w:rPr>
        <w:t xml:space="preserve"> </w:t>
      </w:r>
      <w:r>
        <w:rPr>
          <w:rStyle w:val="default"/>
          <w:rFonts w:cs="FrankRuehl" w:hint="cs"/>
          <w:rtl/>
        </w:rPr>
        <w:t>במשרדה של הרשות המינהלית שנתנה את ההחלטה נושא הערר או לבית הדין שבאזור שיפוטו מצוי מקום מגוריו של העורר או מ</w:t>
      </w:r>
      <w:r>
        <w:rPr>
          <w:rStyle w:val="default"/>
          <w:rFonts w:cs="FrankRuehl"/>
          <w:rtl/>
        </w:rPr>
        <w:t>קו</w:t>
      </w:r>
      <w:r>
        <w:rPr>
          <w:rStyle w:val="default"/>
          <w:rFonts w:cs="FrankRuehl" w:hint="cs"/>
          <w:rtl/>
        </w:rPr>
        <w:t>ם עסקו ביום הגשת הערר.</w:t>
      </w:r>
    </w:p>
    <w:p w14:paraId="21814931" w14:textId="77777777" w:rsidR="005650B4" w:rsidRDefault="005650B4">
      <w:pPr>
        <w:pStyle w:val="P00"/>
        <w:spacing w:before="72"/>
        <w:ind w:left="0" w:right="1134"/>
        <w:rPr>
          <w:rStyle w:val="default"/>
          <w:rFonts w:cs="FrankRuehl"/>
          <w:rtl/>
        </w:rPr>
      </w:pPr>
      <w:bookmarkStart w:id="3" w:name="Seif4"/>
      <w:bookmarkEnd w:id="3"/>
      <w:r>
        <w:rPr>
          <w:lang w:val="he-IL"/>
        </w:rPr>
        <w:pict w14:anchorId="3D412E41">
          <v:rect id="_x0000_s1029" style="position:absolute;left:0;text-align:left;margin-left:464.5pt;margin-top:8.05pt;width:75.05pt;height:12.25pt;z-index:251645440" o:allowincell="f" filled="f" stroked="f" strokecolor="lime" strokeweight=".25pt">
            <v:textbox inset="0,0,0,0">
              <w:txbxContent>
                <w:p w14:paraId="37A3DC14" w14:textId="77777777" w:rsidR="005650B4" w:rsidRDefault="005650B4">
                  <w:pPr>
                    <w:spacing w:line="160" w:lineRule="exact"/>
                    <w:jc w:val="left"/>
                    <w:rPr>
                      <w:rFonts w:cs="Miriam"/>
                      <w:noProof/>
                      <w:sz w:val="18"/>
                      <w:szCs w:val="18"/>
                      <w:rtl/>
                    </w:rPr>
                  </w:pPr>
                  <w:r>
                    <w:rPr>
                      <w:rFonts w:cs="Miriam"/>
                      <w:sz w:val="18"/>
                      <w:szCs w:val="18"/>
                      <w:rtl/>
                    </w:rPr>
                    <w:t>מק</w:t>
                  </w:r>
                  <w:r>
                    <w:rPr>
                      <w:rFonts w:cs="Miriam" w:hint="cs"/>
                      <w:sz w:val="18"/>
                      <w:szCs w:val="18"/>
                      <w:rtl/>
                    </w:rPr>
                    <w:t>ום השיפוט</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בענין מקרקעין או בענין מיסוי מקרקעין יידון בבית הדין שבאזור שיפוטו מצויים המקרקעין, וערר בענין אחר יידון בבית הדין אשר באזור שיפוטו מצוי אחד מאלה:</w:t>
      </w:r>
    </w:p>
    <w:p w14:paraId="77E19957" w14:textId="77777777" w:rsidR="005650B4" w:rsidRDefault="005650B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שרדה של הרשות המינהלית שנתנה את ההחלטה נושא הערר;</w:t>
      </w:r>
    </w:p>
    <w:p w14:paraId="24C4A152" w14:textId="77777777" w:rsidR="005650B4" w:rsidRDefault="005650B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מגוריו ש</w:t>
      </w:r>
      <w:r>
        <w:rPr>
          <w:rStyle w:val="default"/>
          <w:rFonts w:cs="FrankRuehl"/>
          <w:rtl/>
        </w:rPr>
        <w:t xml:space="preserve">ל </w:t>
      </w:r>
      <w:r>
        <w:rPr>
          <w:rStyle w:val="default"/>
          <w:rFonts w:cs="FrankRuehl" w:hint="cs"/>
          <w:rtl/>
        </w:rPr>
        <w:t xml:space="preserve">העורר או מקום עיסוקו </w:t>
      </w:r>
      <w:r>
        <w:rPr>
          <w:rStyle w:val="default"/>
          <w:rFonts w:cs="FrankRuehl"/>
          <w:rtl/>
        </w:rPr>
        <w:t>ב</w:t>
      </w:r>
      <w:r>
        <w:rPr>
          <w:rStyle w:val="default"/>
          <w:rFonts w:cs="FrankRuehl" w:hint="cs"/>
          <w:rtl/>
        </w:rPr>
        <w:t xml:space="preserve">יום הגשת הערר. </w:t>
      </w:r>
    </w:p>
    <w:p w14:paraId="266D88A7"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אש בית הדין או בית הדין רשאי, להעביר ערר לאזור שיפוט אחר אם סבר שנפלה טעות בבחירת מקום השיפוט או שמאזן הנוחות מצדיק זאת; ערר שהועבר כאמור לא יועבר עוד. </w:t>
      </w:r>
    </w:p>
    <w:p w14:paraId="53203B8B" w14:textId="77777777" w:rsidR="005650B4" w:rsidRDefault="005650B4">
      <w:pPr>
        <w:pStyle w:val="P00"/>
        <w:spacing w:before="72"/>
        <w:ind w:left="0" w:right="1134"/>
        <w:rPr>
          <w:rStyle w:val="default"/>
          <w:rFonts w:cs="FrankRuehl"/>
          <w:rtl/>
        </w:rPr>
      </w:pPr>
      <w:bookmarkStart w:id="4" w:name="Seif5"/>
      <w:bookmarkEnd w:id="4"/>
      <w:r>
        <w:rPr>
          <w:lang w:val="he-IL"/>
        </w:rPr>
        <w:pict w14:anchorId="08985360">
          <v:rect id="_x0000_s1030" style="position:absolute;left:0;text-align:left;margin-left:464.5pt;margin-top:8.05pt;width:75.05pt;height:11.7pt;z-index:251646464" o:allowincell="f" filled="f" stroked="f" strokecolor="lime" strokeweight=".25pt">
            <v:textbox inset="0,0,0,0">
              <w:txbxContent>
                <w:p w14:paraId="152E04BA" w14:textId="77777777" w:rsidR="005650B4" w:rsidRDefault="005650B4">
                  <w:pPr>
                    <w:spacing w:line="160" w:lineRule="exact"/>
                    <w:jc w:val="left"/>
                    <w:rPr>
                      <w:rFonts w:cs="Miriam"/>
                      <w:noProof/>
                      <w:sz w:val="18"/>
                      <w:szCs w:val="18"/>
                      <w:rtl/>
                    </w:rPr>
                  </w:pPr>
                  <w:r>
                    <w:rPr>
                      <w:rFonts w:cs="Miriam"/>
                      <w:sz w:val="18"/>
                      <w:szCs w:val="18"/>
                      <w:rtl/>
                    </w:rPr>
                    <w:t>כת</w:t>
                  </w:r>
                  <w:r>
                    <w:rPr>
                      <w:rFonts w:cs="Miriam" w:hint="cs"/>
                      <w:sz w:val="18"/>
                      <w:szCs w:val="18"/>
                      <w:rtl/>
                    </w:rPr>
                    <w:t>ב הע</w:t>
                  </w:r>
                  <w:r>
                    <w:rPr>
                      <w:rFonts w:cs="Miriam"/>
                      <w:sz w:val="18"/>
                      <w:szCs w:val="18"/>
                      <w:rtl/>
                    </w:rPr>
                    <w:t>רר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תב הערר יוגש מודפס, חתום ביד העורר או בא-כוחו, למען כאמור בתקנה 3(א). </w:t>
      </w:r>
    </w:p>
    <w:p w14:paraId="16992B46"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תב הערר יוגש במספר עותקים כמספר החברים בבית הדין והמשיבים ובצירוף עותק נוסף. </w:t>
      </w:r>
    </w:p>
    <w:p w14:paraId="0D1DE5DD" w14:textId="77777777" w:rsidR="005650B4" w:rsidRDefault="005650B4">
      <w:pPr>
        <w:pStyle w:val="P00"/>
        <w:spacing w:before="72"/>
        <w:ind w:left="0" w:right="1134"/>
        <w:rPr>
          <w:rStyle w:val="default"/>
          <w:rFonts w:cs="FrankRuehl"/>
          <w:rtl/>
        </w:rPr>
      </w:pPr>
      <w:bookmarkStart w:id="5" w:name="Seif6"/>
      <w:bookmarkEnd w:id="5"/>
      <w:r>
        <w:rPr>
          <w:lang w:val="he-IL"/>
        </w:rPr>
        <w:pict w14:anchorId="56C34298">
          <v:rect id="_x0000_s1031" style="position:absolute;left:0;text-align:left;margin-left:464.5pt;margin-top:8.05pt;width:75.05pt;height:12.6pt;z-index:251647488" o:allowincell="f" filled="f" stroked="f" strokecolor="lime" strokeweight=".25pt">
            <v:textbox inset="0,0,0,0">
              <w:txbxContent>
                <w:p w14:paraId="175F4A41" w14:textId="77777777" w:rsidR="005650B4" w:rsidRDefault="005650B4">
                  <w:pPr>
                    <w:spacing w:line="160" w:lineRule="exact"/>
                    <w:jc w:val="left"/>
                    <w:rPr>
                      <w:rFonts w:cs="Miriam"/>
                      <w:noProof/>
                      <w:sz w:val="18"/>
                      <w:szCs w:val="18"/>
                      <w:rtl/>
                    </w:rPr>
                  </w:pPr>
                  <w:r>
                    <w:rPr>
                      <w:rFonts w:cs="Miriam"/>
                      <w:sz w:val="18"/>
                      <w:szCs w:val="18"/>
                      <w:rtl/>
                    </w:rPr>
                    <w:t>פר</w:t>
                  </w:r>
                  <w:r>
                    <w:rPr>
                      <w:rFonts w:cs="Miriam" w:hint="cs"/>
                      <w:sz w:val="18"/>
                      <w:szCs w:val="18"/>
                      <w:rtl/>
                    </w:rPr>
                    <w:t>טי הערר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לה הפרטים שיכיל כתב ערר: </w:t>
      </w:r>
    </w:p>
    <w:p w14:paraId="4F08030F" w14:textId="77777777" w:rsidR="005650B4" w:rsidRDefault="005650B4" w:rsidP="009B3D1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העורר, מספר </w:t>
      </w:r>
      <w:r>
        <w:rPr>
          <w:rStyle w:val="default"/>
          <w:rFonts w:cs="FrankRuehl"/>
          <w:rtl/>
        </w:rPr>
        <w:t>הז</w:t>
      </w:r>
      <w:r>
        <w:rPr>
          <w:rStyle w:val="default"/>
          <w:rFonts w:cs="FrankRuehl" w:hint="cs"/>
          <w:rtl/>
        </w:rPr>
        <w:t xml:space="preserve">הות שלו, ובתאגיד </w:t>
      </w:r>
      <w:r w:rsidR="009B3D1F">
        <w:rPr>
          <w:rStyle w:val="default"/>
          <w:rFonts w:cs="FrankRuehl" w:hint="cs"/>
          <w:rtl/>
        </w:rPr>
        <w:t>-</w:t>
      </w:r>
      <w:r>
        <w:rPr>
          <w:rStyle w:val="default"/>
          <w:rFonts w:cs="FrankRuehl"/>
          <w:rtl/>
        </w:rPr>
        <w:t xml:space="preserve"> </w:t>
      </w:r>
      <w:r>
        <w:rPr>
          <w:rStyle w:val="default"/>
          <w:rFonts w:cs="FrankRuehl" w:hint="cs"/>
          <w:rtl/>
        </w:rPr>
        <w:t>מספר</w:t>
      </w:r>
      <w:r>
        <w:rPr>
          <w:rStyle w:val="default"/>
          <w:rFonts w:cs="FrankRuehl"/>
          <w:rtl/>
        </w:rPr>
        <w:t xml:space="preserve"> ה</w:t>
      </w:r>
      <w:r>
        <w:rPr>
          <w:rStyle w:val="default"/>
          <w:rFonts w:cs="FrankRuehl" w:hint="cs"/>
          <w:rtl/>
        </w:rPr>
        <w:t>רישום שלו, מענו, מספר הטלפון שלו והמען להמצאת</w:t>
      </w:r>
      <w:r>
        <w:rPr>
          <w:rFonts w:cs="FrankRuehl"/>
          <w:sz w:val="26"/>
          <w:rtl/>
        </w:rPr>
        <w:t> </w:t>
      </w:r>
      <w:r>
        <w:rPr>
          <w:rStyle w:val="default"/>
          <w:rFonts w:cs="FrankRuehl"/>
          <w:rtl/>
        </w:rPr>
        <w:t xml:space="preserve"> ה</w:t>
      </w:r>
      <w:r>
        <w:rPr>
          <w:rStyle w:val="default"/>
          <w:rFonts w:cs="FrankRuehl" w:hint="cs"/>
          <w:rtl/>
        </w:rPr>
        <w:t xml:space="preserve">ודעות ומסמכים; </w:t>
      </w:r>
    </w:p>
    <w:p w14:paraId="016A4400" w14:textId="77777777" w:rsidR="005650B4" w:rsidRDefault="005650B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ומענו של המשיב;</w:t>
      </w:r>
    </w:p>
    <w:p w14:paraId="64BF568A" w14:textId="77777777" w:rsidR="005650B4" w:rsidRDefault="005650B4">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מצית ההחלטה שעליה עוררים;</w:t>
      </w:r>
    </w:p>
    <w:p w14:paraId="1B67E239" w14:textId="77777777" w:rsidR="005650B4" w:rsidRDefault="005650B4">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תאריך שבו הומצאה ההחלטה נושא הערר לעורר;</w:t>
      </w:r>
    </w:p>
    <w:p w14:paraId="7B5E6DD5" w14:textId="77777777" w:rsidR="005650B4" w:rsidRDefault="005650B4">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עובדות שעליהן מסתמך העורר;</w:t>
      </w:r>
    </w:p>
    <w:p w14:paraId="70A88F5E" w14:textId="77777777" w:rsidR="005650B4" w:rsidRDefault="005650B4">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נימוקים שעליהם מבסס העורר </w:t>
      </w:r>
      <w:r>
        <w:rPr>
          <w:rStyle w:val="default"/>
          <w:rFonts w:cs="FrankRuehl"/>
          <w:rtl/>
        </w:rPr>
        <w:t>את</w:t>
      </w:r>
      <w:r>
        <w:rPr>
          <w:rStyle w:val="default"/>
          <w:rFonts w:cs="FrankRuehl" w:hint="cs"/>
          <w:rtl/>
        </w:rPr>
        <w:t xml:space="preserve"> עררו;</w:t>
      </w:r>
    </w:p>
    <w:p w14:paraId="0D910742" w14:textId="77777777" w:rsidR="005650B4" w:rsidRDefault="005650B4" w:rsidP="009B3D1F">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שימת מסמכים שעליהם מסתמך העורר, בציון</w:t>
      </w:r>
      <w:r>
        <w:rPr>
          <w:rStyle w:val="default"/>
          <w:rFonts w:cs="FrankRuehl"/>
          <w:rtl/>
        </w:rPr>
        <w:t xml:space="preserve"> ה</w:t>
      </w:r>
      <w:r>
        <w:rPr>
          <w:rStyle w:val="default"/>
          <w:rFonts w:cs="FrankRuehl" w:hint="cs"/>
          <w:rtl/>
        </w:rPr>
        <w:t>מסמכים שאינם מצויים ברשותו;</w:t>
      </w:r>
    </w:p>
    <w:p w14:paraId="0FD01711" w14:textId="77777777" w:rsidR="005650B4" w:rsidRDefault="005650B4">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סעד המבוקש. </w:t>
      </w:r>
    </w:p>
    <w:p w14:paraId="3D11A178" w14:textId="77777777" w:rsidR="005650B4" w:rsidRDefault="005650B4">
      <w:pPr>
        <w:pStyle w:val="P00"/>
        <w:spacing w:before="72"/>
        <w:ind w:left="0" w:right="1134"/>
        <w:rPr>
          <w:rStyle w:val="default"/>
          <w:rFonts w:cs="FrankRuehl"/>
          <w:rtl/>
        </w:rPr>
      </w:pPr>
      <w:bookmarkStart w:id="6" w:name="Seif7"/>
      <w:bookmarkEnd w:id="6"/>
      <w:r>
        <w:rPr>
          <w:lang w:val="he-IL"/>
        </w:rPr>
        <w:pict w14:anchorId="1BDEAE51">
          <v:rect id="_x0000_s1032" style="position:absolute;left:0;text-align:left;margin-left:464.5pt;margin-top:8.05pt;width:75.05pt;height:16.7pt;z-index:251648512" o:allowincell="f" filled="f" stroked="f" strokecolor="lime" strokeweight=".25pt">
            <v:textbox inset="0,0,0,0">
              <w:txbxContent>
                <w:p w14:paraId="32DD4F18" w14:textId="77777777" w:rsidR="005650B4" w:rsidRDefault="005650B4">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עותק של כתב הערר יצורף העתק צילומי של ההחלטה נושא הערר ושל כל מסמך אחר שהעורר מסתמך עליו, ושמצוי ברשותו. </w:t>
      </w:r>
    </w:p>
    <w:p w14:paraId="686C5E92"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צורף מסמך כאמור</w:t>
      </w:r>
      <w:r>
        <w:rPr>
          <w:rStyle w:val="default"/>
          <w:rFonts w:cs="FrankRuehl"/>
          <w:rtl/>
        </w:rPr>
        <w:t xml:space="preserve"> </w:t>
      </w:r>
      <w:r>
        <w:rPr>
          <w:rStyle w:val="default"/>
          <w:rFonts w:cs="FrankRuehl" w:hint="cs"/>
          <w:rtl/>
        </w:rPr>
        <w:t xml:space="preserve">לכתב הערר, אף </w:t>
      </w:r>
      <w:r>
        <w:rPr>
          <w:rStyle w:val="default"/>
          <w:rFonts w:cs="FrankRuehl"/>
          <w:rtl/>
        </w:rPr>
        <w:t>שה</w:t>
      </w:r>
      <w:r>
        <w:rPr>
          <w:rStyle w:val="default"/>
          <w:rFonts w:cs="FrankRuehl" w:hint="cs"/>
          <w:rtl/>
        </w:rPr>
        <w:t xml:space="preserve">וא מצוי ברשות העורר, לא יסתמך עליו בעל דין בדיון בערר אלא ברשות בית הדין ומטעמים מיוחדים שיירשמו. </w:t>
      </w:r>
    </w:p>
    <w:p w14:paraId="2074E90C" w14:textId="77777777" w:rsidR="005650B4" w:rsidRDefault="005650B4" w:rsidP="009B3D1F">
      <w:pPr>
        <w:pStyle w:val="P00"/>
        <w:spacing w:before="72"/>
        <w:ind w:left="0" w:right="1134"/>
        <w:rPr>
          <w:rStyle w:val="default"/>
          <w:rFonts w:cs="FrankRuehl"/>
          <w:rtl/>
        </w:rPr>
      </w:pPr>
      <w:bookmarkStart w:id="7" w:name="Seif8"/>
      <w:bookmarkEnd w:id="7"/>
      <w:r>
        <w:rPr>
          <w:lang w:val="he-IL"/>
        </w:rPr>
        <w:pict w14:anchorId="48D21EE2">
          <v:rect id="_x0000_s1033" style="position:absolute;left:0;text-align:left;margin-left:464.5pt;margin-top:8.05pt;width:75.05pt;height:13.55pt;z-index:251649536" o:allowincell="f" filled="f" stroked="f" strokecolor="lime" strokeweight=".25pt">
            <v:textbox inset="0,0,0,0">
              <w:txbxContent>
                <w:p w14:paraId="23E17ED9" w14:textId="77777777" w:rsidR="005650B4" w:rsidRDefault="005650B4">
                  <w:pPr>
                    <w:spacing w:line="160" w:lineRule="exact"/>
                    <w:jc w:val="left"/>
                    <w:rPr>
                      <w:rFonts w:cs="Miriam"/>
                      <w:noProof/>
                      <w:sz w:val="18"/>
                      <w:szCs w:val="18"/>
                      <w:rtl/>
                    </w:rPr>
                  </w:pPr>
                  <w:r>
                    <w:rPr>
                      <w:rFonts w:cs="Miriam"/>
                      <w:sz w:val="18"/>
                      <w:szCs w:val="18"/>
                      <w:rtl/>
                    </w:rPr>
                    <w:t>עו</w:t>
                  </w:r>
                  <w:r>
                    <w:rPr>
                      <w:rFonts w:cs="Miriam" w:hint="cs"/>
                      <w:sz w:val="18"/>
                      <w:szCs w:val="18"/>
                      <w:rtl/>
                    </w:rPr>
                    <w:t>רר פסול דין</w:t>
                  </w:r>
                </w:p>
              </w:txbxContent>
            </v:textbox>
            <w10:anchorlock/>
          </v:rect>
        </w:pict>
      </w:r>
      <w:r>
        <w:rPr>
          <w:rStyle w:val="big-number"/>
          <w:rFonts w:cs="Miriam"/>
          <w:rtl/>
        </w:rPr>
        <w:t>8.</w:t>
      </w:r>
      <w:r>
        <w:rPr>
          <w:rStyle w:val="big-number"/>
          <w:rFonts w:cs="Miriam"/>
          <w:rtl/>
        </w:rPr>
        <w:tab/>
      </w:r>
      <w:r>
        <w:rPr>
          <w:rStyle w:val="default"/>
          <w:rFonts w:cs="FrankRuehl"/>
          <w:rtl/>
        </w:rPr>
        <w:t>הי</w:t>
      </w:r>
      <w:r>
        <w:rPr>
          <w:rStyle w:val="default"/>
          <w:rFonts w:cs="FrankRuehl" w:hint="cs"/>
          <w:rtl/>
        </w:rPr>
        <w:t xml:space="preserve">ה העורר פסול דין, יגיש את הערר אפוטרופסו, ובאין לו אפוטרופוס </w:t>
      </w:r>
      <w:r w:rsidR="009B3D1F">
        <w:rPr>
          <w:rStyle w:val="default"/>
          <w:rFonts w:cs="FrankRuehl" w:hint="cs"/>
          <w:rtl/>
        </w:rPr>
        <w:t>-</w:t>
      </w:r>
      <w:r>
        <w:rPr>
          <w:rStyle w:val="default"/>
          <w:rFonts w:cs="FrankRuehl"/>
          <w:rtl/>
        </w:rPr>
        <w:t xml:space="preserve"> </w:t>
      </w:r>
      <w:r>
        <w:rPr>
          <w:rStyle w:val="default"/>
          <w:rFonts w:cs="FrankRuehl" w:hint="cs"/>
          <w:rtl/>
        </w:rPr>
        <w:t xml:space="preserve">ידידו הקרוב, </w:t>
      </w:r>
      <w:r>
        <w:rPr>
          <w:rStyle w:val="default"/>
          <w:rFonts w:cs="FrankRuehl" w:hint="cs"/>
          <w:rtl/>
        </w:rPr>
        <w:lastRenderedPageBreak/>
        <w:t xml:space="preserve">והדבר יצוין בכתב הערר. </w:t>
      </w:r>
    </w:p>
    <w:p w14:paraId="401D3B50" w14:textId="77777777" w:rsidR="005650B4" w:rsidRDefault="005650B4">
      <w:pPr>
        <w:pStyle w:val="P00"/>
        <w:spacing w:before="72"/>
        <w:ind w:left="0" w:right="1134"/>
        <w:rPr>
          <w:rStyle w:val="default"/>
          <w:rFonts w:cs="FrankRuehl"/>
          <w:rtl/>
        </w:rPr>
      </w:pPr>
      <w:bookmarkStart w:id="8" w:name="Seif9"/>
      <w:bookmarkEnd w:id="8"/>
      <w:r>
        <w:rPr>
          <w:lang w:val="he-IL"/>
        </w:rPr>
        <w:pict w14:anchorId="3FF7AC8D">
          <v:rect id="_x0000_s1034" style="position:absolute;left:0;text-align:left;margin-left:464.5pt;margin-top:8.05pt;width:75.05pt;height:19.5pt;z-index:251650560" o:allowincell="f" filled="f" stroked="f" strokecolor="lime" strokeweight=".25pt">
            <v:textbox inset="0,0,0,0">
              <w:txbxContent>
                <w:p w14:paraId="5D883916" w14:textId="77777777" w:rsidR="005650B4" w:rsidRDefault="005650B4" w:rsidP="00227F1E">
                  <w:pPr>
                    <w:spacing w:line="160" w:lineRule="exact"/>
                    <w:jc w:val="left"/>
                    <w:rPr>
                      <w:rFonts w:cs="Miriam"/>
                      <w:noProof/>
                      <w:sz w:val="18"/>
                      <w:szCs w:val="18"/>
                      <w:rtl/>
                    </w:rPr>
                  </w:pPr>
                  <w:r>
                    <w:rPr>
                      <w:rFonts w:cs="Miriam"/>
                      <w:sz w:val="18"/>
                      <w:szCs w:val="18"/>
                      <w:rtl/>
                    </w:rPr>
                    <w:t>הא</w:t>
                  </w:r>
                  <w:r>
                    <w:rPr>
                      <w:rFonts w:cs="Miriam" w:hint="cs"/>
                      <w:sz w:val="18"/>
                      <w:szCs w:val="18"/>
                      <w:rtl/>
                    </w:rPr>
                    <w:t>רכת המועד</w:t>
                  </w:r>
                  <w:r w:rsidR="00227F1E">
                    <w:rPr>
                      <w:rFonts w:cs="Miriam" w:hint="cs"/>
                      <w:sz w:val="18"/>
                      <w:szCs w:val="18"/>
                      <w:rtl/>
                    </w:rPr>
                    <w:t xml:space="preserve"> </w:t>
                  </w:r>
                  <w:r>
                    <w:rPr>
                      <w:rFonts w:cs="Miriam"/>
                      <w:sz w:val="18"/>
                      <w:szCs w:val="18"/>
                      <w:rtl/>
                    </w:rPr>
                    <w:t>לה</w:t>
                  </w:r>
                  <w:r>
                    <w:rPr>
                      <w:rFonts w:cs="Miriam" w:hint="cs"/>
                      <w:sz w:val="18"/>
                      <w:szCs w:val="18"/>
                      <w:rtl/>
                    </w:rPr>
                    <w:t>גשת ערר</w:t>
                  </w:r>
                </w:p>
              </w:txbxContent>
            </v:textbox>
            <w10:anchorlock/>
          </v:rect>
        </w:pict>
      </w:r>
      <w:r>
        <w:rPr>
          <w:rStyle w:val="big-number"/>
          <w:rFonts w:cs="Miriam"/>
          <w:rtl/>
        </w:rPr>
        <w:t>9.</w:t>
      </w:r>
      <w:r>
        <w:rPr>
          <w:rStyle w:val="big-number"/>
          <w:rFonts w:cs="Miriam"/>
          <w:rtl/>
        </w:rPr>
        <w:tab/>
      </w:r>
      <w:r>
        <w:rPr>
          <w:rStyle w:val="default"/>
          <w:rFonts w:cs="FrankRuehl"/>
          <w:rtl/>
        </w:rPr>
        <w:t>עו</w:t>
      </w:r>
      <w:r>
        <w:rPr>
          <w:rStyle w:val="default"/>
          <w:rFonts w:cs="FrankRuehl" w:hint="cs"/>
          <w:rtl/>
        </w:rPr>
        <w:t>רר המבקש להאריך מועד להגשת ערר, לפי סעיף 22</w:t>
      </w:r>
      <w:r>
        <w:rPr>
          <w:rStyle w:val="default"/>
          <w:rFonts w:cs="FrankRuehl"/>
          <w:rtl/>
        </w:rPr>
        <w:t>(ב</w:t>
      </w:r>
      <w:r>
        <w:rPr>
          <w:rStyle w:val="default"/>
          <w:rFonts w:cs="FrankRuehl" w:hint="cs"/>
          <w:rtl/>
        </w:rPr>
        <w:t>) לחוק, יגיש לבית הדין בהקדם בקשה על כך, בכתב, ויפרט בה את טעמיו המיוחדים.</w:t>
      </w:r>
    </w:p>
    <w:p w14:paraId="3C79509E" w14:textId="77777777" w:rsidR="005650B4" w:rsidRDefault="005650B4">
      <w:pPr>
        <w:pStyle w:val="P00"/>
        <w:spacing w:before="72"/>
        <w:ind w:left="0" w:right="1134"/>
        <w:rPr>
          <w:rStyle w:val="default"/>
          <w:rFonts w:cs="FrankRuehl"/>
          <w:rtl/>
        </w:rPr>
      </w:pPr>
      <w:bookmarkStart w:id="9" w:name="Seif10"/>
      <w:bookmarkEnd w:id="9"/>
      <w:r>
        <w:rPr>
          <w:lang w:val="he-IL"/>
        </w:rPr>
        <w:pict w14:anchorId="1BA37F02">
          <v:rect id="_x0000_s1035" style="position:absolute;left:0;text-align:left;margin-left:464.5pt;margin-top:8.05pt;width:75.05pt;height:14.55pt;z-index:251651584" o:allowincell="f" filled="f" stroked="f" strokecolor="lime" strokeweight=".25pt">
            <v:textbox inset="0,0,0,0">
              <w:txbxContent>
                <w:p w14:paraId="62C4FEAE" w14:textId="77777777" w:rsidR="005650B4" w:rsidRDefault="005650B4">
                  <w:pPr>
                    <w:spacing w:line="160" w:lineRule="exact"/>
                    <w:jc w:val="left"/>
                    <w:rPr>
                      <w:rFonts w:cs="Miriam"/>
                      <w:noProof/>
                      <w:sz w:val="18"/>
                      <w:szCs w:val="18"/>
                      <w:rtl/>
                    </w:rPr>
                  </w:pPr>
                  <w:r>
                    <w:rPr>
                      <w:rFonts w:cs="Miriam"/>
                      <w:sz w:val="18"/>
                      <w:szCs w:val="18"/>
                      <w:rtl/>
                    </w:rPr>
                    <w:t>המ</w:t>
                  </w:r>
                  <w:r>
                    <w:rPr>
                      <w:rFonts w:cs="Miriam" w:hint="cs"/>
                      <w:sz w:val="18"/>
                      <w:szCs w:val="18"/>
                      <w:rtl/>
                    </w:rPr>
                    <w:t>שיב</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המינהלית שנתנה את ההחלטה נושא הערר תצויין בכתב הערר כמשיב. </w:t>
      </w:r>
    </w:p>
    <w:p w14:paraId="15168E19"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הדין רשאי, מיזמתו או לפי בקשת בעל דין, לצרף לערר משיבים נוספים, אם יש להם נגיעה ישירה לערר. </w:t>
      </w:r>
    </w:p>
    <w:p w14:paraId="1D56209D"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וגש ערר לבית הדין, ימציא בית הדין לכל משיב עותק של כתב הערר על מצורפיו כאמור בתקנה 7. </w:t>
      </w:r>
    </w:p>
    <w:p w14:paraId="0C2DDE1C" w14:textId="77777777" w:rsidR="005650B4" w:rsidRDefault="005650B4">
      <w:pPr>
        <w:pStyle w:val="P00"/>
        <w:spacing w:before="72"/>
        <w:ind w:left="0" w:right="1134"/>
        <w:rPr>
          <w:rStyle w:val="default"/>
          <w:rFonts w:cs="FrankRuehl"/>
          <w:rtl/>
        </w:rPr>
      </w:pPr>
      <w:bookmarkStart w:id="10" w:name="Seif11"/>
      <w:bookmarkEnd w:id="10"/>
      <w:r>
        <w:rPr>
          <w:lang w:val="he-IL"/>
        </w:rPr>
        <w:pict w14:anchorId="6A4C24C6">
          <v:rect id="_x0000_s1036" style="position:absolute;left:0;text-align:left;margin-left:464.5pt;margin-top:8.05pt;width:75.05pt;height:16pt;z-index:251652608" o:allowincell="f" filled="f" stroked="f" strokecolor="lime" strokeweight=".25pt">
            <v:textbox inset="0,0,0,0">
              <w:txbxContent>
                <w:p w14:paraId="423E1598" w14:textId="77777777" w:rsidR="005650B4" w:rsidRDefault="005650B4" w:rsidP="00227F1E">
                  <w:pPr>
                    <w:spacing w:line="160" w:lineRule="exact"/>
                    <w:jc w:val="left"/>
                    <w:rPr>
                      <w:rFonts w:cs="Miriam"/>
                      <w:noProof/>
                      <w:sz w:val="18"/>
                      <w:szCs w:val="18"/>
                      <w:rtl/>
                    </w:rPr>
                  </w:pPr>
                  <w:r>
                    <w:rPr>
                      <w:rFonts w:cs="Miriam"/>
                      <w:sz w:val="18"/>
                      <w:szCs w:val="18"/>
                      <w:rtl/>
                    </w:rPr>
                    <w:t>פג</w:t>
                  </w:r>
                  <w:r>
                    <w:rPr>
                      <w:rFonts w:cs="Miriam" w:hint="cs"/>
                      <w:sz w:val="18"/>
                      <w:szCs w:val="18"/>
                      <w:rtl/>
                    </w:rPr>
                    <w:t>ם בכתב</w:t>
                  </w:r>
                  <w:r w:rsidR="00227F1E">
                    <w:rPr>
                      <w:rFonts w:cs="Miriam" w:hint="cs"/>
                      <w:sz w:val="18"/>
                      <w:szCs w:val="18"/>
                      <w:rtl/>
                    </w:rPr>
                    <w:t xml:space="preserve"> </w:t>
                  </w:r>
                  <w:r>
                    <w:rPr>
                      <w:rFonts w:cs="Miriam"/>
                      <w:sz w:val="18"/>
                      <w:szCs w:val="18"/>
                      <w:rtl/>
                    </w:rPr>
                    <w:t>הע</w:t>
                  </w:r>
                  <w:r>
                    <w:rPr>
                      <w:rFonts w:cs="Miriam" w:hint="cs"/>
                      <w:sz w:val="18"/>
                      <w:szCs w:val="18"/>
                      <w:rtl/>
                    </w:rPr>
                    <w:t>רר</w:t>
                  </w:r>
                </w:p>
              </w:txbxContent>
            </v:textbox>
            <w10:anchorlock/>
          </v:rect>
        </w:pict>
      </w:r>
      <w:r>
        <w:rPr>
          <w:rStyle w:val="big-number"/>
          <w:rFonts w:cs="Miriam"/>
          <w:rtl/>
        </w:rPr>
        <w:t>11.</w:t>
      </w:r>
      <w:r>
        <w:rPr>
          <w:rStyle w:val="big-number"/>
          <w:rFonts w:cs="Miriam"/>
          <w:rtl/>
        </w:rPr>
        <w:tab/>
      </w:r>
      <w:r>
        <w:rPr>
          <w:rStyle w:val="default"/>
          <w:rFonts w:cs="FrankRuehl"/>
          <w:rtl/>
        </w:rPr>
        <w:t>כת</w:t>
      </w:r>
      <w:r>
        <w:rPr>
          <w:rStyle w:val="default"/>
          <w:rFonts w:cs="FrankRuehl" w:hint="cs"/>
          <w:rtl/>
        </w:rPr>
        <w:t>ב ערר שלא נתקיימה לגביו הוראה מהוראות תקנות 5 עד 8, ר</w:t>
      </w:r>
      <w:r>
        <w:rPr>
          <w:rStyle w:val="default"/>
          <w:rFonts w:cs="FrankRuehl"/>
          <w:rtl/>
        </w:rPr>
        <w:t>ש</w:t>
      </w:r>
      <w:r>
        <w:rPr>
          <w:rStyle w:val="default"/>
          <w:rFonts w:cs="FrankRuehl" w:hint="cs"/>
          <w:rtl/>
        </w:rPr>
        <w:t>אי ראש בית הדין או מי שהוא מינה לכך, שלא לקבלו או להחזירו לעורר לשם תיקונו, אל</w:t>
      </w:r>
      <w:r>
        <w:rPr>
          <w:rStyle w:val="default"/>
          <w:rFonts w:cs="FrankRuehl"/>
          <w:rtl/>
        </w:rPr>
        <w:t xml:space="preserve">א </w:t>
      </w:r>
      <w:r>
        <w:rPr>
          <w:rStyle w:val="default"/>
          <w:rFonts w:cs="FrankRuehl" w:hint="cs"/>
          <w:rtl/>
        </w:rPr>
        <w:t xml:space="preserve">אם כן אין בדבר כדי לפגום באופן מהותי בדיון; ואולם לא יפסול בית הדין כתב ערר מטעם זה בלבד שלא נתקיימה הוראה כאמור, אלא אם כן הדבר דרוש למניעת עיוות דין. </w:t>
      </w:r>
    </w:p>
    <w:p w14:paraId="56AE9F0E" w14:textId="77777777" w:rsidR="005650B4" w:rsidRDefault="005650B4">
      <w:pPr>
        <w:pStyle w:val="P00"/>
        <w:spacing w:before="72"/>
        <w:ind w:left="0" w:right="1134"/>
        <w:rPr>
          <w:rStyle w:val="default"/>
          <w:rFonts w:cs="FrankRuehl"/>
          <w:rtl/>
        </w:rPr>
      </w:pPr>
      <w:bookmarkStart w:id="11" w:name="Seif12"/>
      <w:bookmarkEnd w:id="11"/>
      <w:r>
        <w:rPr>
          <w:lang w:val="he-IL"/>
        </w:rPr>
        <w:pict w14:anchorId="062BB0DA">
          <v:rect id="_x0000_s1037" style="position:absolute;left:0;text-align:left;margin-left:464.5pt;margin-top:8.05pt;width:75.05pt;height:11.1pt;z-index:251653632" o:allowincell="f" filled="f" stroked="f" strokecolor="lime" strokeweight=".25pt">
            <v:textbox inset="0,0,0,0">
              <w:txbxContent>
                <w:p w14:paraId="45E0B734" w14:textId="77777777" w:rsidR="005650B4" w:rsidRDefault="005650B4">
                  <w:pPr>
                    <w:spacing w:line="160" w:lineRule="exact"/>
                    <w:jc w:val="left"/>
                    <w:rPr>
                      <w:rFonts w:cs="Miriam"/>
                      <w:noProof/>
                      <w:sz w:val="18"/>
                      <w:szCs w:val="18"/>
                      <w:rtl/>
                    </w:rPr>
                  </w:pPr>
                  <w:r>
                    <w:rPr>
                      <w:rFonts w:cs="Miriam"/>
                      <w:sz w:val="18"/>
                      <w:szCs w:val="18"/>
                      <w:rtl/>
                    </w:rPr>
                    <w:t>אג</w:t>
                  </w:r>
                  <w:r>
                    <w:rPr>
                      <w:rFonts w:cs="Miriam" w:hint="cs"/>
                      <w:sz w:val="18"/>
                      <w:szCs w:val="18"/>
                      <w:rtl/>
                    </w:rPr>
                    <w:t>רה וערובה</w:t>
                  </w:r>
                </w:p>
              </w:txbxContent>
            </v:textbox>
            <w10:anchorlock/>
          </v:rect>
        </w:pict>
      </w:r>
      <w:r>
        <w:rPr>
          <w:rStyle w:val="big-number"/>
          <w:rFonts w:cs="Miriam"/>
          <w:rtl/>
        </w:rPr>
        <w:t>12.</w:t>
      </w:r>
      <w:r>
        <w:rPr>
          <w:rStyle w:val="big-number"/>
          <w:rFonts w:cs="Miriam"/>
          <w:rtl/>
        </w:rPr>
        <w:tab/>
      </w:r>
      <w:r>
        <w:rPr>
          <w:rStyle w:val="default"/>
          <w:rFonts w:cs="FrankRuehl"/>
          <w:rtl/>
        </w:rPr>
        <w:t>נק</w:t>
      </w:r>
      <w:r>
        <w:rPr>
          <w:rStyle w:val="default"/>
          <w:rFonts w:cs="FrankRuehl" w:hint="cs"/>
          <w:rtl/>
        </w:rPr>
        <w:t>ב</w:t>
      </w:r>
      <w:r>
        <w:rPr>
          <w:rStyle w:val="default"/>
          <w:rFonts w:cs="FrankRuehl"/>
          <w:rtl/>
        </w:rPr>
        <w:t>ע</w:t>
      </w:r>
      <w:r>
        <w:rPr>
          <w:rStyle w:val="default"/>
          <w:rFonts w:cs="FrankRuehl" w:hint="cs"/>
          <w:rtl/>
        </w:rPr>
        <w:t>ה חובה לתשלום אגרה או למתן ערובה או פקדון לצורך דיון בערר, תשולם האגרה יחד עם הגשת הערר, והע</w:t>
      </w:r>
      <w:r>
        <w:rPr>
          <w:rStyle w:val="default"/>
          <w:rFonts w:cs="FrankRuehl"/>
          <w:rtl/>
        </w:rPr>
        <w:t>רו</w:t>
      </w:r>
      <w:r>
        <w:rPr>
          <w:rStyle w:val="default"/>
          <w:rFonts w:cs="FrankRuehl" w:hint="cs"/>
          <w:rtl/>
        </w:rPr>
        <w:t xml:space="preserve">בה או הפקדון יינתנו במועד שייקבע לכך; לא שולמה האגרה או לא ניתנו הערובה או הפקדון במועד כאמור, לא יקובל הערר או יוחזר לעורר. </w:t>
      </w:r>
    </w:p>
    <w:p w14:paraId="0418AF7C" w14:textId="77777777" w:rsidR="005650B4" w:rsidRDefault="005650B4">
      <w:pPr>
        <w:pStyle w:val="P00"/>
        <w:spacing w:before="72"/>
        <w:ind w:left="0" w:right="1134"/>
        <w:rPr>
          <w:rStyle w:val="default"/>
          <w:rFonts w:cs="FrankRuehl"/>
          <w:rtl/>
        </w:rPr>
      </w:pPr>
      <w:bookmarkStart w:id="12" w:name="Seif13"/>
      <w:bookmarkEnd w:id="12"/>
      <w:r>
        <w:rPr>
          <w:lang w:val="he-IL"/>
        </w:rPr>
        <w:pict w14:anchorId="552C4468">
          <v:rect id="_x0000_s1038" style="position:absolute;left:0;text-align:left;margin-left:464.5pt;margin-top:8.05pt;width:75.05pt;height:15.6pt;z-index:251654656" o:allowincell="f" filled="f" stroked="f" strokecolor="lime" strokeweight=".25pt">
            <v:textbox inset="0,0,0,0">
              <w:txbxContent>
                <w:p w14:paraId="521A7D1E" w14:textId="77777777" w:rsidR="005650B4" w:rsidRDefault="005650B4">
                  <w:pPr>
                    <w:spacing w:line="160" w:lineRule="exact"/>
                    <w:jc w:val="left"/>
                    <w:rPr>
                      <w:rFonts w:cs="Miriam"/>
                      <w:noProof/>
                      <w:sz w:val="18"/>
                      <w:szCs w:val="18"/>
                      <w:rtl/>
                    </w:rPr>
                  </w:pPr>
                  <w:r>
                    <w:rPr>
                      <w:rFonts w:cs="Miriam"/>
                      <w:sz w:val="18"/>
                      <w:szCs w:val="18"/>
                      <w:rtl/>
                    </w:rPr>
                    <w:t>חז</w:t>
                  </w:r>
                  <w:r>
                    <w:rPr>
                      <w:rFonts w:cs="Miriam" w:hint="cs"/>
                      <w:sz w:val="18"/>
                      <w:szCs w:val="18"/>
                      <w:rtl/>
                    </w:rPr>
                    <w:t>רה מן הערר</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 xml:space="preserve">דיע העורר לבית הדין כי הוא חוזר בו מן הערר, יבוטל הערר ובית הדין יודיע על כך למשיב. </w:t>
      </w:r>
    </w:p>
    <w:p w14:paraId="4210E1E4" w14:textId="77777777" w:rsidR="005650B4" w:rsidRDefault="005650B4">
      <w:pPr>
        <w:pStyle w:val="P00"/>
        <w:spacing w:before="72"/>
        <w:ind w:left="0" w:right="1134"/>
        <w:rPr>
          <w:rStyle w:val="default"/>
          <w:rFonts w:cs="FrankRuehl"/>
          <w:rtl/>
        </w:rPr>
      </w:pPr>
      <w:bookmarkStart w:id="13" w:name="Seif14"/>
      <w:bookmarkEnd w:id="13"/>
      <w:r>
        <w:rPr>
          <w:lang w:val="he-IL"/>
        </w:rPr>
        <w:pict w14:anchorId="1E491FE0">
          <v:rect id="_x0000_s1039" style="position:absolute;left:0;text-align:left;margin-left:464.5pt;margin-top:8.05pt;width:75.05pt;height:10.65pt;z-index:251655680" o:allowincell="f" filled="f" stroked="f" strokecolor="lime" strokeweight=".25pt">
            <v:textbox inset="0,0,0,0">
              <w:txbxContent>
                <w:p w14:paraId="4E75607C" w14:textId="77777777" w:rsidR="005650B4" w:rsidRDefault="005650B4">
                  <w:pPr>
                    <w:spacing w:line="160" w:lineRule="exact"/>
                    <w:jc w:val="left"/>
                    <w:rPr>
                      <w:rFonts w:cs="Miriam"/>
                      <w:noProof/>
                      <w:sz w:val="18"/>
                      <w:szCs w:val="18"/>
                      <w:rtl/>
                    </w:rPr>
                  </w:pPr>
                  <w:r>
                    <w:rPr>
                      <w:rFonts w:cs="Miriam"/>
                      <w:sz w:val="18"/>
                      <w:szCs w:val="18"/>
                      <w:rtl/>
                    </w:rPr>
                    <w:t>כת</w:t>
                  </w:r>
                  <w:r>
                    <w:rPr>
                      <w:rFonts w:cs="Miriam" w:hint="cs"/>
                      <w:sz w:val="18"/>
                      <w:szCs w:val="18"/>
                      <w:rtl/>
                    </w:rPr>
                    <w:t>ב תשובה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יגיש לבית הדין כתב תש</w:t>
      </w:r>
      <w:r>
        <w:rPr>
          <w:rStyle w:val="default"/>
          <w:rFonts w:cs="FrankRuehl"/>
          <w:rtl/>
        </w:rPr>
        <w:t>וב</w:t>
      </w:r>
      <w:r>
        <w:rPr>
          <w:rStyle w:val="default"/>
          <w:rFonts w:cs="FrankRuehl" w:hint="cs"/>
          <w:rtl/>
        </w:rPr>
        <w:t>ה לערר, לא יאוחר משלושים ימים מיום שהומצא לו עותק של כתב הערר.</w:t>
      </w:r>
    </w:p>
    <w:p w14:paraId="1CB6CA5C"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תב התשובה יהיה מודפס וחתום בידי המשיב או בא-כוחו. </w:t>
      </w:r>
    </w:p>
    <w:p w14:paraId="2B7DFFCB"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תב התשובה יוגש במספר עותקים כמספר החברים בבית הדין, העורר, המשיבים האחרים ובצירוף עותק נוסף. </w:t>
      </w:r>
    </w:p>
    <w:p w14:paraId="1BCAD674"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משיב יצרף לכתב התשובה את תצל</w:t>
      </w:r>
      <w:r>
        <w:rPr>
          <w:rStyle w:val="default"/>
          <w:rFonts w:cs="FrankRuehl"/>
          <w:rtl/>
        </w:rPr>
        <w:t>ומ</w:t>
      </w:r>
      <w:r>
        <w:rPr>
          <w:rStyle w:val="default"/>
          <w:rFonts w:cs="FrankRuehl" w:hint="cs"/>
          <w:rtl/>
        </w:rPr>
        <w:t xml:space="preserve">י המסמכים שעליהם הוא מבקש להסתמך בעת הדיון בערר, אלא אם כן הרשה בית הדין למשיב, מטעמים מיוחדים שיירשמו, להסתמך בדיון בערר על מסמך שלא </w:t>
      </w:r>
      <w:r>
        <w:rPr>
          <w:rStyle w:val="default"/>
          <w:rFonts w:cs="FrankRuehl"/>
          <w:rtl/>
        </w:rPr>
        <w:t>צ</w:t>
      </w:r>
      <w:r>
        <w:rPr>
          <w:rStyle w:val="default"/>
          <w:rFonts w:cs="FrankRuehl" w:hint="cs"/>
          <w:rtl/>
        </w:rPr>
        <w:t xml:space="preserve">ורף. </w:t>
      </w:r>
    </w:p>
    <w:p w14:paraId="4F91F376"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יקש המשיב מבית הדין למחוק את הערר על הסף, כולו או מקצתו, לפי סעיף 24 לחוק, יפרט בכתב התשובה את הטעמים לכך. </w:t>
      </w:r>
    </w:p>
    <w:p w14:paraId="2D35CF1C"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ית הדין ימציא לעורר עותק מכתב התשובה עם המסמכים שצורפו אליו. </w:t>
      </w:r>
    </w:p>
    <w:p w14:paraId="04572577" w14:textId="77777777" w:rsidR="005650B4" w:rsidRDefault="005650B4">
      <w:pPr>
        <w:pStyle w:val="P00"/>
        <w:spacing w:before="72"/>
        <w:ind w:left="0" w:right="1134"/>
        <w:rPr>
          <w:rStyle w:val="default"/>
          <w:rFonts w:cs="FrankRuehl"/>
          <w:rtl/>
        </w:rPr>
      </w:pPr>
      <w:bookmarkStart w:id="14" w:name="Seif15"/>
      <w:bookmarkEnd w:id="14"/>
      <w:r>
        <w:rPr>
          <w:lang w:val="he-IL"/>
        </w:rPr>
        <w:pict w14:anchorId="7658A2E6">
          <v:rect id="_x0000_s1040" style="position:absolute;left:0;text-align:left;margin-left:464.5pt;margin-top:8.05pt;width:75.05pt;height:21.95pt;z-index:251656704" o:allowincell="f" filled="f" stroked="f" strokecolor="lime" strokeweight=".25pt">
            <v:textbox inset="0,0,0,0">
              <w:txbxContent>
                <w:p w14:paraId="00413FCC" w14:textId="77777777" w:rsidR="005650B4" w:rsidRDefault="005650B4" w:rsidP="00227F1E">
                  <w:pPr>
                    <w:spacing w:line="160" w:lineRule="exact"/>
                    <w:jc w:val="left"/>
                    <w:rPr>
                      <w:rFonts w:cs="Miriam"/>
                      <w:noProof/>
                      <w:sz w:val="18"/>
                      <w:szCs w:val="18"/>
                      <w:rtl/>
                    </w:rPr>
                  </w:pPr>
                  <w:r>
                    <w:rPr>
                      <w:rFonts w:cs="Miriam"/>
                      <w:sz w:val="18"/>
                      <w:szCs w:val="18"/>
                      <w:rtl/>
                    </w:rPr>
                    <w:t>הח</w:t>
                  </w:r>
                  <w:r>
                    <w:rPr>
                      <w:rFonts w:cs="Miriam" w:hint="cs"/>
                      <w:sz w:val="18"/>
                      <w:szCs w:val="18"/>
                      <w:rtl/>
                    </w:rPr>
                    <w:t>לטה בלא</w:t>
                  </w:r>
                  <w:r w:rsidR="00227F1E">
                    <w:rPr>
                      <w:rFonts w:cs="Miriam" w:hint="cs"/>
                      <w:sz w:val="18"/>
                      <w:szCs w:val="18"/>
                      <w:rtl/>
                    </w:rPr>
                    <w:t xml:space="preserve"> </w:t>
                  </w:r>
                  <w:r>
                    <w:rPr>
                      <w:rFonts w:cs="Miriam"/>
                      <w:sz w:val="18"/>
                      <w:szCs w:val="18"/>
                      <w:rtl/>
                    </w:rPr>
                    <w:t>כת</w:t>
                  </w:r>
                  <w:r>
                    <w:rPr>
                      <w:rFonts w:cs="Miriam" w:hint="cs"/>
                      <w:sz w:val="18"/>
                      <w:szCs w:val="18"/>
                      <w:rtl/>
                    </w:rPr>
                    <w:t>ב תשובה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הגיש משיב כתב תשובה במועד שנקבע, </w:t>
      </w:r>
      <w:r>
        <w:rPr>
          <w:rStyle w:val="default"/>
          <w:rFonts w:cs="FrankRuehl"/>
          <w:rtl/>
        </w:rPr>
        <w:t>ר</w:t>
      </w:r>
      <w:r>
        <w:rPr>
          <w:rStyle w:val="default"/>
          <w:rFonts w:cs="FrankRuehl" w:hint="cs"/>
          <w:rtl/>
        </w:rPr>
        <w:t xml:space="preserve">שאי בית הדין ליתן החלטה בערר בהעדר כתב התשובה. </w:t>
      </w:r>
    </w:p>
    <w:p w14:paraId="1E44F3DD"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תקבלה החלטה בהעדר כתב תשובה, רשאי המשיב להגיש לבית הדין, תוך חמישה עשר ימים מיום שהודעה</w:t>
      </w:r>
      <w:r>
        <w:rPr>
          <w:rStyle w:val="default"/>
          <w:rFonts w:cs="FrankRuehl"/>
          <w:rtl/>
        </w:rPr>
        <w:t xml:space="preserve"> ל</w:t>
      </w:r>
      <w:r>
        <w:rPr>
          <w:rStyle w:val="default"/>
          <w:rFonts w:cs="FrankRuehl" w:hint="cs"/>
          <w:rtl/>
        </w:rPr>
        <w:t xml:space="preserve">ו ההחלטה, בקשה מנומקת לביטול ההחלטה ולמתן רשות להגיש כתב תשובה במועד שבית הדין יקבע. </w:t>
      </w:r>
    </w:p>
    <w:p w14:paraId="564C3083" w14:textId="77777777" w:rsidR="005650B4" w:rsidRDefault="005650B4">
      <w:pPr>
        <w:pStyle w:val="P00"/>
        <w:spacing w:before="72"/>
        <w:ind w:left="0" w:right="1134"/>
        <w:rPr>
          <w:rStyle w:val="default"/>
          <w:rFonts w:cs="FrankRuehl"/>
          <w:rtl/>
        </w:rPr>
      </w:pPr>
      <w:bookmarkStart w:id="15" w:name="Seif16"/>
      <w:bookmarkEnd w:id="15"/>
      <w:r>
        <w:rPr>
          <w:lang w:val="he-IL"/>
        </w:rPr>
        <w:pict w14:anchorId="416E392E">
          <v:rect id="_x0000_s1041" style="position:absolute;left:0;text-align:left;margin-left:464.5pt;margin-top:8.05pt;width:75.05pt;height:13.8pt;z-index:251657728" o:allowincell="f" filled="f" stroked="f" strokecolor="lime" strokeweight=".25pt">
            <v:textbox inset="0,0,0,0">
              <w:txbxContent>
                <w:p w14:paraId="47A87F37" w14:textId="77777777" w:rsidR="005650B4" w:rsidRDefault="005650B4">
                  <w:pPr>
                    <w:spacing w:line="160" w:lineRule="exact"/>
                    <w:jc w:val="left"/>
                    <w:rPr>
                      <w:rFonts w:cs="Miriam"/>
                      <w:noProof/>
                      <w:sz w:val="18"/>
                      <w:szCs w:val="18"/>
                      <w:rtl/>
                    </w:rPr>
                  </w:pPr>
                  <w:r>
                    <w:rPr>
                      <w:rFonts w:cs="Miriam"/>
                      <w:sz w:val="18"/>
                      <w:szCs w:val="18"/>
                      <w:rtl/>
                    </w:rPr>
                    <w:t>אי</w:t>
                  </w:r>
                  <w:r>
                    <w:rPr>
                      <w:rFonts w:cs="Miriam" w:hint="cs"/>
                      <w:sz w:val="18"/>
                      <w:szCs w:val="18"/>
                      <w:rtl/>
                    </w:rPr>
                    <w:t>חוד עררים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הדין רשאי להחליט על איחוד עררים תלויים ועומדים בפניו, אם הוגשו בידי אותו עורר או שמתעוררות בהם שאלות משפטיות או עובדתיות דומות. </w:t>
      </w:r>
    </w:p>
    <w:p w14:paraId="43EDF984"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חליט בית הדין כאמור, רשאי הוא לדון בעררים במשותף ולתת בהם החלטה אחת. </w:t>
      </w:r>
    </w:p>
    <w:p w14:paraId="1B8A1452" w14:textId="77777777" w:rsidR="005650B4" w:rsidRDefault="005650B4">
      <w:pPr>
        <w:pStyle w:val="P00"/>
        <w:spacing w:before="72"/>
        <w:ind w:left="0" w:right="1134"/>
        <w:rPr>
          <w:rStyle w:val="default"/>
          <w:rFonts w:cs="FrankRuehl"/>
          <w:rtl/>
        </w:rPr>
      </w:pPr>
      <w:bookmarkStart w:id="16" w:name="Seif17"/>
      <w:bookmarkEnd w:id="16"/>
      <w:r>
        <w:rPr>
          <w:lang w:val="he-IL"/>
        </w:rPr>
        <w:pict w14:anchorId="3C947BA5">
          <v:rect id="_x0000_s1042" style="position:absolute;left:0;text-align:left;margin-left:464.5pt;margin-top:8.05pt;width:75.05pt;height:16pt;z-index:251658752" o:allowincell="f" filled="f" stroked="f" strokecolor="lime" strokeweight=".25pt">
            <v:textbox inset="0,0,0,0">
              <w:txbxContent>
                <w:p w14:paraId="7D14DE8B" w14:textId="77777777" w:rsidR="005650B4" w:rsidRDefault="005650B4" w:rsidP="00227F1E">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w:t>
                  </w:r>
                  <w:r w:rsidR="00227F1E">
                    <w:rPr>
                      <w:rFonts w:cs="Miriam" w:hint="cs"/>
                      <w:sz w:val="18"/>
                      <w:szCs w:val="18"/>
                      <w:rtl/>
                    </w:rPr>
                    <w:t xml:space="preserve"> </w:t>
                  </w:r>
                  <w:r>
                    <w:rPr>
                      <w:rFonts w:cs="Miriam"/>
                      <w:sz w:val="18"/>
                      <w:szCs w:val="18"/>
                      <w:rtl/>
                    </w:rPr>
                    <w:t>לד</w:t>
                  </w:r>
                  <w:r>
                    <w:rPr>
                      <w:rFonts w:cs="Miriam" w:hint="cs"/>
                      <w:sz w:val="18"/>
                      <w:szCs w:val="18"/>
                      <w:rtl/>
                    </w:rPr>
                    <w:t>יון</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אש בית הדין יקבע מועד לדיון ראשון בערר, ואם לא קבע, יקבע אותו יושב ראש המותב. </w:t>
      </w:r>
    </w:p>
    <w:p w14:paraId="1B3A5FB0"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שהוסמך לכך מטעם ראש בית הדין או מטעם בית הדין ישלח לעורר ולמשיב הזמנות לדיון, חמישה</w:t>
      </w:r>
      <w:r>
        <w:rPr>
          <w:rStyle w:val="default"/>
          <w:rFonts w:cs="FrankRuehl"/>
          <w:rtl/>
        </w:rPr>
        <w:t xml:space="preserve"> ע</w:t>
      </w:r>
      <w:r>
        <w:rPr>
          <w:rStyle w:val="default"/>
          <w:rFonts w:cs="FrankRuehl" w:hint="cs"/>
          <w:rtl/>
        </w:rPr>
        <w:t xml:space="preserve">שר ימים לפחות לפני המועד שנקבע. </w:t>
      </w:r>
    </w:p>
    <w:p w14:paraId="2975AADF" w14:textId="77777777" w:rsidR="005650B4" w:rsidRDefault="005650B4">
      <w:pPr>
        <w:pStyle w:val="P00"/>
        <w:spacing w:before="72"/>
        <w:ind w:left="0" w:right="1134"/>
        <w:rPr>
          <w:rStyle w:val="default"/>
          <w:rFonts w:cs="FrankRuehl"/>
          <w:rtl/>
        </w:rPr>
      </w:pPr>
      <w:bookmarkStart w:id="17" w:name="Seif18"/>
      <w:bookmarkEnd w:id="17"/>
      <w:r>
        <w:rPr>
          <w:lang w:val="he-IL"/>
        </w:rPr>
        <w:pict w14:anchorId="27582BEE">
          <v:rect id="_x0000_s1043" style="position:absolute;left:0;text-align:left;margin-left:464.5pt;margin-top:8.05pt;width:75.05pt;height:17.15pt;z-index:251659776" o:allowincell="f" filled="f" stroked="f" strokecolor="lime" strokeweight=".25pt">
            <v:textbox inset="0,0,0,0">
              <w:txbxContent>
                <w:p w14:paraId="3BFB2DB9" w14:textId="77777777" w:rsidR="005650B4" w:rsidRDefault="005650B4">
                  <w:pPr>
                    <w:spacing w:line="160" w:lineRule="exact"/>
                    <w:jc w:val="left"/>
                    <w:rPr>
                      <w:rFonts w:cs="Miriam"/>
                      <w:noProof/>
                      <w:sz w:val="18"/>
                      <w:szCs w:val="18"/>
                      <w:rtl/>
                    </w:rPr>
                  </w:pPr>
                  <w:r>
                    <w:rPr>
                      <w:rFonts w:cs="Miriam"/>
                      <w:sz w:val="18"/>
                      <w:szCs w:val="18"/>
                      <w:rtl/>
                    </w:rPr>
                    <w:t>קד</w:t>
                  </w:r>
                  <w:r>
                    <w:rPr>
                      <w:rFonts w:cs="Miriam" w:hint="cs"/>
                      <w:sz w:val="18"/>
                      <w:szCs w:val="18"/>
                      <w:rtl/>
                    </w:rPr>
                    <w:t>ם דיון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רשאי, בהודעה מוקד</w:t>
      </w:r>
      <w:r>
        <w:rPr>
          <w:rStyle w:val="default"/>
          <w:rFonts w:cs="FrankRuehl"/>
          <w:rtl/>
        </w:rPr>
        <w:t>מ</w:t>
      </w:r>
      <w:r>
        <w:rPr>
          <w:rStyle w:val="default"/>
          <w:rFonts w:cs="FrankRuehl" w:hint="cs"/>
          <w:rtl/>
        </w:rPr>
        <w:t>ת של חמישה עשר ימים מראש, להורות על קיום קדם-דיון בערר.</w:t>
      </w:r>
    </w:p>
    <w:p w14:paraId="2228EEE0"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קדם-דיון רשאי בית הדין להחליט בקשר לנושא השנוי במחלוקת ודרכי הדיון בו, במגמה לייעל את הדיון, לפשטו ולהחישו. </w:t>
      </w:r>
    </w:p>
    <w:p w14:paraId="1760D441"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דין ש</w:t>
      </w:r>
      <w:r>
        <w:rPr>
          <w:rStyle w:val="default"/>
          <w:rFonts w:cs="FrankRuehl"/>
          <w:rtl/>
        </w:rPr>
        <w:t>הו</w:t>
      </w:r>
      <w:r>
        <w:rPr>
          <w:rStyle w:val="default"/>
          <w:rFonts w:cs="FrankRuehl" w:hint="cs"/>
          <w:rtl/>
        </w:rPr>
        <w:t>זמן כדין לקדם-דיון ולא התייצב בפני בית הדין, רשאי בית הדין להחליט בקדם-דיון בהעדרו; החליט בית הדין כאמור, רשאי בעל הדין להגיש, תוך חמישה עשר ימים מיום שהודעה לו ההחלטה, בקשה מנומקת לביטולה ולקביעת מועד נוסף לדיון.</w:t>
      </w:r>
    </w:p>
    <w:p w14:paraId="78BB8306"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חלטה שניתנה בקדם דיון יראו אותה כא</w:t>
      </w:r>
      <w:r>
        <w:rPr>
          <w:rStyle w:val="default"/>
          <w:rFonts w:cs="FrankRuehl"/>
          <w:rtl/>
        </w:rPr>
        <w:t>יל</w:t>
      </w:r>
      <w:r>
        <w:rPr>
          <w:rStyle w:val="default"/>
          <w:rFonts w:cs="FrankRuehl" w:hint="cs"/>
          <w:rtl/>
        </w:rPr>
        <w:t xml:space="preserve">ו ניתנה בדיון. </w:t>
      </w:r>
    </w:p>
    <w:p w14:paraId="4C9E6CF9" w14:textId="77777777" w:rsidR="005650B4" w:rsidRDefault="005650B4">
      <w:pPr>
        <w:pStyle w:val="P00"/>
        <w:spacing w:before="72"/>
        <w:ind w:left="0" w:right="1134"/>
        <w:rPr>
          <w:rStyle w:val="default"/>
          <w:rFonts w:cs="FrankRuehl"/>
          <w:rtl/>
        </w:rPr>
      </w:pPr>
      <w:bookmarkStart w:id="18" w:name="Seif19"/>
      <w:bookmarkEnd w:id="18"/>
      <w:r>
        <w:rPr>
          <w:lang w:val="he-IL"/>
        </w:rPr>
        <w:pict w14:anchorId="7C9A0BC5">
          <v:rect id="_x0000_s1044" style="position:absolute;left:0;text-align:left;margin-left:464.5pt;margin-top:8.05pt;width:75.05pt;height:10.7pt;z-index:251660800" o:allowincell="f" filled="f" stroked="f" strokecolor="lime" strokeweight=".25pt">
            <v:textbox inset="0,0,0,0">
              <w:txbxContent>
                <w:p w14:paraId="180AD12F" w14:textId="77777777" w:rsidR="005650B4" w:rsidRDefault="005650B4">
                  <w:pPr>
                    <w:spacing w:line="160" w:lineRule="exact"/>
                    <w:jc w:val="left"/>
                    <w:rPr>
                      <w:rFonts w:cs="Miriam"/>
                      <w:noProof/>
                      <w:sz w:val="18"/>
                      <w:szCs w:val="18"/>
                      <w:rtl/>
                    </w:rPr>
                  </w:pPr>
                  <w:r>
                    <w:rPr>
                      <w:rFonts w:cs="Miriam"/>
                      <w:sz w:val="18"/>
                      <w:szCs w:val="18"/>
                      <w:rtl/>
                    </w:rPr>
                    <w:t>טע</w:t>
                  </w:r>
                  <w:r>
                    <w:rPr>
                      <w:rFonts w:cs="Miriam" w:hint="cs"/>
                      <w:sz w:val="18"/>
                      <w:szCs w:val="18"/>
                      <w:rtl/>
                    </w:rPr>
                    <w:t>נות בכתב</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וגשו כתב הערר וכתב התשובה, רש</w:t>
      </w:r>
      <w:r>
        <w:rPr>
          <w:rStyle w:val="default"/>
          <w:rFonts w:cs="FrankRuehl"/>
          <w:rtl/>
        </w:rPr>
        <w:t>א</w:t>
      </w:r>
      <w:r>
        <w:rPr>
          <w:rStyle w:val="default"/>
          <w:rFonts w:cs="FrankRuehl" w:hint="cs"/>
          <w:rtl/>
        </w:rPr>
        <w:t xml:space="preserve">י בית הדין, בכל שלב של הדיון, בין מיזמתו ובין לפי בקשת בעל דין, להורות לבעל דין להגיש בכתב טענות מסוימות או ראיות מסוימות, וכן את סיכום הטענות, בתצהיר או בדרך אחרת שיקבע בית הדין. </w:t>
      </w:r>
    </w:p>
    <w:p w14:paraId="74C76698"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פי בקשת כ</w:t>
      </w:r>
      <w:r>
        <w:rPr>
          <w:rStyle w:val="default"/>
          <w:rFonts w:cs="FrankRuehl"/>
          <w:rtl/>
        </w:rPr>
        <w:t xml:space="preserve">ל </w:t>
      </w:r>
      <w:r>
        <w:rPr>
          <w:rStyle w:val="default"/>
          <w:rFonts w:cs="FrankRuehl" w:hint="cs"/>
          <w:rtl/>
        </w:rPr>
        <w:t>בעלי הדין, רשאי בית הדין, לדון ולהחליט בערר על פי טענות</w:t>
      </w:r>
      <w:r>
        <w:rPr>
          <w:rStyle w:val="default"/>
          <w:rFonts w:cs="FrankRuehl"/>
          <w:rtl/>
        </w:rPr>
        <w:t xml:space="preserve"> </w:t>
      </w:r>
      <w:r>
        <w:rPr>
          <w:rStyle w:val="default"/>
          <w:rFonts w:cs="FrankRuehl" w:hint="cs"/>
          <w:rtl/>
        </w:rPr>
        <w:t>וראיות שהוגשו בכתב בלבד.</w:t>
      </w:r>
    </w:p>
    <w:p w14:paraId="20B7C2C4"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חליט בית הדין כאמור בתקנת משנה (ב), רשאי הוא, מיזמתו או לבקשת בעל דין, לבקש מן העורר או מן המשיב, לפי הענין, להשלים את הטענות והראיות בכתב באופן שיקבע. </w:t>
      </w:r>
    </w:p>
    <w:p w14:paraId="44B7A242" w14:textId="77777777" w:rsidR="005650B4" w:rsidRDefault="005650B4">
      <w:pPr>
        <w:pStyle w:val="P00"/>
        <w:spacing w:before="72"/>
        <w:ind w:left="0" w:right="1134"/>
        <w:rPr>
          <w:rStyle w:val="default"/>
          <w:rFonts w:cs="FrankRuehl"/>
          <w:rtl/>
        </w:rPr>
      </w:pPr>
      <w:bookmarkStart w:id="19" w:name="Seif20"/>
      <w:bookmarkEnd w:id="19"/>
      <w:r>
        <w:rPr>
          <w:lang w:val="he-IL"/>
        </w:rPr>
        <w:pict w14:anchorId="3CC27B41">
          <v:rect id="_x0000_s1045" style="position:absolute;left:0;text-align:left;margin-left:464.5pt;margin-top:8.05pt;width:75.05pt;height:11.95pt;z-index:251661824" o:allowincell="f" filled="f" stroked="f" strokecolor="lime" strokeweight=".25pt">
            <v:textbox inset="0,0,0,0">
              <w:txbxContent>
                <w:p w14:paraId="2C8C238A" w14:textId="77777777" w:rsidR="005650B4" w:rsidRDefault="005650B4">
                  <w:pPr>
                    <w:spacing w:line="160" w:lineRule="exact"/>
                    <w:jc w:val="left"/>
                    <w:rPr>
                      <w:rFonts w:cs="Miriam"/>
                      <w:noProof/>
                      <w:sz w:val="18"/>
                      <w:szCs w:val="18"/>
                      <w:rtl/>
                    </w:rPr>
                  </w:pPr>
                  <w:r>
                    <w:rPr>
                      <w:rFonts w:cs="Miriam"/>
                      <w:sz w:val="18"/>
                      <w:szCs w:val="18"/>
                      <w:rtl/>
                    </w:rPr>
                    <w:t>חק</w:t>
                  </w:r>
                  <w:r>
                    <w:rPr>
                      <w:rFonts w:cs="Miriam" w:hint="cs"/>
                      <w:sz w:val="18"/>
                      <w:szCs w:val="18"/>
                      <w:rtl/>
                    </w:rPr>
                    <w:t>ירת מצהיר</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ד</w:t>
      </w:r>
      <w:r>
        <w:rPr>
          <w:rStyle w:val="default"/>
          <w:rFonts w:cs="FrankRuehl"/>
          <w:rtl/>
        </w:rPr>
        <w:t>ין</w:t>
      </w:r>
      <w:r>
        <w:rPr>
          <w:rStyle w:val="default"/>
          <w:rFonts w:cs="FrankRuehl" w:hint="cs"/>
          <w:rtl/>
        </w:rPr>
        <w:t xml:space="preserve"> רשאי להזמין מצהיר לשם חקירה על תצהירו וב</w:t>
      </w:r>
      <w:r>
        <w:rPr>
          <w:rStyle w:val="default"/>
          <w:rFonts w:cs="FrankRuehl"/>
          <w:rtl/>
        </w:rPr>
        <w:t>ל</w:t>
      </w:r>
      <w:r>
        <w:rPr>
          <w:rStyle w:val="default"/>
          <w:rFonts w:cs="FrankRuehl" w:hint="cs"/>
          <w:rtl/>
        </w:rPr>
        <w:t xml:space="preserve">בד שהודיע על כוונתו לבית הדין, ליתר בעלי הדין ולמצהיר שבעה ימים לפחות לפני מועד הדיון. </w:t>
      </w:r>
    </w:p>
    <w:p w14:paraId="53D89BA3" w14:textId="77777777" w:rsidR="005650B4" w:rsidRDefault="005650B4">
      <w:pPr>
        <w:pStyle w:val="P00"/>
        <w:spacing w:before="72"/>
        <w:ind w:left="0" w:right="1134"/>
        <w:rPr>
          <w:rStyle w:val="default"/>
          <w:rFonts w:cs="FrankRuehl"/>
          <w:rtl/>
        </w:rPr>
      </w:pPr>
      <w:r>
        <w:rPr>
          <w:rFonts w:cs="FrankRuehl"/>
          <w:sz w:val="26"/>
          <w:rtl/>
        </w:rPr>
        <w:t xml:space="preserve"> </w: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צהיר שהוזמן כאמור, רשאי לבקש מבית הדין שיפטור אותו מן החקירה, ובית הדין רשאי לפטור אותו מטעמי</w:t>
      </w:r>
      <w:r>
        <w:rPr>
          <w:rStyle w:val="default"/>
          <w:rFonts w:cs="FrankRuehl"/>
          <w:rtl/>
        </w:rPr>
        <w:t xml:space="preserve">ם </w:t>
      </w:r>
      <w:r>
        <w:rPr>
          <w:rStyle w:val="default"/>
          <w:rFonts w:cs="FrankRuehl" w:hint="cs"/>
          <w:rtl/>
        </w:rPr>
        <w:t>מיוחדים שיירשמו.</w:t>
      </w:r>
    </w:p>
    <w:p w14:paraId="37D79801"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הדין רשאי מיזמתו להזמין מצהיר לשם חקירה על תצהירו.</w:t>
      </w:r>
    </w:p>
    <w:p w14:paraId="64EF2565"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צהיר שהוזמן להתייצב לחקירה לפי תקנת משנה (א) או (ג) ולא התייצב, לא ישמש תצהירו ראיה, אלא אם כן קבע בית הדין שקבלת התצהיר כראיה דרושה, מטעמים מיוחדים שיירשמו. </w:t>
      </w:r>
    </w:p>
    <w:p w14:paraId="457A7506" w14:textId="77777777" w:rsidR="005650B4" w:rsidRDefault="005650B4">
      <w:pPr>
        <w:pStyle w:val="P00"/>
        <w:spacing w:before="72"/>
        <w:ind w:left="0" w:right="1134"/>
        <w:rPr>
          <w:rStyle w:val="default"/>
          <w:rFonts w:cs="FrankRuehl"/>
          <w:rtl/>
        </w:rPr>
      </w:pPr>
      <w:bookmarkStart w:id="20" w:name="Seif21"/>
      <w:bookmarkEnd w:id="20"/>
      <w:r>
        <w:rPr>
          <w:lang w:val="he-IL"/>
        </w:rPr>
        <w:pict w14:anchorId="0BFF3BAB">
          <v:rect id="_x0000_s1046" style="position:absolute;left:0;text-align:left;margin-left:464.5pt;margin-top:8.05pt;width:75.05pt;height:24.65pt;z-index:251662848" o:allowincell="f" filled="f" stroked="f" strokecolor="lime" strokeweight=".25pt">
            <v:textbox inset="0,0,0,0">
              <w:txbxContent>
                <w:p w14:paraId="7DAA63BA" w14:textId="77777777" w:rsidR="005650B4" w:rsidRDefault="005650B4" w:rsidP="00227F1E">
                  <w:pPr>
                    <w:spacing w:line="160" w:lineRule="exact"/>
                    <w:jc w:val="left"/>
                    <w:rPr>
                      <w:rFonts w:cs="Miriam"/>
                      <w:noProof/>
                      <w:sz w:val="18"/>
                      <w:szCs w:val="18"/>
                      <w:rtl/>
                    </w:rPr>
                  </w:pPr>
                  <w:r>
                    <w:rPr>
                      <w:rFonts w:cs="Miriam"/>
                      <w:sz w:val="18"/>
                      <w:szCs w:val="18"/>
                      <w:rtl/>
                    </w:rPr>
                    <w:t>חק</w:t>
                  </w:r>
                  <w:r>
                    <w:rPr>
                      <w:rFonts w:cs="Miriam" w:hint="cs"/>
                      <w:sz w:val="18"/>
                      <w:szCs w:val="18"/>
                      <w:rtl/>
                    </w:rPr>
                    <w:t>ירת עד בידי</w:t>
                  </w:r>
                  <w:r w:rsidR="00227F1E">
                    <w:rPr>
                      <w:rFonts w:cs="Miriam" w:hint="cs"/>
                      <w:sz w:val="18"/>
                      <w:szCs w:val="18"/>
                      <w:rtl/>
                    </w:rPr>
                    <w:t xml:space="preserve"> </w:t>
                  </w:r>
                  <w:r>
                    <w:rPr>
                      <w:rFonts w:cs="Miriam"/>
                      <w:sz w:val="18"/>
                      <w:szCs w:val="18"/>
                      <w:rtl/>
                    </w:rPr>
                    <w:t>בי</w:t>
                  </w:r>
                  <w:r>
                    <w:rPr>
                      <w:rFonts w:cs="Miriam" w:hint="cs"/>
                      <w:sz w:val="18"/>
                      <w:szCs w:val="18"/>
                      <w:rtl/>
                    </w:rPr>
                    <w:t>ת דין</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דין רשאי לחקור עד כפי שייראה לו נחוץ לעשיית צדק.</w:t>
      </w:r>
    </w:p>
    <w:p w14:paraId="05E83F26"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קר בית הדין עד, רשאים בעלי הדין, ברשות בית הדין, לחקור את העד חקירה נוספת, להבהרת ענין שנתעורר אגב חקירתו כאמור. </w:t>
      </w:r>
    </w:p>
    <w:p w14:paraId="39CB51B9" w14:textId="77777777" w:rsidR="005650B4" w:rsidRDefault="005650B4">
      <w:pPr>
        <w:pStyle w:val="P00"/>
        <w:spacing w:before="72"/>
        <w:ind w:left="0" w:right="1134"/>
        <w:rPr>
          <w:rStyle w:val="default"/>
          <w:rFonts w:cs="FrankRuehl"/>
          <w:rtl/>
        </w:rPr>
      </w:pPr>
      <w:bookmarkStart w:id="21" w:name="Seif22"/>
      <w:bookmarkEnd w:id="21"/>
      <w:r>
        <w:rPr>
          <w:lang w:val="he-IL"/>
        </w:rPr>
        <w:pict w14:anchorId="59A0B46F">
          <v:rect id="_x0000_s1047" style="position:absolute;left:0;text-align:left;margin-left:464.5pt;margin-top:8.05pt;width:75.05pt;height:14.3pt;z-index:251663872" o:allowincell="f" filled="f" stroked="f" strokecolor="lime" strokeweight=".25pt">
            <v:textbox inset="0,0,0,0">
              <w:txbxContent>
                <w:p w14:paraId="5EEAA56E" w14:textId="77777777" w:rsidR="005650B4" w:rsidRDefault="005650B4">
                  <w:pPr>
                    <w:spacing w:line="160" w:lineRule="exact"/>
                    <w:jc w:val="left"/>
                    <w:rPr>
                      <w:rFonts w:cs="Miriam"/>
                      <w:noProof/>
                      <w:sz w:val="18"/>
                      <w:szCs w:val="18"/>
                      <w:rtl/>
                    </w:rPr>
                  </w:pPr>
                  <w:r>
                    <w:rPr>
                      <w:rFonts w:cs="Miriam"/>
                      <w:sz w:val="18"/>
                      <w:szCs w:val="18"/>
                      <w:rtl/>
                    </w:rPr>
                    <w:t>טע</w:t>
                  </w:r>
                  <w:r>
                    <w:rPr>
                      <w:rFonts w:cs="Miriam" w:hint="cs"/>
                      <w:sz w:val="18"/>
                      <w:szCs w:val="18"/>
                      <w:rtl/>
                    </w:rPr>
                    <w:t>נות חדשות</w:t>
                  </w:r>
                </w:p>
              </w:txbxContent>
            </v:textbox>
            <w10:anchorlock/>
          </v:rect>
        </w:pict>
      </w:r>
      <w:r>
        <w:rPr>
          <w:rStyle w:val="big-number"/>
          <w:rFonts w:cs="Miriam"/>
          <w:rtl/>
        </w:rPr>
        <w:t>22.</w:t>
      </w:r>
      <w:r>
        <w:rPr>
          <w:rStyle w:val="big-number"/>
          <w:rFonts w:cs="Miriam"/>
          <w:rtl/>
        </w:rPr>
        <w:tab/>
      </w:r>
      <w:r>
        <w:rPr>
          <w:rStyle w:val="default"/>
          <w:rFonts w:cs="FrankRuehl"/>
          <w:rtl/>
        </w:rPr>
        <w:t>בש</w:t>
      </w:r>
      <w:r>
        <w:rPr>
          <w:rStyle w:val="default"/>
          <w:rFonts w:cs="FrankRuehl" w:hint="cs"/>
          <w:rtl/>
        </w:rPr>
        <w:t>מיעת הערר לא ייזקק בית הדין לעובדה או נימוק שלא הועלו בכתב הערר או בכתב התשובה</w:t>
      </w:r>
      <w:r>
        <w:rPr>
          <w:rStyle w:val="default"/>
          <w:rFonts w:cs="FrankRuehl"/>
          <w:rtl/>
        </w:rPr>
        <w:t>, ל</w:t>
      </w:r>
      <w:r>
        <w:rPr>
          <w:rStyle w:val="default"/>
          <w:rFonts w:cs="FrankRuehl" w:hint="cs"/>
          <w:rtl/>
        </w:rPr>
        <w:t>פי</w:t>
      </w:r>
      <w:r>
        <w:rPr>
          <w:rStyle w:val="default"/>
          <w:rFonts w:cs="FrankRuehl"/>
          <w:rtl/>
        </w:rPr>
        <w:t xml:space="preserve"> </w:t>
      </w:r>
      <w:r>
        <w:rPr>
          <w:rStyle w:val="default"/>
          <w:rFonts w:cs="FrankRuehl" w:hint="cs"/>
          <w:rtl/>
        </w:rPr>
        <w:t xml:space="preserve">הענין, אלא אם כן קבע כי שמיעת העובדה או הנימוק דרושה לשם עשיית צדק, ובלבד שניתנה ליתר בעלי הדין הזדמנות נאותה להגיב עליהם. </w:t>
      </w:r>
    </w:p>
    <w:p w14:paraId="480AF388" w14:textId="77777777" w:rsidR="005650B4" w:rsidRDefault="005650B4">
      <w:pPr>
        <w:pStyle w:val="P00"/>
        <w:spacing w:before="72"/>
        <w:ind w:left="0" w:right="1134"/>
        <w:rPr>
          <w:rStyle w:val="default"/>
          <w:rFonts w:cs="FrankRuehl"/>
          <w:rtl/>
        </w:rPr>
      </w:pPr>
      <w:bookmarkStart w:id="22" w:name="Seif23"/>
      <w:bookmarkEnd w:id="22"/>
      <w:r>
        <w:rPr>
          <w:lang w:val="he-IL"/>
        </w:rPr>
        <w:pict w14:anchorId="0536F1B3">
          <v:rect id="_x0000_s1048" style="position:absolute;left:0;text-align:left;margin-left:464.5pt;margin-top:8.05pt;width:75.05pt;height:16pt;z-index:251664896" o:allowincell="f" filled="f" stroked="f" strokecolor="lime" strokeweight=".25pt">
            <v:textbox inset="0,0,0,0">
              <w:txbxContent>
                <w:p w14:paraId="307A6A3C" w14:textId="77777777" w:rsidR="005650B4" w:rsidRDefault="005650B4" w:rsidP="00227F1E">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w:t>
                  </w:r>
                  <w:r>
                    <w:rPr>
                      <w:rFonts w:cs="Miriam"/>
                      <w:sz w:val="18"/>
                      <w:szCs w:val="18"/>
                      <w:rtl/>
                    </w:rPr>
                    <w:t>יצ</w:t>
                  </w:r>
                  <w:r>
                    <w:rPr>
                      <w:rFonts w:cs="Miriam" w:hint="cs"/>
                      <w:sz w:val="18"/>
                      <w:szCs w:val="18"/>
                      <w:rtl/>
                    </w:rPr>
                    <w:t>בות</w:t>
                  </w:r>
                  <w:r w:rsidR="00227F1E">
                    <w:rPr>
                      <w:rFonts w:cs="Miriam" w:hint="cs"/>
                      <w:sz w:val="18"/>
                      <w:szCs w:val="18"/>
                      <w:rtl/>
                    </w:rPr>
                    <w:t xml:space="preserve"> </w:t>
                  </w:r>
                  <w:r>
                    <w:rPr>
                      <w:rFonts w:cs="Miriam"/>
                      <w:sz w:val="18"/>
                      <w:szCs w:val="18"/>
                      <w:rtl/>
                    </w:rPr>
                    <w:t>לד</w:t>
                  </w:r>
                  <w:r>
                    <w:rPr>
                      <w:rFonts w:cs="Miriam" w:hint="cs"/>
                      <w:sz w:val="18"/>
                      <w:szCs w:val="18"/>
                      <w:rtl/>
                    </w:rPr>
                    <w:t>יון</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דין שהוזמן כדין ולא התייצב בפני בית הדין במועד שנקבע, רשאי בית הדין להחליט בערר שלא בפניו. </w:t>
      </w:r>
    </w:p>
    <w:p w14:paraId="672D93A0"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תקבלה החלטה בהע</w:t>
      </w:r>
      <w:r>
        <w:rPr>
          <w:rStyle w:val="default"/>
          <w:rFonts w:cs="FrankRuehl"/>
          <w:rtl/>
        </w:rPr>
        <w:t>דר</w:t>
      </w:r>
      <w:r>
        <w:rPr>
          <w:rStyle w:val="default"/>
          <w:rFonts w:cs="FrankRuehl" w:hint="cs"/>
          <w:rtl/>
        </w:rPr>
        <w:t xml:space="preserve"> בעל דין, רשאי בעל הדין להגיש לבית הדין, תוך חמישה עשר ימים מיום שהודעה לו, בקשה מנומקת לביטולה ולחידוש הדיון בערר. </w:t>
      </w:r>
    </w:p>
    <w:p w14:paraId="5A855E8E" w14:textId="77777777" w:rsidR="005650B4" w:rsidRDefault="005650B4">
      <w:pPr>
        <w:pStyle w:val="P00"/>
        <w:spacing w:before="72"/>
        <w:ind w:left="0" w:right="1134"/>
        <w:rPr>
          <w:rStyle w:val="default"/>
          <w:rFonts w:cs="FrankRuehl"/>
          <w:rtl/>
        </w:rPr>
      </w:pPr>
      <w:bookmarkStart w:id="23" w:name="Seif24"/>
      <w:bookmarkEnd w:id="23"/>
      <w:r>
        <w:rPr>
          <w:lang w:val="he-IL"/>
        </w:rPr>
        <w:pict w14:anchorId="27E31EAB">
          <v:rect id="_x0000_s1049" style="position:absolute;left:0;text-align:left;margin-left:464.5pt;margin-top:8.05pt;width:75.05pt;height:17.85pt;z-index:251665920" o:allowincell="f" filled="f" stroked="f" strokecolor="lime" strokeweight=".25pt">
            <v:textbox inset="0,0,0,0">
              <w:txbxContent>
                <w:p w14:paraId="3588DD75" w14:textId="77777777" w:rsidR="005650B4" w:rsidRDefault="005650B4">
                  <w:pPr>
                    <w:spacing w:line="160" w:lineRule="exact"/>
                    <w:jc w:val="left"/>
                    <w:rPr>
                      <w:rFonts w:cs="Miriam"/>
                      <w:noProof/>
                      <w:sz w:val="18"/>
                      <w:szCs w:val="18"/>
                      <w:rtl/>
                    </w:rPr>
                  </w:pPr>
                  <w:r>
                    <w:rPr>
                      <w:rFonts w:cs="Miriam"/>
                      <w:sz w:val="18"/>
                      <w:szCs w:val="18"/>
                      <w:rtl/>
                    </w:rPr>
                    <w:t>דח</w:t>
                  </w:r>
                  <w:r>
                    <w:rPr>
                      <w:rFonts w:cs="Miriam" w:hint="cs"/>
                      <w:sz w:val="18"/>
                      <w:szCs w:val="18"/>
                      <w:rtl/>
                    </w:rPr>
                    <w:t>יית דיון</w:t>
                  </w:r>
                </w:p>
              </w:txbxContent>
            </v:textbox>
            <w10:anchorlock/>
          </v:rect>
        </w:pict>
      </w:r>
      <w:r>
        <w:rPr>
          <w:rStyle w:val="big-number"/>
          <w:rFonts w:cs="Miriam"/>
          <w:rtl/>
        </w:rPr>
        <w:t>24.</w:t>
      </w:r>
      <w:r>
        <w:rPr>
          <w:rStyle w:val="big-number"/>
          <w:rFonts w:cs="Miriam"/>
          <w:rtl/>
        </w:rPr>
        <w:tab/>
      </w:r>
      <w:r>
        <w:rPr>
          <w:rStyle w:val="default"/>
          <w:rFonts w:cs="FrankRuehl"/>
          <w:rtl/>
        </w:rPr>
        <w:t>בי</w:t>
      </w:r>
      <w:r>
        <w:rPr>
          <w:rStyle w:val="default"/>
          <w:rFonts w:cs="FrankRuehl" w:hint="cs"/>
          <w:rtl/>
        </w:rPr>
        <w:t xml:space="preserve">ת הדין רשאי לדחות את תחילת הדיון או את המשך הדיון, ובלבד שיפעל במהירות הראויה בנסיבות הענין. </w:t>
      </w:r>
    </w:p>
    <w:p w14:paraId="498949F9" w14:textId="77777777" w:rsidR="005650B4" w:rsidRDefault="005650B4">
      <w:pPr>
        <w:pStyle w:val="P00"/>
        <w:spacing w:before="72"/>
        <w:ind w:left="0" w:right="1134"/>
        <w:rPr>
          <w:rStyle w:val="default"/>
          <w:rFonts w:cs="FrankRuehl"/>
          <w:rtl/>
        </w:rPr>
      </w:pPr>
      <w:bookmarkStart w:id="24" w:name="Seif25"/>
      <w:bookmarkEnd w:id="24"/>
      <w:r>
        <w:rPr>
          <w:lang w:val="he-IL"/>
        </w:rPr>
        <w:pict w14:anchorId="4F1C5A44">
          <v:rect id="_x0000_s1050" style="position:absolute;left:0;text-align:left;margin-left:464.5pt;margin-top:8.05pt;width:75.05pt;height:12.95pt;z-index:251666944" o:allowincell="f" filled="f" stroked="f" strokecolor="lime" strokeweight=".25pt">
            <v:textbox inset="0,0,0,0">
              <w:txbxContent>
                <w:p w14:paraId="6DF224C7" w14:textId="77777777" w:rsidR="005650B4" w:rsidRDefault="005650B4">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ושב-ראש המותב או מי שהוא ק</w:t>
      </w:r>
      <w:r>
        <w:rPr>
          <w:rStyle w:val="default"/>
          <w:rFonts w:cs="FrankRuehl"/>
          <w:rtl/>
        </w:rPr>
        <w:t>בע</w:t>
      </w:r>
      <w:r>
        <w:rPr>
          <w:rStyle w:val="default"/>
          <w:rFonts w:cs="FrankRuehl" w:hint="cs"/>
          <w:rtl/>
        </w:rPr>
        <w:t xml:space="preserve">ו לצורך זה, ירשום בפרוטוקול את עיקרי הדברים שבדיון. </w:t>
      </w:r>
    </w:p>
    <w:p w14:paraId="32E7ADE0"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רוטוקול יכול שייערך גם בדרך של הקלטה ברשמקול או באופן אחר שיקבע יושב ראש המותב, ובלבד שפרוטוקול שנערך כאמור, יועלה על הכתב ויצורף לתיק הדיון. </w:t>
      </w:r>
    </w:p>
    <w:p w14:paraId="7D062ABC"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w:t>
      </w:r>
      <w:r>
        <w:rPr>
          <w:rStyle w:val="default"/>
          <w:rFonts w:cs="FrankRuehl"/>
          <w:rtl/>
        </w:rPr>
        <w:t xml:space="preserve"> </w:t>
      </w:r>
      <w:r>
        <w:rPr>
          <w:rStyle w:val="default"/>
          <w:rFonts w:cs="FrankRuehl" w:hint="cs"/>
          <w:rtl/>
        </w:rPr>
        <w:t>המותב או מי שהוא קבע לצורך זה יחתום על</w:t>
      </w:r>
      <w:r>
        <w:rPr>
          <w:rStyle w:val="default"/>
          <w:rFonts w:cs="FrankRuehl"/>
          <w:rtl/>
        </w:rPr>
        <w:t xml:space="preserve"> ה</w:t>
      </w:r>
      <w:r>
        <w:rPr>
          <w:rStyle w:val="default"/>
          <w:rFonts w:cs="FrankRuehl" w:hint="cs"/>
          <w:rtl/>
        </w:rPr>
        <w:t xml:space="preserve">פרוטוקול. </w:t>
      </w:r>
    </w:p>
    <w:p w14:paraId="70A26F9F" w14:textId="77777777" w:rsidR="005650B4" w:rsidRDefault="005650B4">
      <w:pPr>
        <w:pStyle w:val="P00"/>
        <w:spacing w:before="72"/>
        <w:ind w:left="0" w:right="1134"/>
        <w:rPr>
          <w:rStyle w:val="default"/>
          <w:rFonts w:cs="FrankRuehl"/>
          <w:rtl/>
        </w:rPr>
      </w:pPr>
      <w:bookmarkStart w:id="25" w:name="Seif26"/>
      <w:bookmarkEnd w:id="25"/>
      <w:r>
        <w:rPr>
          <w:lang w:val="he-IL"/>
        </w:rPr>
        <w:pict w14:anchorId="0DBFBBDF">
          <v:rect id="_x0000_s1051" style="position:absolute;left:0;text-align:left;margin-left:464.5pt;margin-top:8.05pt;width:75.05pt;height:12.2pt;z-index:251667968" o:allowincell="f" filled="f" stroked="f" strokecolor="lime" strokeweight=".25pt">
            <v:textbox inset="0,0,0,0">
              <w:txbxContent>
                <w:p w14:paraId="453F4DE8" w14:textId="77777777" w:rsidR="005650B4" w:rsidRDefault="005650B4">
                  <w:pPr>
                    <w:spacing w:line="160" w:lineRule="exact"/>
                    <w:jc w:val="left"/>
                    <w:rPr>
                      <w:rFonts w:cs="Miriam"/>
                      <w:noProof/>
                      <w:sz w:val="18"/>
                      <w:szCs w:val="18"/>
                      <w:rtl/>
                    </w:rPr>
                  </w:pPr>
                  <w:r>
                    <w:rPr>
                      <w:rFonts w:cs="Miriam"/>
                      <w:sz w:val="18"/>
                      <w:szCs w:val="18"/>
                      <w:rtl/>
                    </w:rPr>
                    <w:t>הה</w:t>
                  </w:r>
                  <w:r>
                    <w:rPr>
                      <w:rFonts w:cs="Miriam" w:hint="cs"/>
                      <w:sz w:val="18"/>
                      <w:szCs w:val="18"/>
                      <w:rtl/>
                    </w:rPr>
                    <w:t>חלטה</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הדין יתן את החלטתו בערר במועד סמוך, ככל האפשר, לסיום הדיון. </w:t>
      </w:r>
    </w:p>
    <w:p w14:paraId="22A11462"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הדין ימציא את החלטתו לבעלי הדין במועד סמוך, ככל האפשר, למתן ההחלטה ולא יאוחר מחמישה עשר ימים מיום שניתנה. </w:t>
      </w:r>
    </w:p>
    <w:p w14:paraId="1897C38E" w14:textId="77777777" w:rsidR="005650B4" w:rsidRDefault="005650B4">
      <w:pPr>
        <w:pStyle w:val="P00"/>
        <w:spacing w:before="72"/>
        <w:ind w:left="0" w:right="1134"/>
        <w:rPr>
          <w:rStyle w:val="default"/>
          <w:rFonts w:cs="FrankRuehl"/>
          <w:rtl/>
        </w:rPr>
      </w:pPr>
      <w:bookmarkStart w:id="26" w:name="Seif27"/>
      <w:bookmarkEnd w:id="26"/>
      <w:r>
        <w:rPr>
          <w:lang w:val="he-IL"/>
        </w:rPr>
        <w:pict w14:anchorId="0F971356">
          <v:rect id="_x0000_s1052" style="position:absolute;left:0;text-align:left;margin-left:464.5pt;margin-top:8.05pt;width:75.05pt;height:16.65pt;z-index:251668992" o:allowincell="f" filled="f" stroked="f" strokecolor="lime" strokeweight=".25pt">
            <v:textbox inset="0,0,0,0">
              <w:txbxContent>
                <w:p w14:paraId="18F4223B" w14:textId="77777777" w:rsidR="005650B4" w:rsidRDefault="005650B4">
                  <w:pPr>
                    <w:spacing w:line="160" w:lineRule="exact"/>
                    <w:jc w:val="left"/>
                    <w:rPr>
                      <w:rFonts w:cs="Miriam"/>
                      <w:noProof/>
                      <w:sz w:val="18"/>
                      <w:szCs w:val="18"/>
                      <w:rtl/>
                    </w:rPr>
                  </w:pPr>
                  <w:r>
                    <w:rPr>
                      <w:rFonts w:cs="Miriam"/>
                      <w:sz w:val="18"/>
                      <w:szCs w:val="18"/>
                      <w:rtl/>
                    </w:rPr>
                    <w:t>פג</w:t>
                  </w:r>
                  <w:r>
                    <w:rPr>
                      <w:rFonts w:cs="Miriam" w:hint="cs"/>
                      <w:sz w:val="18"/>
                      <w:szCs w:val="18"/>
                      <w:rtl/>
                    </w:rPr>
                    <w:t>ם בסדרי הדין</w:t>
                  </w:r>
                </w:p>
              </w:txbxContent>
            </v:textbox>
            <w10:anchorlock/>
          </v:rect>
        </w:pict>
      </w:r>
      <w:r>
        <w:rPr>
          <w:rStyle w:val="big-number"/>
          <w:rFonts w:cs="Miriam"/>
          <w:rtl/>
        </w:rPr>
        <w:t>27.</w:t>
      </w:r>
      <w:r>
        <w:rPr>
          <w:rStyle w:val="big-number"/>
          <w:rFonts w:cs="Miriam"/>
          <w:rtl/>
        </w:rPr>
        <w:tab/>
      </w:r>
      <w:r>
        <w:rPr>
          <w:rStyle w:val="default"/>
          <w:rFonts w:cs="FrankRuehl"/>
          <w:rtl/>
        </w:rPr>
        <w:t>בי</w:t>
      </w:r>
      <w:r>
        <w:rPr>
          <w:rStyle w:val="default"/>
          <w:rFonts w:cs="FrankRuehl" w:hint="cs"/>
          <w:rtl/>
        </w:rPr>
        <w:t>ת הדין לא יפסול הל</w:t>
      </w:r>
      <w:r>
        <w:rPr>
          <w:rStyle w:val="default"/>
          <w:rFonts w:cs="FrankRuehl"/>
          <w:rtl/>
        </w:rPr>
        <w:t>יך</w:t>
      </w:r>
      <w:r>
        <w:rPr>
          <w:rStyle w:val="default"/>
          <w:rFonts w:cs="FrankRuehl" w:hint="cs"/>
          <w:rtl/>
        </w:rPr>
        <w:t>, כולו או מקצתו, בשל פגם בסדרי הדין, לרבות אי-קיום תקנות אלה, אם לדעתו הפגם לא יגרום עיוות דין או אם יש אפשרות סבירה לתקן את הפגם בדרך של דחיית הדיון או בדרך אחרת.</w:t>
      </w:r>
    </w:p>
    <w:p w14:paraId="1135CACC" w14:textId="77777777" w:rsidR="005650B4" w:rsidRDefault="005650B4">
      <w:pPr>
        <w:pStyle w:val="P00"/>
        <w:spacing w:before="72"/>
        <w:ind w:left="0" w:right="1134"/>
        <w:rPr>
          <w:rStyle w:val="default"/>
          <w:rFonts w:cs="FrankRuehl"/>
          <w:rtl/>
        </w:rPr>
      </w:pPr>
      <w:bookmarkStart w:id="27" w:name="Seif28"/>
      <w:bookmarkEnd w:id="27"/>
      <w:r>
        <w:rPr>
          <w:lang w:val="he-IL"/>
        </w:rPr>
        <w:pict w14:anchorId="31CD7BFF">
          <v:rect id="_x0000_s1053" style="position:absolute;left:0;text-align:left;margin-left:464.5pt;margin-top:8.05pt;width:75.05pt;height:13.7pt;z-index:251670016" o:allowincell="f" filled="f" stroked="f" strokecolor="lime" strokeweight=".25pt">
            <v:textbox inset="0,0,0,0">
              <w:txbxContent>
                <w:p w14:paraId="5A49EDA8" w14:textId="77777777" w:rsidR="005650B4" w:rsidRDefault="005650B4">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28.</w:t>
      </w:r>
      <w:r>
        <w:rPr>
          <w:rStyle w:val="big-number"/>
          <w:rFonts w:cs="Miriam"/>
          <w:rtl/>
        </w:rPr>
        <w:tab/>
      </w:r>
      <w:r>
        <w:rPr>
          <w:rStyle w:val="default"/>
          <w:rFonts w:cs="FrankRuehl"/>
          <w:rtl/>
        </w:rPr>
        <w:t>בי</w:t>
      </w:r>
      <w:r>
        <w:rPr>
          <w:rStyle w:val="default"/>
          <w:rFonts w:cs="FrankRuehl" w:hint="cs"/>
          <w:rtl/>
        </w:rPr>
        <w:t>ת הדין רשאי להאריך מועד שקבע או שנקבע בתקנות אלה או בתקנות אחרות החלות על בית דין מ</w:t>
      </w:r>
      <w:r>
        <w:rPr>
          <w:rStyle w:val="default"/>
          <w:rFonts w:cs="FrankRuehl"/>
          <w:rtl/>
        </w:rPr>
        <w:t>סו</w:t>
      </w:r>
      <w:r>
        <w:rPr>
          <w:rStyle w:val="default"/>
          <w:rFonts w:cs="FrankRuehl" w:hint="cs"/>
          <w:rtl/>
        </w:rPr>
        <w:t xml:space="preserve">יים, מטעמים מיוחדים שיירשמו. </w:t>
      </w:r>
    </w:p>
    <w:p w14:paraId="57B1AE07" w14:textId="77777777" w:rsidR="005650B4" w:rsidRDefault="005650B4">
      <w:pPr>
        <w:pStyle w:val="P00"/>
        <w:spacing w:before="72"/>
        <w:ind w:left="0" w:right="1134"/>
        <w:rPr>
          <w:rStyle w:val="default"/>
          <w:rFonts w:cs="FrankRuehl"/>
          <w:rtl/>
        </w:rPr>
      </w:pPr>
      <w:bookmarkStart w:id="28" w:name="Seif29"/>
      <w:bookmarkEnd w:id="28"/>
      <w:r>
        <w:rPr>
          <w:lang w:val="he-IL"/>
        </w:rPr>
        <w:pict w14:anchorId="331AB07E">
          <v:rect id="_x0000_s1054" style="position:absolute;left:0;text-align:left;margin-left:464.5pt;margin-top:8.05pt;width:75.05pt;height:16pt;z-index:251671040" o:allowincell="f" filled="f" stroked="f" strokecolor="lime" strokeweight=".25pt">
            <v:textbox inset="0,0,0,0">
              <w:txbxContent>
                <w:p w14:paraId="690BB27D" w14:textId="77777777" w:rsidR="005650B4" w:rsidRDefault="005650B4" w:rsidP="00227F1E">
                  <w:pPr>
                    <w:spacing w:line="160" w:lineRule="exact"/>
                    <w:jc w:val="left"/>
                    <w:rPr>
                      <w:rFonts w:cs="Miriam"/>
                      <w:noProof/>
                      <w:sz w:val="18"/>
                      <w:szCs w:val="18"/>
                      <w:rtl/>
                    </w:rPr>
                  </w:pPr>
                  <w:r>
                    <w:rPr>
                      <w:rFonts w:cs="Miriam"/>
                      <w:sz w:val="18"/>
                      <w:szCs w:val="18"/>
                      <w:rtl/>
                    </w:rPr>
                    <w:t>סמ</w:t>
                  </w:r>
                  <w:r>
                    <w:rPr>
                      <w:rFonts w:cs="Miriam" w:hint="cs"/>
                      <w:sz w:val="18"/>
                      <w:szCs w:val="18"/>
                      <w:rtl/>
                    </w:rPr>
                    <w:t>כויות יושב</w:t>
                  </w:r>
                  <w:r w:rsidR="00227F1E">
                    <w:rPr>
                      <w:rFonts w:cs="Miriam" w:hint="cs"/>
                      <w:sz w:val="18"/>
                      <w:szCs w:val="18"/>
                      <w:rtl/>
                    </w:rPr>
                    <w:t xml:space="preserve"> </w:t>
                  </w:r>
                  <w:r>
                    <w:rPr>
                      <w:rFonts w:cs="Miriam"/>
                      <w:sz w:val="18"/>
                      <w:szCs w:val="18"/>
                      <w:rtl/>
                    </w:rPr>
                    <w:t>רא</w:t>
                  </w:r>
                  <w:r>
                    <w:rPr>
                      <w:rFonts w:cs="Miriam" w:hint="cs"/>
                      <w:sz w:val="18"/>
                      <w:szCs w:val="18"/>
                      <w:rtl/>
                    </w:rPr>
                    <w:t>ש</w:t>
                  </w:r>
                </w:p>
              </w:txbxContent>
            </v:textbox>
            <w10:anchorlock/>
          </v:rect>
        </w:pict>
      </w:r>
      <w:r>
        <w:rPr>
          <w:rStyle w:val="big-number"/>
          <w:rFonts w:cs="Miriam"/>
          <w:rtl/>
        </w:rPr>
        <w:t>29.</w:t>
      </w:r>
      <w:r>
        <w:rPr>
          <w:rStyle w:val="big-number"/>
          <w:rFonts w:cs="Miriam"/>
          <w:rtl/>
        </w:rPr>
        <w:tab/>
      </w:r>
      <w:r>
        <w:rPr>
          <w:rStyle w:val="default"/>
          <w:rFonts w:cs="FrankRuehl"/>
          <w:rtl/>
        </w:rPr>
        <w:t>סמ</w:t>
      </w:r>
      <w:r>
        <w:rPr>
          <w:rStyle w:val="default"/>
          <w:rFonts w:cs="FrankRuehl" w:hint="cs"/>
          <w:rtl/>
        </w:rPr>
        <w:t>כויות בית הדין לפי תקנות 4(ב), 14(ד), 16(א) ו-18 מוקנות ליושב ראש מותב של בית דין שהוא שופט; סמכויות בית הדין לפי תקנו</w:t>
      </w:r>
      <w:r>
        <w:rPr>
          <w:rStyle w:val="default"/>
          <w:rFonts w:cs="FrankRuehl"/>
          <w:rtl/>
        </w:rPr>
        <w:t>ת</w:t>
      </w:r>
      <w:r>
        <w:rPr>
          <w:rStyle w:val="default"/>
          <w:rFonts w:cs="FrankRuehl" w:hint="cs"/>
          <w:rtl/>
        </w:rPr>
        <w:t xml:space="preserve"> 20(ב) ו-(ג), 24, 28 ו-30 מוקנות ליושב ראש מותב, בין שהוא שופט ובין שאיננו שופט. </w:t>
      </w:r>
    </w:p>
    <w:p w14:paraId="566E2C0A" w14:textId="77777777" w:rsidR="005650B4" w:rsidRDefault="005650B4">
      <w:pPr>
        <w:pStyle w:val="P00"/>
        <w:spacing w:before="72"/>
        <w:ind w:left="0" w:right="1134"/>
        <w:rPr>
          <w:rStyle w:val="default"/>
          <w:rFonts w:cs="FrankRuehl"/>
          <w:rtl/>
        </w:rPr>
      </w:pPr>
      <w:bookmarkStart w:id="29" w:name="Seif30"/>
      <w:bookmarkEnd w:id="29"/>
      <w:r>
        <w:rPr>
          <w:lang w:val="he-IL"/>
        </w:rPr>
        <w:pict w14:anchorId="21F196DC">
          <v:rect id="_x0000_s1055" style="position:absolute;left:0;text-align:left;margin-left:464.5pt;margin-top:8.05pt;width:75.05pt;height:18.85pt;z-index:251672064" o:allowincell="f" filled="f" stroked="f" strokecolor="lime" strokeweight=".25pt">
            <v:textbox inset="0,0,0,0">
              <w:txbxContent>
                <w:p w14:paraId="163407A4" w14:textId="77777777" w:rsidR="005650B4" w:rsidRDefault="005650B4" w:rsidP="00227F1E">
                  <w:pPr>
                    <w:spacing w:line="160" w:lineRule="exact"/>
                    <w:jc w:val="left"/>
                    <w:rPr>
                      <w:rFonts w:cs="Miriam"/>
                      <w:noProof/>
                      <w:sz w:val="18"/>
                      <w:szCs w:val="18"/>
                      <w:rtl/>
                    </w:rPr>
                  </w:pPr>
                  <w:r>
                    <w:rPr>
                      <w:rFonts w:cs="Miriam"/>
                      <w:sz w:val="18"/>
                      <w:szCs w:val="18"/>
                      <w:rtl/>
                    </w:rPr>
                    <w:t>המ</w:t>
                  </w:r>
                  <w:r>
                    <w:rPr>
                      <w:rFonts w:cs="Miriam" w:hint="cs"/>
                      <w:sz w:val="18"/>
                      <w:szCs w:val="18"/>
                      <w:rtl/>
                    </w:rPr>
                    <w:t>צאת הודעות</w:t>
                  </w:r>
                  <w:r w:rsidR="00227F1E">
                    <w:rPr>
                      <w:rFonts w:cs="Miriam" w:hint="cs"/>
                      <w:sz w:val="18"/>
                      <w:szCs w:val="18"/>
                      <w:rtl/>
                    </w:rPr>
                    <w:t xml:space="preserve"> </w:t>
                  </w:r>
                  <w:r>
                    <w:rPr>
                      <w:rFonts w:cs="Miriam"/>
                      <w:sz w:val="18"/>
                      <w:szCs w:val="18"/>
                      <w:rtl/>
                    </w:rPr>
                    <w:t>ומ</w:t>
                  </w:r>
                  <w:r>
                    <w:rPr>
                      <w:rFonts w:cs="Miriam" w:hint="cs"/>
                      <w:sz w:val="18"/>
                      <w:szCs w:val="18"/>
                      <w:rtl/>
                    </w:rPr>
                    <w:t>סמכים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רישה ש</w:t>
      </w:r>
      <w:r>
        <w:rPr>
          <w:rStyle w:val="default"/>
          <w:rFonts w:cs="FrankRuehl"/>
          <w:rtl/>
        </w:rPr>
        <w:t>נק</w:t>
      </w:r>
      <w:r>
        <w:rPr>
          <w:rStyle w:val="default"/>
          <w:rFonts w:cs="FrankRuehl" w:hint="cs"/>
          <w:rtl/>
        </w:rPr>
        <w:t xml:space="preserve">בעה בתקנות אלה בדבר התייצבותו של אדם בבית הדין, מסירת הודעה, המצאת מסמך, הגשת כתבי בי-דין וכיוצא באלה, ניתן לקיימה, לפי הענין, בדרך </w:t>
      </w:r>
      <w:r>
        <w:rPr>
          <w:rStyle w:val="default"/>
          <w:rFonts w:cs="FrankRuehl"/>
          <w:rtl/>
        </w:rPr>
        <w:t>ש</w:t>
      </w:r>
      <w:r>
        <w:rPr>
          <w:rStyle w:val="default"/>
          <w:rFonts w:cs="FrankRuehl" w:hint="cs"/>
          <w:rtl/>
        </w:rPr>
        <w:t xml:space="preserve">ל הודעה לאדם בעת הדיון, משלוח למענו בדואר רשום או מסירה בדרך אחרת שיקבע בית הדין. </w:t>
      </w:r>
    </w:p>
    <w:p w14:paraId="5B9C723E"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רישה כאמור שהודעה עליה נשלחה או </w:t>
      </w:r>
      <w:r>
        <w:rPr>
          <w:rStyle w:val="default"/>
          <w:rFonts w:cs="FrankRuehl"/>
          <w:rtl/>
        </w:rPr>
        <w:t>נמ</w:t>
      </w:r>
      <w:r>
        <w:rPr>
          <w:rStyle w:val="default"/>
          <w:rFonts w:cs="FrankRuehl" w:hint="cs"/>
          <w:rtl/>
        </w:rPr>
        <w:t xml:space="preserve">סרה לבא כוחו של האדם שלו היא מיועדת, רואים אותה כאילו הודעה, נשלחה או נמסרה לאותו אדם. </w:t>
      </w:r>
    </w:p>
    <w:p w14:paraId="1BD7A2F8" w14:textId="77777777" w:rsidR="005650B4" w:rsidRDefault="005650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סמך שנשלח בדואר, רואים אותו כאילו הגיע</w:t>
      </w:r>
      <w:r>
        <w:rPr>
          <w:rStyle w:val="default"/>
          <w:rFonts w:cs="FrankRuehl"/>
          <w:rtl/>
        </w:rPr>
        <w:t xml:space="preserve"> </w:t>
      </w:r>
      <w:r>
        <w:rPr>
          <w:rStyle w:val="default"/>
          <w:rFonts w:cs="FrankRuehl" w:hint="cs"/>
          <w:rtl/>
        </w:rPr>
        <w:t xml:space="preserve">לתעודתו במועד הרגיל של הגעת דברי דואר, אם לא הוכח אחרת. </w:t>
      </w:r>
    </w:p>
    <w:p w14:paraId="3A93D3E5" w14:textId="77777777" w:rsidR="005650B4" w:rsidRDefault="005650B4">
      <w:pPr>
        <w:pStyle w:val="P00"/>
        <w:spacing w:before="72"/>
        <w:ind w:left="0" w:right="1134"/>
        <w:rPr>
          <w:rStyle w:val="default"/>
          <w:rFonts w:cs="FrankRuehl"/>
          <w:rtl/>
        </w:rPr>
      </w:pPr>
      <w:bookmarkStart w:id="30" w:name="Seif31"/>
      <w:bookmarkEnd w:id="30"/>
      <w:r>
        <w:rPr>
          <w:lang w:val="he-IL"/>
        </w:rPr>
        <w:pict w14:anchorId="4C353B88">
          <v:rect id="_x0000_s1056" style="position:absolute;left:0;text-align:left;margin-left:464.5pt;margin-top:8.05pt;width:75.05pt;height:14.5pt;z-index:251673088" o:allowincell="f" filled="f" stroked="f" strokecolor="lime" strokeweight=".25pt">
            <v:textbox inset="0,0,0,0">
              <w:txbxContent>
                <w:p w14:paraId="12B4EE6A" w14:textId="77777777" w:rsidR="005650B4" w:rsidRDefault="005650B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31.</w:t>
      </w:r>
      <w:r>
        <w:rPr>
          <w:rStyle w:val="big-number"/>
          <w:rFonts w:cs="Miriam"/>
          <w:rtl/>
        </w:rPr>
        <w:tab/>
      </w:r>
      <w:r>
        <w:rPr>
          <w:rStyle w:val="default"/>
          <w:rFonts w:cs="FrankRuehl"/>
          <w:rtl/>
        </w:rPr>
        <w:t>תח</w:t>
      </w:r>
      <w:r>
        <w:rPr>
          <w:rStyle w:val="default"/>
          <w:rFonts w:cs="FrankRuehl" w:hint="cs"/>
          <w:rtl/>
        </w:rPr>
        <w:t xml:space="preserve">ילתן של תקנות אלה שלושים ימים מיום פרסומן. </w:t>
      </w:r>
    </w:p>
    <w:p w14:paraId="5434BCD3" w14:textId="77777777" w:rsidR="005650B4" w:rsidRDefault="005650B4">
      <w:pPr>
        <w:pStyle w:val="P00"/>
        <w:spacing w:before="72"/>
        <w:ind w:left="0" w:right="1134"/>
        <w:rPr>
          <w:rStyle w:val="default"/>
          <w:rFonts w:cs="FrankRuehl"/>
          <w:rtl/>
        </w:rPr>
      </w:pPr>
    </w:p>
    <w:p w14:paraId="063CD32E" w14:textId="77777777" w:rsidR="005650B4" w:rsidRDefault="005650B4">
      <w:pPr>
        <w:pStyle w:val="P00"/>
        <w:spacing w:before="72"/>
        <w:ind w:left="0" w:right="1134"/>
        <w:rPr>
          <w:rStyle w:val="default"/>
          <w:rFonts w:cs="FrankRuehl"/>
          <w:rtl/>
        </w:rPr>
      </w:pPr>
    </w:p>
    <w:p w14:paraId="667E4E18" w14:textId="77777777" w:rsidR="005650B4" w:rsidRDefault="005650B4">
      <w:pPr>
        <w:pStyle w:val="sig-0"/>
        <w:ind w:left="0" w:right="1134"/>
        <w:rPr>
          <w:rFonts w:cs="FrankRuehl"/>
          <w:sz w:val="26"/>
          <w:rtl/>
        </w:rPr>
      </w:pPr>
      <w:r>
        <w:rPr>
          <w:rFonts w:cs="FrankRuehl"/>
          <w:sz w:val="26"/>
          <w:rtl/>
        </w:rPr>
        <w:t xml:space="preserve">ב' </w:t>
      </w:r>
      <w:r>
        <w:rPr>
          <w:rFonts w:cs="FrankRuehl" w:hint="cs"/>
          <w:sz w:val="26"/>
          <w:rtl/>
        </w:rPr>
        <w:t>בתמוז תש</w:t>
      </w:r>
      <w:r>
        <w:rPr>
          <w:rFonts w:cs="FrankRuehl"/>
          <w:sz w:val="26"/>
          <w:rtl/>
        </w:rPr>
        <w:t>נ"</w:t>
      </w:r>
      <w:r>
        <w:rPr>
          <w:rFonts w:cs="FrankRuehl" w:hint="cs"/>
          <w:sz w:val="26"/>
          <w:rtl/>
        </w:rPr>
        <w:t>ב (3 ביולי 1992)</w:t>
      </w:r>
      <w:r>
        <w:rPr>
          <w:rFonts w:cs="FrankRuehl"/>
          <w:sz w:val="26"/>
          <w:rtl/>
        </w:rPr>
        <w:tab/>
        <w:t>ד</w:t>
      </w:r>
      <w:r>
        <w:rPr>
          <w:rFonts w:cs="FrankRuehl" w:hint="cs"/>
          <w:sz w:val="26"/>
          <w:rtl/>
        </w:rPr>
        <w:t>ן מרידור</w:t>
      </w:r>
    </w:p>
    <w:p w14:paraId="1686EC60" w14:textId="77777777" w:rsidR="005650B4" w:rsidRDefault="005650B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5126E9CD" w14:textId="77777777" w:rsidR="005650B4" w:rsidRPr="00227F1E" w:rsidRDefault="005650B4" w:rsidP="00227F1E">
      <w:pPr>
        <w:pStyle w:val="P00"/>
        <w:spacing w:before="72"/>
        <w:ind w:left="0" w:right="1134"/>
        <w:rPr>
          <w:rStyle w:val="default"/>
          <w:rFonts w:cs="FrankRuehl"/>
          <w:rtl/>
        </w:rPr>
      </w:pPr>
    </w:p>
    <w:p w14:paraId="5CE44FE3" w14:textId="77777777" w:rsidR="005650B4" w:rsidRPr="00227F1E" w:rsidRDefault="005650B4" w:rsidP="00227F1E">
      <w:pPr>
        <w:pStyle w:val="P00"/>
        <w:spacing w:before="72"/>
        <w:ind w:left="0" w:right="1134"/>
        <w:rPr>
          <w:rStyle w:val="default"/>
          <w:rFonts w:cs="FrankRuehl"/>
          <w:rtl/>
        </w:rPr>
      </w:pPr>
    </w:p>
    <w:p w14:paraId="3DD99F51" w14:textId="77777777" w:rsidR="003A3F1B" w:rsidRDefault="003A3F1B" w:rsidP="00227F1E">
      <w:pPr>
        <w:pStyle w:val="P00"/>
        <w:spacing w:before="72"/>
        <w:ind w:left="0" w:right="1134"/>
        <w:rPr>
          <w:rStyle w:val="default"/>
          <w:rFonts w:cs="FrankRuehl"/>
          <w:rtl/>
        </w:rPr>
      </w:pPr>
    </w:p>
    <w:p w14:paraId="60C1B6D2" w14:textId="77777777" w:rsidR="003A3F1B" w:rsidRDefault="003A3F1B" w:rsidP="00227F1E">
      <w:pPr>
        <w:pStyle w:val="P00"/>
        <w:spacing w:before="72"/>
        <w:ind w:left="0" w:right="1134"/>
        <w:rPr>
          <w:rStyle w:val="default"/>
          <w:rFonts w:cs="FrankRuehl"/>
          <w:rtl/>
        </w:rPr>
      </w:pPr>
    </w:p>
    <w:p w14:paraId="028F92AD" w14:textId="77777777" w:rsidR="003A3F1B" w:rsidRDefault="003A3F1B" w:rsidP="003A3F1B">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8FA980A" w14:textId="77777777" w:rsidR="00041AF2" w:rsidRDefault="00041AF2" w:rsidP="003A3F1B">
      <w:pPr>
        <w:pStyle w:val="P00"/>
        <w:spacing w:before="72"/>
        <w:ind w:left="0" w:right="1134"/>
        <w:jc w:val="center"/>
        <w:rPr>
          <w:rStyle w:val="default"/>
          <w:rFonts w:cs="David"/>
          <w:color w:val="0000FF"/>
          <w:szCs w:val="24"/>
          <w:u w:val="single"/>
          <w:rtl/>
        </w:rPr>
      </w:pPr>
    </w:p>
    <w:p w14:paraId="20A7A362" w14:textId="77777777" w:rsidR="00041AF2" w:rsidRDefault="00041AF2" w:rsidP="003A3F1B">
      <w:pPr>
        <w:pStyle w:val="P00"/>
        <w:spacing w:before="72"/>
        <w:ind w:left="0" w:right="1134"/>
        <w:jc w:val="center"/>
        <w:rPr>
          <w:rStyle w:val="default"/>
          <w:rFonts w:cs="David"/>
          <w:color w:val="0000FF"/>
          <w:szCs w:val="24"/>
          <w:u w:val="single"/>
          <w:rtl/>
        </w:rPr>
      </w:pPr>
    </w:p>
    <w:p w14:paraId="5A33B8B9" w14:textId="77777777" w:rsidR="00041AF2" w:rsidRDefault="00041AF2" w:rsidP="00041AF2">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0D426E0C" w14:textId="77777777" w:rsidR="005650B4" w:rsidRPr="00041AF2" w:rsidRDefault="005650B4" w:rsidP="00041AF2">
      <w:pPr>
        <w:pStyle w:val="P00"/>
        <w:spacing w:before="72"/>
        <w:ind w:left="0" w:right="1134"/>
        <w:jc w:val="center"/>
        <w:rPr>
          <w:rStyle w:val="default"/>
          <w:rFonts w:cs="David"/>
          <w:color w:val="0000FF"/>
          <w:szCs w:val="24"/>
          <w:u w:val="single"/>
          <w:rtl/>
        </w:rPr>
      </w:pPr>
    </w:p>
    <w:sectPr w:rsidR="005650B4" w:rsidRPr="00041AF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6FCA" w14:textId="77777777" w:rsidR="00540B65" w:rsidRDefault="00540B65">
      <w:r>
        <w:separator/>
      </w:r>
    </w:p>
  </w:endnote>
  <w:endnote w:type="continuationSeparator" w:id="0">
    <w:p w14:paraId="7FE4843C" w14:textId="77777777" w:rsidR="00540B65" w:rsidRDefault="0054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5B3B" w14:textId="77777777" w:rsidR="005650B4" w:rsidRDefault="005650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34D7A6" w14:textId="77777777" w:rsidR="005650B4" w:rsidRDefault="005650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41E6C1" w14:textId="77777777" w:rsidR="005650B4" w:rsidRDefault="005650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1AF2">
      <w:rPr>
        <w:rFonts w:cs="TopType Jerushalmi"/>
        <w:noProof/>
        <w:color w:val="000000"/>
        <w:sz w:val="14"/>
        <w:szCs w:val="14"/>
      </w:rPr>
      <w:t>Z:\00000000000000000000000=2014------------------------\LawsForTableRun\01\054_002.doc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6C3B" w14:textId="77777777" w:rsidR="005650B4" w:rsidRDefault="005650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1AF2">
      <w:rPr>
        <w:rFonts w:hAnsi="FrankRuehl" w:cs="FrankRuehl"/>
        <w:noProof/>
        <w:sz w:val="24"/>
        <w:szCs w:val="24"/>
        <w:rtl/>
      </w:rPr>
      <w:t>4</w:t>
    </w:r>
    <w:r>
      <w:rPr>
        <w:rFonts w:hAnsi="FrankRuehl" w:cs="FrankRuehl"/>
        <w:sz w:val="24"/>
        <w:szCs w:val="24"/>
        <w:rtl/>
      </w:rPr>
      <w:fldChar w:fldCharType="end"/>
    </w:r>
  </w:p>
  <w:p w14:paraId="2487ECFA" w14:textId="77777777" w:rsidR="005650B4" w:rsidRDefault="005650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9AE89F" w14:textId="77777777" w:rsidR="005650B4" w:rsidRDefault="005650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1AF2">
      <w:rPr>
        <w:rFonts w:cs="TopType Jerushalmi"/>
        <w:noProof/>
        <w:color w:val="000000"/>
        <w:sz w:val="14"/>
        <w:szCs w:val="14"/>
      </w:rPr>
      <w:t>Z:\00000000000000000000000=2014------------------------\LawsForTableRun\01\054_002.doc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A06E" w14:textId="77777777" w:rsidR="00540B65" w:rsidRDefault="00540B65" w:rsidP="00227F1E">
      <w:pPr>
        <w:spacing w:before="60" w:line="240" w:lineRule="auto"/>
        <w:ind w:right="1134"/>
      </w:pPr>
      <w:r>
        <w:separator/>
      </w:r>
    </w:p>
  </w:footnote>
  <w:footnote w:type="continuationSeparator" w:id="0">
    <w:p w14:paraId="60C48BA9" w14:textId="77777777" w:rsidR="00540B65" w:rsidRDefault="00540B65">
      <w:r>
        <w:continuationSeparator/>
      </w:r>
    </w:p>
  </w:footnote>
  <w:footnote w:id="1">
    <w:p w14:paraId="6500D15E" w14:textId="77777777" w:rsidR="00227F1E" w:rsidRPr="00227F1E" w:rsidRDefault="00227F1E" w:rsidP="00227F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27F1E">
        <w:rPr>
          <w:rFonts w:cs="FrankRuehl"/>
          <w:rtl/>
        </w:rPr>
        <w:t xml:space="preserve">* </w:t>
      </w:r>
      <w:r>
        <w:rPr>
          <w:rFonts w:cs="FrankRuehl"/>
          <w:rtl/>
        </w:rPr>
        <w:t>פו</w:t>
      </w:r>
      <w:r>
        <w:rPr>
          <w:rFonts w:cs="FrankRuehl" w:hint="cs"/>
          <w:rtl/>
        </w:rPr>
        <w:t xml:space="preserve">רסמו </w:t>
      </w:r>
      <w:hyperlink r:id="rId1" w:history="1">
        <w:r w:rsidRPr="00AF646E">
          <w:rPr>
            <w:rStyle w:val="Hyperlink"/>
            <w:rFonts w:cs="FrankRuehl" w:hint="cs"/>
            <w:rtl/>
          </w:rPr>
          <w:t>ק"ת תשנ"ב מס' 5458</w:t>
        </w:r>
      </w:hyperlink>
      <w:r>
        <w:rPr>
          <w:rFonts w:cs="FrankRuehl" w:hint="cs"/>
          <w:rtl/>
        </w:rPr>
        <w:t xml:space="preserve"> מיום 15.7.1992</w:t>
      </w:r>
      <w:r>
        <w:rPr>
          <w:rFonts w:cs="FrankRuehl"/>
          <w:rtl/>
        </w:rPr>
        <w:t xml:space="preserve"> ע</w:t>
      </w:r>
      <w:r>
        <w:rPr>
          <w:rFonts w:cs="FrankRuehl" w:hint="cs"/>
          <w:rtl/>
        </w:rPr>
        <w:t>מ' 1302.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B05E" w14:textId="77777777" w:rsidR="005650B4" w:rsidRDefault="005650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דין מינהליים (סדרי דין), תשנ"ב–1992</w:t>
    </w:r>
  </w:p>
  <w:p w14:paraId="136CD533" w14:textId="77777777" w:rsidR="005650B4" w:rsidRDefault="005650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3BD134" w14:textId="77777777" w:rsidR="005650B4" w:rsidRDefault="005650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2657" w14:textId="77777777" w:rsidR="005650B4" w:rsidRDefault="005650B4" w:rsidP="00227F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דין מינהליים (סדרי דין), תשנ"ב</w:t>
    </w:r>
    <w:r w:rsidR="00227F1E">
      <w:rPr>
        <w:rFonts w:hAnsi="FrankRuehl" w:cs="FrankRuehl" w:hint="cs"/>
        <w:color w:val="000000"/>
        <w:sz w:val="28"/>
        <w:szCs w:val="28"/>
        <w:rtl/>
      </w:rPr>
      <w:t>-</w:t>
    </w:r>
    <w:r>
      <w:rPr>
        <w:rFonts w:hAnsi="FrankRuehl" w:cs="FrankRuehl"/>
        <w:color w:val="000000"/>
        <w:sz w:val="28"/>
        <w:szCs w:val="28"/>
        <w:rtl/>
      </w:rPr>
      <w:t>1992</w:t>
    </w:r>
  </w:p>
  <w:p w14:paraId="45FCD21D" w14:textId="77777777" w:rsidR="005650B4" w:rsidRDefault="005650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157BB4" w14:textId="77777777" w:rsidR="005650B4" w:rsidRDefault="005650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46E"/>
    <w:rsid w:val="00041AF2"/>
    <w:rsid w:val="00227F1E"/>
    <w:rsid w:val="003139F3"/>
    <w:rsid w:val="003A3F1B"/>
    <w:rsid w:val="00453F86"/>
    <w:rsid w:val="00540B65"/>
    <w:rsid w:val="005650B4"/>
    <w:rsid w:val="008F3083"/>
    <w:rsid w:val="009B3D1F"/>
    <w:rsid w:val="00AF2F8D"/>
    <w:rsid w:val="00AF646E"/>
    <w:rsid w:val="00C00B2E"/>
    <w:rsid w:val="00E404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40C019"/>
  <w15:chartTrackingRefBased/>
  <w15:docId w15:val="{32BED714-D87F-47C2-B4C5-521006EB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27F1E"/>
    <w:rPr>
      <w:sz w:val="20"/>
      <w:szCs w:val="20"/>
    </w:rPr>
  </w:style>
  <w:style w:type="character" w:styleId="a6">
    <w:name w:val="footnote reference"/>
    <w:basedOn w:val="a0"/>
    <w:semiHidden/>
    <w:rsid w:val="00227F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11625</CharactersWithSpaces>
  <SharedDoc>false</SharedDoc>
  <HLinks>
    <vt:vector size="204" baseType="variant">
      <vt:variant>
        <vt:i4>393283</vt:i4>
      </vt:variant>
      <vt:variant>
        <vt:i4>189</vt:i4>
      </vt:variant>
      <vt:variant>
        <vt:i4>0</vt:i4>
      </vt:variant>
      <vt:variant>
        <vt:i4>5</vt:i4>
      </vt:variant>
      <vt:variant>
        <vt:lpwstr>http://www.nevo.co.il/advertisements/nevo-100.doc</vt:lpwstr>
      </vt:variant>
      <vt:variant>
        <vt:lpwstr/>
      </vt:variant>
      <vt:variant>
        <vt:i4>393283</vt:i4>
      </vt:variant>
      <vt:variant>
        <vt:i4>186</vt:i4>
      </vt:variant>
      <vt:variant>
        <vt:i4>0</vt:i4>
      </vt:variant>
      <vt:variant>
        <vt:i4>5</vt:i4>
      </vt:variant>
      <vt:variant>
        <vt:lpwstr>http://www.nevo.co.il/advertisements/nevo-100.doc</vt:lpwstr>
      </vt:variant>
      <vt:variant>
        <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7929860</vt:i4>
      </vt:variant>
      <vt:variant>
        <vt:i4>0</vt:i4>
      </vt:variant>
      <vt:variant>
        <vt:i4>0</vt:i4>
      </vt:variant>
      <vt:variant>
        <vt:i4>5</vt:i4>
      </vt:variant>
      <vt:variant>
        <vt:lpwstr>http://www.nevo.co.il/Law_word/law06/TAK-5458.pdf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0054</vt:lpwstr>
  </property>
  <property fmtid="{D5CDD505-2E9C-101B-9397-08002B2CF9AE}" pid="3" name="CHNAME">
    <vt:lpwstr>בתי דין מינהליים</vt:lpwstr>
  </property>
  <property fmtid="{D5CDD505-2E9C-101B-9397-08002B2CF9AE}" pid="4" name="LAWNAME">
    <vt:lpwstr>תקנות בתי דין מינהליים (סדרי דין), תשנ"ב-1992</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בתי דין מינהליים</vt:lpwstr>
  </property>
  <property fmtid="{D5CDD505-2E9C-101B-9397-08002B2CF9AE}" pid="8" name="MEKOR_SAIF1">
    <vt:lpwstr>54X</vt:lpwstr>
  </property>
  <property fmtid="{D5CDD505-2E9C-101B-9397-08002B2CF9AE}" pid="9" name="NOSE11">
    <vt:lpwstr>רשויות ומשפט מנהלי</vt:lpwstr>
  </property>
  <property fmtid="{D5CDD505-2E9C-101B-9397-08002B2CF9AE}" pid="10" name="NOSE21">
    <vt:lpwstr>בתי דין מינהליים</vt:lpwstr>
  </property>
  <property fmtid="{D5CDD505-2E9C-101B-9397-08002B2CF9AE}" pid="11" name="NOSE31">
    <vt:lpwstr>סדר דין</vt:lpwstr>
  </property>
  <property fmtid="{D5CDD505-2E9C-101B-9397-08002B2CF9AE}" pid="12" name="NOSE41">
    <vt:lpwstr/>
  </property>
  <property fmtid="{D5CDD505-2E9C-101B-9397-08002B2CF9AE}" pid="13" name="NOSE12">
    <vt:lpwstr>בתי משפט וסדרי דין</vt:lpwstr>
  </property>
  <property fmtid="{D5CDD505-2E9C-101B-9397-08002B2CF9AE}" pid="14" name="NOSE22">
    <vt:lpwstr>בתי משפט ובתי דין</vt:lpwstr>
  </property>
  <property fmtid="{D5CDD505-2E9C-101B-9397-08002B2CF9AE}" pid="15" name="NOSE32">
    <vt:lpwstr>בתי דין מינהליים</vt:lpwstr>
  </property>
  <property fmtid="{D5CDD505-2E9C-101B-9397-08002B2CF9AE}" pid="16" name="NOSE42">
    <vt:lpwstr/>
  </property>
  <property fmtid="{D5CDD505-2E9C-101B-9397-08002B2CF9AE}" pid="17" name="NOSE13">
    <vt:lpwstr>בתי משפט וסדרי דין</vt:lpwstr>
  </property>
  <property fmtid="{D5CDD505-2E9C-101B-9397-08002B2CF9AE}" pid="18" name="NOSE23">
    <vt:lpwstr>סדר דין אזרחי</vt:lpwstr>
  </property>
  <property fmtid="{D5CDD505-2E9C-101B-9397-08002B2CF9AE}" pid="19" name="NOSE33">
    <vt:lpwstr>סדר דין בבי"ד שונים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