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E30" w:rsidRDefault="00480E30" w:rsidP="00E321D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בתי דין רבניים (קיום פסקי דין של גירושין), תשנ"ט-1999</w:t>
      </w:r>
    </w:p>
    <w:p w:rsidR="00DC2966" w:rsidRPr="00DC2966" w:rsidRDefault="00DC2966" w:rsidP="00DC2966">
      <w:pPr>
        <w:spacing w:line="320" w:lineRule="auto"/>
        <w:jc w:val="left"/>
        <w:rPr>
          <w:rFonts w:cs="FrankRuehl"/>
          <w:szCs w:val="26"/>
          <w:rtl/>
        </w:rPr>
      </w:pPr>
    </w:p>
    <w:p w:rsidR="00DC2966" w:rsidRDefault="00DC2966" w:rsidP="00DC2966">
      <w:pPr>
        <w:spacing w:line="320" w:lineRule="auto"/>
        <w:jc w:val="left"/>
        <w:rPr>
          <w:rtl/>
        </w:rPr>
      </w:pPr>
    </w:p>
    <w:p w:rsidR="00DC2966" w:rsidRDefault="00DC2966" w:rsidP="00DC2966">
      <w:pPr>
        <w:spacing w:line="320" w:lineRule="auto"/>
        <w:jc w:val="left"/>
        <w:rPr>
          <w:rFonts w:cs="FrankRuehl"/>
          <w:szCs w:val="26"/>
          <w:rtl/>
        </w:rPr>
      </w:pPr>
      <w:r w:rsidRPr="00DC2966">
        <w:rPr>
          <w:rFonts w:cs="Miriam"/>
          <w:szCs w:val="22"/>
          <w:rtl/>
        </w:rPr>
        <w:t>מעמד אישי ומשפחה</w:t>
      </w:r>
      <w:r w:rsidRPr="00DC2966">
        <w:rPr>
          <w:rFonts w:cs="FrankRuehl"/>
          <w:szCs w:val="26"/>
          <w:rtl/>
        </w:rPr>
        <w:t xml:space="preserve"> – נישואין וגירושין</w:t>
      </w:r>
    </w:p>
    <w:p w:rsidR="00DC2966" w:rsidRDefault="00DC2966" w:rsidP="00DC2966">
      <w:pPr>
        <w:spacing w:line="320" w:lineRule="auto"/>
        <w:jc w:val="left"/>
        <w:rPr>
          <w:rFonts w:cs="FrankRuehl"/>
          <w:szCs w:val="26"/>
          <w:rtl/>
        </w:rPr>
      </w:pPr>
      <w:r w:rsidRPr="00DC2966">
        <w:rPr>
          <w:rFonts w:cs="Miriam"/>
          <w:szCs w:val="22"/>
          <w:rtl/>
        </w:rPr>
        <w:t>מעמד אישי ומשפחה</w:t>
      </w:r>
      <w:r w:rsidRPr="00DC2966">
        <w:rPr>
          <w:rFonts w:cs="FrankRuehl"/>
          <w:szCs w:val="26"/>
          <w:rtl/>
        </w:rPr>
        <w:t xml:space="preserve"> – בתי דין רבניים</w:t>
      </w:r>
    </w:p>
    <w:p w:rsidR="00DC2966" w:rsidRPr="00DC2966" w:rsidRDefault="00DC2966" w:rsidP="00DC2966">
      <w:pPr>
        <w:spacing w:line="320" w:lineRule="auto"/>
        <w:jc w:val="left"/>
        <w:rPr>
          <w:rFonts w:cs="Miriam"/>
          <w:szCs w:val="22"/>
          <w:rtl/>
        </w:rPr>
      </w:pPr>
      <w:r w:rsidRPr="00DC2966">
        <w:rPr>
          <w:rFonts w:cs="Miriam"/>
          <w:szCs w:val="22"/>
          <w:rtl/>
        </w:rPr>
        <w:t>בתי משפט וסדרי דין</w:t>
      </w:r>
      <w:r w:rsidRPr="00DC2966">
        <w:rPr>
          <w:rFonts w:cs="FrankRuehl"/>
          <w:szCs w:val="26"/>
          <w:rtl/>
        </w:rPr>
        <w:t xml:space="preserve"> – בתי משפט ובתי דין – בתי דין רבניים </w:t>
      </w:r>
    </w:p>
    <w:p w:rsidR="00480E30" w:rsidRDefault="00480E3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80E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321D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hyperlink w:anchor="Seif0" w:tooltip="הגשת תביעה  למתן צו הגב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0E30" w:rsidRDefault="00480E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תביעה  למתן צו הגבלה</w:t>
            </w:r>
          </w:p>
        </w:tc>
        <w:tc>
          <w:tcPr>
            <w:tcW w:w="124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80E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321D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hyperlink w:anchor="Seif1" w:tooltip="פרטי כתב תבי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0E30" w:rsidRDefault="00480E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כתב תביעה</w:t>
            </w:r>
          </w:p>
        </w:tc>
        <w:tc>
          <w:tcPr>
            <w:tcW w:w="124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80E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321D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hyperlink w:anchor="Seif2" w:tooltip="מועד ה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0E30" w:rsidRDefault="00480E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הדיון</w:t>
            </w:r>
          </w:p>
        </w:tc>
        <w:tc>
          <w:tcPr>
            <w:tcW w:w="124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80E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321D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hyperlink w:anchor="Seif3" w:tooltip="צו הגב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0E30" w:rsidRDefault="00480E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 הגבלה</w:t>
            </w:r>
          </w:p>
        </w:tc>
        <w:tc>
          <w:tcPr>
            <w:tcW w:w="124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80E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321D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hyperlink w:anchor="Seif4" w:tooltip="הודעה על  צו הגב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0E30" w:rsidRDefault="00480E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 צו הגבלה</w:t>
            </w:r>
          </w:p>
        </w:tc>
        <w:tc>
          <w:tcPr>
            <w:tcW w:w="124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80E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321D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hyperlink w:anchor="Seif5" w:tooltip="מסירת דיווח  לבית ה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0E30" w:rsidRDefault="00480E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דיווח  לבית הדין</w:t>
            </w:r>
          </w:p>
        </w:tc>
        <w:tc>
          <w:tcPr>
            <w:tcW w:w="124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480E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321D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hyperlink w:anchor="Seif6" w:tooltip="תביעה נ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0E30" w:rsidRDefault="00480E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תביעה נוספת</w:t>
            </w:r>
          </w:p>
        </w:tc>
        <w:tc>
          <w:tcPr>
            <w:tcW w:w="124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480E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321D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hyperlink w:anchor="Seif7" w:tooltip="שינוי צו הגב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0E30" w:rsidRDefault="00480E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צו הגבלה</w:t>
            </w:r>
          </w:p>
        </w:tc>
        <w:tc>
          <w:tcPr>
            <w:tcW w:w="124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480E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321D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hyperlink w:anchor="Seif8" w:tooltip="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0E30" w:rsidRDefault="00480E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ערעור</w:t>
            </w:r>
          </w:p>
        </w:tc>
        <w:tc>
          <w:tcPr>
            <w:tcW w:w="124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480E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321D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</w:p>
        </w:tc>
      </w:tr>
      <w:tr w:rsidR="00480E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321D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hyperlink w:anchor="med1" w:tooltip="הודעה על צו הגב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הודעה על צו הגבלה</w:t>
            </w:r>
          </w:p>
        </w:tc>
        <w:tc>
          <w:tcPr>
            <w:tcW w:w="124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</w:p>
        </w:tc>
      </w:tr>
      <w:tr w:rsidR="00480E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321D8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hyperlink w:anchor="med2" w:tooltip="הודעה על שינוי צו הגב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הודעה על שינוי צו הגבלה</w:t>
            </w:r>
          </w:p>
        </w:tc>
        <w:tc>
          <w:tcPr>
            <w:tcW w:w="1247" w:type="dxa"/>
          </w:tcPr>
          <w:p w:rsidR="00480E30" w:rsidRDefault="00480E30">
            <w:pPr>
              <w:spacing w:line="240" w:lineRule="auto"/>
              <w:rPr>
                <w:sz w:val="24"/>
              </w:rPr>
            </w:pPr>
          </w:p>
        </w:tc>
      </w:tr>
    </w:tbl>
    <w:p w:rsidR="00480E30" w:rsidRDefault="00480E30">
      <w:pPr>
        <w:pStyle w:val="big-header"/>
        <w:ind w:left="0" w:right="1134"/>
        <w:rPr>
          <w:rFonts w:cs="FrankRuehl"/>
          <w:sz w:val="32"/>
          <w:rtl/>
        </w:rPr>
      </w:pPr>
    </w:p>
    <w:p w:rsidR="00480E30" w:rsidRDefault="00480E30" w:rsidP="00DC296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בתי דין רבניים (קיום </w:t>
      </w:r>
      <w:r>
        <w:rPr>
          <w:rFonts w:cs="FrankRuehl"/>
          <w:sz w:val="32"/>
          <w:rtl/>
        </w:rPr>
        <w:t>פ</w:t>
      </w:r>
      <w:r>
        <w:rPr>
          <w:rFonts w:cs="FrankRuehl" w:hint="cs"/>
          <w:sz w:val="32"/>
          <w:rtl/>
        </w:rPr>
        <w:t>סקי דין של גירושין), תשנ"</w:t>
      </w:r>
      <w:r w:rsidR="00E321D8">
        <w:rPr>
          <w:rFonts w:cs="FrankRuehl" w:hint="cs"/>
          <w:sz w:val="32"/>
          <w:rtl/>
        </w:rPr>
        <w:t>ט-</w:t>
      </w:r>
      <w:r>
        <w:rPr>
          <w:rFonts w:cs="FrankRuehl" w:hint="cs"/>
          <w:sz w:val="32"/>
          <w:rtl/>
        </w:rPr>
        <w:t>1999</w:t>
      </w:r>
      <w:r w:rsidR="00E321D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9 לחוק בתי דין רבניים (קיום פסקי דין של גירושין), תשנ"ה- 1995 (להלן - החוק), בהתייעצות עם שר המשפטים ובאישור ועדת החוקה חוק ומשפט של הכנסת, אנ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מתקין תקנות אלה: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3632" o:allowincell="f" filled="f" stroked="f" strokecolor="lime" strokeweight=".25pt">
            <v:textbox style="mso-next-textbox:#_x0000_s1026" inset="0,0,0,0">
              <w:txbxContent>
                <w:p w:rsidR="00480E30" w:rsidRDefault="00480E30" w:rsidP="00E321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תביעה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תן צו הגבלה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ב תביעה של בעל דין (להלן - תובע), למתן צו הגבלה נגד בעל הדין האחר המסרב לקיים פסק דין של גירושין (להלן - נתבע), יוגש לאותו בין דין רבני שנתן את פסק הדין האמור (להלן - פסק הדין).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pt;z-index:251654656" o:allowincell="f" filled="f" stroked="f" strokecolor="lime" strokeweight=".25pt">
            <v:textbox style="mso-next-textbox:#_x0000_s1027" inset="0,0,0,0">
              <w:txbxContent>
                <w:p w:rsidR="00480E30" w:rsidRDefault="00480E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 כתב תביעה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תב התביעה יכיל פרטים אלה:</w:t>
      </w:r>
    </w:p>
    <w:p w:rsidR="00480E30" w:rsidRDefault="00480E3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הדין הרבני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התביעה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מוגשת לו;</w:t>
      </w:r>
    </w:p>
    <w:p w:rsidR="00480E30" w:rsidRDefault="00480E30" w:rsidP="00E321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של התובע, מספר זהותו, מקום מגוריו ומען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המצאת כתבי בי- דין;</w:t>
      </w:r>
    </w:p>
    <w:p w:rsidR="00480E30" w:rsidRDefault="00480E3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של הנתבע גם באותיות לטיניות וכן מענו ומספר זהותו, או פרטים אחרים שיש בהם, לדעת בית הדין הרבני, כדי לזהותו;</w:t>
      </w:r>
    </w:p>
    <w:p w:rsidR="00480E30" w:rsidRDefault="00480E3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זכויות שהתובע מבקש להגביל, כולן או מקצתן.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לכת</w:t>
      </w:r>
      <w:r>
        <w:rPr>
          <w:rStyle w:val="default"/>
          <w:rFonts w:cs="FrankRuehl" w:hint="cs"/>
          <w:rtl/>
        </w:rPr>
        <w:t>ב התבי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ה יצורף העתק מאושר של פסק הדין.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הדין הרבני ימציא את העתק כתב התביעה יחד עם הזמנה לדין לנתבע ולכל מי שלדעת בית הדין הרבני עלול להיפגע ממתן צו ההגבלה.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pt;z-index:251655680" o:allowincell="f" filled="f" stroked="f" strokecolor="lime" strokeweight=".25pt">
            <v:textbox style="mso-next-textbox:#_x0000_s1028" inset="0,0,0,0">
              <w:txbxContent>
                <w:p w:rsidR="00480E30" w:rsidRDefault="00480E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דיון בתביעה יתקיים לא יאוחר מתום שלושים ימים מיום מתן פסק הדין; על אף האמור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בתקנ</w:t>
      </w:r>
      <w:r>
        <w:rPr>
          <w:rStyle w:val="default"/>
          <w:rFonts w:cs="FrankRuehl"/>
          <w:rtl/>
        </w:rPr>
        <w:t xml:space="preserve">ה 1, </w:t>
      </w:r>
      <w:r>
        <w:rPr>
          <w:rStyle w:val="default"/>
          <w:rFonts w:cs="FrankRuehl" w:hint="cs"/>
          <w:rtl/>
        </w:rPr>
        <w:t>רשאי בית הדין לקבוע, ביום מתן פסק הדין, מועד לדיון במתן צו הגבלה והתובע יגיש כתב תביעה, כאמור בתקנה 1, בתוך שבעה ימים מיום מתן פסק הדין; הוגשה התביעה שלא ביום מתן פסק הדין, יתקיים הדיון לא יאוחר מתום שלושים הימים מיום הגשת התביעה.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חלטת בית הדין תינתן בתוך שישים ימים מיום מתן פסק הדין; הוגשה התביעה שלא ביום מתן פסק הדין, תינתן החלטת בית הדין בתוך שלושים ימים מיום הגשת התביעה; לא נתן בית הדין החלטה כאמור,</w:t>
      </w:r>
      <w:r>
        <w:rPr>
          <w:rStyle w:val="default"/>
          <w:rFonts w:cs="FrankRuehl"/>
          <w:rtl/>
        </w:rPr>
        <w:t xml:space="preserve"> ר</w:t>
      </w:r>
      <w:r>
        <w:rPr>
          <w:rStyle w:val="default"/>
          <w:rFonts w:cs="FrankRuehl" w:hint="cs"/>
          <w:rtl/>
        </w:rPr>
        <w:t>שאי המבקש להגיש לנשיא בית הדין הרבני הגדול בקשה להעביר את הדיון להרכב אחר.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0pt;z-index:251656704" o:allowincell="f" filled="f" stroked="f" strokecolor="lime" strokeweight=".25pt">
            <v:textbox style="mso-next-textbox:#_x0000_s1029" inset="0,0,0,0">
              <w:txbxContent>
                <w:p w:rsidR="00480E30" w:rsidRDefault="00480E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הגבלה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אה בית הדין הרבני כי הדרך הדרושה להביא לקיום פסק הדין היא מתן צו הגבלה, ייתן, בשים לב לנסיבות הענין, צו הגבלה שבו יקבע את הזכויות שיוגבלו.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יתן צו הג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לה במעמד התובע </w:t>
      </w:r>
      <w:r>
        <w:rPr>
          <w:rStyle w:val="default"/>
          <w:rFonts w:cs="FrankRuehl"/>
          <w:rtl/>
        </w:rPr>
        <w:t>בל</w:t>
      </w:r>
      <w:r>
        <w:rPr>
          <w:rStyle w:val="default"/>
          <w:rFonts w:cs="FrankRuehl" w:hint="cs"/>
          <w:rtl/>
        </w:rPr>
        <w:t>בד, ימציא בית הדין הרבני העתק מהצו לנתבע.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0pt;z-index:251657728" o:allowincell="f" filled="f" stroked="f" strokecolor="lime" strokeweight=".25pt">
            <v:textbox style="mso-next-textbox:#_x0000_s1030" inset="0,0,0,0">
              <w:txbxContent>
                <w:p w:rsidR="00480E30" w:rsidRDefault="00480E30" w:rsidP="00E321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על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הגבלה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תן בית הדין הרבני צו הגבלה שפוגע בזכויות המפורטות בסעיף 2 לחוק, כולן או מקצתן, ימסור על כך המזכיר הראשי של בית הדין, מיד לאחר מתן צו ההגבלה, הודעה לגוף או לרשות הנוגע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בדבר (להלן - הרשות), ערוכה לפי טופ</w:t>
      </w:r>
      <w:r>
        <w:rPr>
          <w:rStyle w:val="default"/>
          <w:rFonts w:cs="FrankRuehl"/>
          <w:rtl/>
        </w:rPr>
        <w:t xml:space="preserve">ס 1 </w:t>
      </w:r>
      <w:r>
        <w:rPr>
          <w:rStyle w:val="default"/>
          <w:rFonts w:cs="FrankRuehl" w:hint="cs"/>
          <w:rtl/>
        </w:rPr>
        <w:t>שבתוספת, בצירוף העתק מצו ההגבלה; הודעה כאמור יכול שתימסר גם על גבי סרט מגנטי ובכל מקרה תהיה חתומה ביד המזכיר הראשי של בית הדין; העתק ההודעה יומצא לתובע.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לי לגרוע מהאמור בתקנת משנה (א), נתן בית הדין הרבני צו הגבלה שפוגע בזכויות המפורטות בסעיף 2(1)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ד (3) לחוק, כולן או מקצתן, ימציא הנתבע שנגדו ניתן צו הגבלה את דרכונו, את תעודת המעבר שלו או את רשיון הנהיגה שלו (להלן - תעודה), לפי הענין, לאותו בית דין רבני, מיד ולא יאוחר משבעה ימים לאחר מתן הצו; המזכיר הראשי של בית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הדין ימציא את התעודה לרשות.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20pt;z-index:251658752" o:allowincell="f" filled="f" stroked="f" strokecolor="lime" strokeweight=".25pt">
            <v:textbox style="mso-next-textbox:#_x0000_s1031" inset="0,0,0,0">
              <w:txbxContent>
                <w:p w:rsidR="00480E30" w:rsidRDefault="00480E30" w:rsidP="00E321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ירת דיווח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ית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ות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קיבלה הודעה לפי תקנה 5 תמסור לבית הדין הרבני, בתוך ארבעה עשר ימים, דין וחשבון על ביצוע הפעולות המתחייבות מן הצו, ותמציא את העתק הדין וחשבון לתובע.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0pt;z-index:251659776" o:allowincell="f" filled="f" stroked="f" strokecolor="lime" strokeweight=".25pt">
            <v:textbox style="mso-next-textbox:#_x0000_s1032" inset="0,0,0,0">
              <w:txbxContent>
                <w:p w:rsidR="00480E30" w:rsidRDefault="00480E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יעה נוספת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תן בית הדין הרבני צו ה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בלה, ולא קיים הנתבע את פסק הדין, בתוך שלושים ימים </w:t>
      </w:r>
      <w:r>
        <w:rPr>
          <w:rStyle w:val="default"/>
          <w:rFonts w:cs="FrankRuehl" w:hint="cs"/>
          <w:rtl/>
        </w:rPr>
        <w:lastRenderedPageBreak/>
        <w:t xml:space="preserve">מיום מתן צו ההגבלה, רשאי </w:t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ובע להגיש תביעה נוספת למתן צו הגבלה, ויחולו עליה הוראות תקנות 2 עד 6 (להלן -  התביעה הנוספת).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תביעה הנוספת יצורף העתק הדין וחשבון האמור בתקנה 6.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0pt;z-index:251660800" o:allowincell="f" filled="f" stroked="f" strokecolor="lime" strokeweight=".25pt">
            <v:textbox style="mso-next-textbox:#_x0000_s1033" inset="0,0,0,0">
              <w:txbxContent>
                <w:p w:rsidR="00480E30" w:rsidRDefault="00480E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צו הגבלה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תבע שניתן נגדו צו הגבלה או מי שעלול להיפגע מנתינתו, רשאי להגיש בקשה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כתב לשינוי צו ההגבלה; לבקשה יצורף תצהיר לשם אימות העובדות המשמשות יסוד לבקשה.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הדין הרבני ימציא לתובע את הבקשה לשינוי צו הגבלה.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תובע רשאי להשיב לבקשה בתוך ארבעה עשר ימים מיום שהומצאה לו, או בתוך מועד אחר שקבע בית הדין הרבני.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הדין ה</w:t>
      </w:r>
      <w:r>
        <w:rPr>
          <w:rStyle w:val="default"/>
          <w:rFonts w:cs="FrankRuehl"/>
          <w:rtl/>
        </w:rPr>
        <w:t>רב</w:t>
      </w:r>
      <w:r>
        <w:rPr>
          <w:rStyle w:val="default"/>
          <w:rFonts w:cs="FrankRuehl" w:hint="cs"/>
          <w:rtl/>
        </w:rPr>
        <w:t>ני רשאי לשנות צו הגבלה, ככל שהדבר דרוש לקיום פסק הדין.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ינה בית הדין הרבני צו הגבלה, ימסור על כך המזכיר הראשי של בית הדין, בתוך שבעה ימים, הודעה לרשות, ערוכ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לפי טופס 2 שבתוספת, בצירוף העתק מהחלטת השינוי; העתק ההודעה יומצא לתובע.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ומצאה לרשות ה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>עת שינוי כאמור בתקנת משנה (ה), תמסור לבית הדין הרבני, בתוך ארבעה עשר ימים מיום קבלתה, דין וחשבון על ביצוע הפעולות המתחייבות ממנה, ותמציא את העתק הדין וחשבון לתוב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0pt;z-index:251661824" o:allowincell="f" filled="f" stroked="f" strokecolor="lime" strokeweight=".25pt">
            <v:textbox style="mso-next-textbox:#_x0000_s1034" inset="0,0,0,0">
              <w:txbxContent>
                <w:p w:rsidR="00480E30" w:rsidRDefault="00480E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החלטה של בית דין רבני בענין צו הגבלה או שינויו ניתן לערער בפני בית הדין הרבני ה</w:t>
      </w:r>
      <w:r>
        <w:rPr>
          <w:rStyle w:val="default"/>
          <w:rFonts w:cs="FrankRuehl"/>
          <w:rtl/>
        </w:rPr>
        <w:t>גד</w:t>
      </w:r>
      <w:r>
        <w:rPr>
          <w:rStyle w:val="default"/>
          <w:rFonts w:cs="FrankRuehl" w:hint="cs"/>
          <w:rtl/>
        </w:rPr>
        <w:t>ול, בתוך שלושים ימים מיום מתן ההחלטה, אם ניתנה בפני המערער, או בתוך שלושים ימים מיום שנמסרה לו, אם ניתנה שלא בפניו.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רעור יוגש במסירת שלושה עותקים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כתב הערעור לבית הדין הרבני הגדול, בצירוף מספר עותקים מספיק לשם המצאה למשיבים.</w:t>
      </w:r>
    </w:p>
    <w:p w:rsidR="00480E30" w:rsidRDefault="00480E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תב ערעור יכיל א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הפרטים האמורים בתקנה 2(א), בשינויים המחויבים, ויצורף לו העתק ההחלטה שעליה מערערים.</w:t>
      </w:r>
    </w:p>
    <w:p w:rsidR="00E321D8" w:rsidRDefault="00E321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0E30" w:rsidRPr="00E321D8" w:rsidRDefault="00480E30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9" w:name="med0"/>
      <w:bookmarkEnd w:id="9"/>
      <w:r w:rsidRPr="00E321D8">
        <w:rPr>
          <w:rFonts w:cs="FrankRuehl"/>
          <w:noProof/>
          <w:sz w:val="26"/>
          <w:szCs w:val="26"/>
          <w:rtl/>
        </w:rPr>
        <w:t>תו</w:t>
      </w:r>
      <w:r w:rsidRPr="00E321D8">
        <w:rPr>
          <w:rFonts w:cs="FrankRuehl" w:hint="cs"/>
          <w:noProof/>
          <w:sz w:val="26"/>
          <w:szCs w:val="26"/>
          <w:rtl/>
        </w:rPr>
        <w:t>ספת</w:t>
      </w:r>
    </w:p>
    <w:p w:rsidR="00480E30" w:rsidRPr="00E321D8" w:rsidRDefault="00480E30" w:rsidP="00B31986">
      <w:pPr>
        <w:pStyle w:val="P00"/>
        <w:spacing w:before="72"/>
        <w:ind w:left="0" w:right="1134"/>
        <w:jc w:val="left"/>
        <w:rPr>
          <w:rStyle w:val="default"/>
          <w:rFonts w:cs="David"/>
          <w:sz w:val="22"/>
          <w:szCs w:val="22"/>
          <w:rtl/>
        </w:rPr>
      </w:pPr>
      <w:r w:rsidRPr="00E321D8">
        <w:rPr>
          <w:rStyle w:val="default"/>
          <w:rFonts w:cs="David"/>
          <w:sz w:val="22"/>
          <w:szCs w:val="22"/>
          <w:rtl/>
        </w:rPr>
        <w:t>טו</w:t>
      </w:r>
      <w:r w:rsidRPr="00E321D8">
        <w:rPr>
          <w:rStyle w:val="default"/>
          <w:rFonts w:cs="David" w:hint="cs"/>
          <w:sz w:val="22"/>
          <w:szCs w:val="22"/>
          <w:rtl/>
        </w:rPr>
        <w:t>פס 1</w:t>
      </w:r>
    </w:p>
    <w:p w:rsidR="00480E30" w:rsidRPr="00E321D8" w:rsidRDefault="00480E30" w:rsidP="00B31986">
      <w:pPr>
        <w:pStyle w:val="P00"/>
        <w:spacing w:before="72"/>
        <w:ind w:left="0" w:right="1134"/>
        <w:jc w:val="left"/>
        <w:rPr>
          <w:rStyle w:val="default"/>
          <w:rFonts w:cs="FrankRuehl"/>
          <w:sz w:val="24"/>
          <w:szCs w:val="24"/>
          <w:rtl/>
        </w:rPr>
      </w:pPr>
      <w:r w:rsidRPr="00E321D8">
        <w:rPr>
          <w:rStyle w:val="default"/>
          <w:rFonts w:cs="FrankRuehl"/>
          <w:sz w:val="24"/>
          <w:szCs w:val="24"/>
          <w:rtl/>
        </w:rPr>
        <w:t>(ת</w:t>
      </w:r>
      <w:r w:rsidRPr="00E321D8">
        <w:rPr>
          <w:rStyle w:val="default"/>
          <w:rFonts w:cs="FrankRuehl" w:hint="cs"/>
          <w:sz w:val="24"/>
          <w:szCs w:val="24"/>
          <w:rtl/>
        </w:rPr>
        <w:t>קנה 5(א))</w:t>
      </w:r>
    </w:p>
    <w:p w:rsidR="00480E30" w:rsidRPr="00B31986" w:rsidRDefault="00B31986" w:rsidP="00B31986">
      <w:pPr>
        <w:pStyle w:val="medium2-header"/>
        <w:keepLines w:val="0"/>
        <w:spacing w:before="72"/>
        <w:ind w:left="0" w:right="1134"/>
        <w:jc w:val="left"/>
        <w:rPr>
          <w:rFonts w:cs="FrankRuehl"/>
          <w:b/>
          <w:bCs w:val="0"/>
          <w:noProof/>
          <w:sz w:val="22"/>
          <w:szCs w:val="22"/>
          <w:rtl/>
        </w:rPr>
      </w:pPr>
      <w:bookmarkStart w:id="10" w:name="med1"/>
      <w:bookmarkEnd w:id="10"/>
      <w:r>
        <w:rPr>
          <w:rFonts w:cs="FrankRuehl"/>
          <w:b/>
          <w:bCs w:val="0"/>
          <w:noProof/>
          <w:sz w:val="22"/>
          <w:szCs w:val="22"/>
        </w:rPr>
        <w:t>]</w:t>
      </w:r>
      <w:hyperlink r:id="rId6" w:history="1">
        <w:r w:rsidR="00480E30" w:rsidRPr="00AB3D6A">
          <w:rPr>
            <w:rStyle w:val="Hyperlink"/>
            <w:rFonts w:cs="FrankRuehl"/>
            <w:b/>
            <w:bCs w:val="0"/>
            <w:noProof/>
            <w:sz w:val="22"/>
            <w:szCs w:val="22"/>
            <w:rtl/>
          </w:rPr>
          <w:t>הו</w:t>
        </w:r>
        <w:r w:rsidR="00480E30" w:rsidRPr="00AB3D6A">
          <w:rPr>
            <w:rStyle w:val="Hyperlink"/>
            <w:rFonts w:cs="FrankRuehl" w:hint="cs"/>
            <w:b/>
            <w:bCs w:val="0"/>
            <w:noProof/>
            <w:sz w:val="22"/>
            <w:szCs w:val="22"/>
            <w:rtl/>
          </w:rPr>
          <w:t>דעה על צו הגבלה</w:t>
        </w:r>
      </w:hyperlink>
      <w:r>
        <w:rPr>
          <w:rFonts w:cs="FrankRuehl"/>
          <w:b/>
          <w:bCs w:val="0"/>
          <w:noProof/>
          <w:sz w:val="22"/>
          <w:szCs w:val="22"/>
        </w:rPr>
        <w:t>[</w:t>
      </w:r>
    </w:p>
    <w:p w:rsidR="00480E30" w:rsidRPr="00E321D8" w:rsidRDefault="00480E30" w:rsidP="00E321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0E30" w:rsidRPr="00E321D8" w:rsidRDefault="00480E30">
      <w:pPr>
        <w:pStyle w:val="P00"/>
        <w:spacing w:before="72"/>
        <w:ind w:left="0" w:right="1134"/>
        <w:rPr>
          <w:rStyle w:val="default"/>
          <w:rFonts w:cs="David"/>
          <w:sz w:val="22"/>
          <w:szCs w:val="22"/>
          <w:rtl/>
        </w:rPr>
      </w:pPr>
      <w:r w:rsidRPr="00E321D8">
        <w:rPr>
          <w:rStyle w:val="default"/>
          <w:rFonts w:cs="David"/>
          <w:sz w:val="22"/>
          <w:szCs w:val="22"/>
          <w:rtl/>
        </w:rPr>
        <w:t>טו</w:t>
      </w:r>
      <w:r w:rsidRPr="00E321D8">
        <w:rPr>
          <w:rStyle w:val="default"/>
          <w:rFonts w:cs="David" w:hint="cs"/>
          <w:sz w:val="22"/>
          <w:szCs w:val="22"/>
          <w:rtl/>
        </w:rPr>
        <w:t>פס 2</w:t>
      </w:r>
    </w:p>
    <w:p w:rsidR="00480E30" w:rsidRPr="00E321D8" w:rsidRDefault="00480E30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E321D8">
        <w:rPr>
          <w:rStyle w:val="default"/>
          <w:rFonts w:cs="FrankRuehl"/>
          <w:sz w:val="24"/>
          <w:szCs w:val="24"/>
          <w:rtl/>
        </w:rPr>
        <w:t>(ת</w:t>
      </w:r>
      <w:r w:rsidRPr="00E321D8">
        <w:rPr>
          <w:rStyle w:val="default"/>
          <w:rFonts w:cs="FrankRuehl" w:hint="cs"/>
          <w:sz w:val="24"/>
          <w:szCs w:val="24"/>
          <w:rtl/>
        </w:rPr>
        <w:t>קנה 8(ה))</w:t>
      </w:r>
    </w:p>
    <w:p w:rsidR="00480E30" w:rsidRPr="00B31986" w:rsidRDefault="00B31986" w:rsidP="00B31986">
      <w:pPr>
        <w:pStyle w:val="medium2-header"/>
        <w:keepLines w:val="0"/>
        <w:spacing w:before="72"/>
        <w:ind w:left="0" w:right="1134"/>
        <w:jc w:val="left"/>
        <w:rPr>
          <w:rFonts w:cs="FrankRuehl"/>
          <w:b/>
          <w:bCs w:val="0"/>
          <w:noProof/>
          <w:sz w:val="22"/>
          <w:szCs w:val="22"/>
          <w:rtl/>
        </w:rPr>
      </w:pPr>
      <w:bookmarkStart w:id="11" w:name="med2"/>
      <w:bookmarkEnd w:id="11"/>
      <w:r>
        <w:rPr>
          <w:rFonts w:cs="FrankRuehl"/>
          <w:b/>
          <w:bCs w:val="0"/>
          <w:noProof/>
          <w:sz w:val="22"/>
          <w:szCs w:val="22"/>
        </w:rPr>
        <w:t>]</w:t>
      </w:r>
      <w:hyperlink r:id="rId7" w:history="1">
        <w:r w:rsidR="00480E30" w:rsidRPr="00AB3D6A">
          <w:rPr>
            <w:rStyle w:val="Hyperlink"/>
            <w:rFonts w:cs="FrankRuehl"/>
            <w:b/>
            <w:bCs w:val="0"/>
            <w:noProof/>
            <w:sz w:val="22"/>
            <w:szCs w:val="22"/>
            <w:rtl/>
          </w:rPr>
          <w:t>הו</w:t>
        </w:r>
        <w:r w:rsidR="00480E30" w:rsidRPr="00AB3D6A">
          <w:rPr>
            <w:rStyle w:val="Hyperlink"/>
            <w:rFonts w:cs="FrankRuehl" w:hint="cs"/>
            <w:b/>
            <w:bCs w:val="0"/>
            <w:noProof/>
            <w:sz w:val="22"/>
            <w:szCs w:val="22"/>
            <w:rtl/>
          </w:rPr>
          <w:t>דעה על שינוי צו הגבלה</w:t>
        </w:r>
      </w:hyperlink>
      <w:r>
        <w:rPr>
          <w:rFonts w:cs="FrankRuehl"/>
          <w:b/>
          <w:bCs w:val="0"/>
          <w:noProof/>
          <w:sz w:val="22"/>
          <w:szCs w:val="22"/>
        </w:rPr>
        <w:t>[</w:t>
      </w:r>
    </w:p>
    <w:p w:rsidR="00480E30" w:rsidRPr="00E321D8" w:rsidRDefault="00480E30" w:rsidP="00E321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0E30" w:rsidRPr="00E321D8" w:rsidRDefault="00480E30" w:rsidP="00E321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0E30" w:rsidRPr="00E321D8" w:rsidRDefault="00480E30" w:rsidP="000229A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6"/>
          <w:szCs w:val="26"/>
          <w:rtl/>
        </w:rPr>
      </w:pPr>
      <w:r w:rsidRPr="00E321D8">
        <w:rPr>
          <w:rFonts w:cs="FrankRuehl" w:hint="cs"/>
          <w:sz w:val="26"/>
          <w:szCs w:val="26"/>
          <w:rtl/>
        </w:rPr>
        <w:t>ה</w:t>
      </w:r>
      <w:r w:rsidRPr="00E321D8">
        <w:rPr>
          <w:rFonts w:cs="FrankRuehl"/>
          <w:sz w:val="26"/>
          <w:szCs w:val="26"/>
          <w:rtl/>
        </w:rPr>
        <w:t xml:space="preserve">' </w:t>
      </w:r>
      <w:r w:rsidRPr="00E321D8">
        <w:rPr>
          <w:rFonts w:cs="FrankRuehl" w:hint="cs"/>
          <w:sz w:val="26"/>
          <w:szCs w:val="26"/>
          <w:rtl/>
        </w:rPr>
        <w:t>בטבת תשנ"ט (24 בדצמבר 1998)</w:t>
      </w:r>
      <w:r w:rsidRPr="00E321D8">
        <w:rPr>
          <w:rFonts w:cs="FrankRuehl"/>
          <w:sz w:val="26"/>
          <w:szCs w:val="26"/>
          <w:rtl/>
        </w:rPr>
        <w:tab/>
        <w:t>א</w:t>
      </w:r>
      <w:r w:rsidRPr="00E321D8">
        <w:rPr>
          <w:rFonts w:cs="FrankRuehl" w:hint="cs"/>
          <w:sz w:val="26"/>
          <w:szCs w:val="26"/>
          <w:rtl/>
        </w:rPr>
        <w:t>ליהו סויסה</w:t>
      </w:r>
    </w:p>
    <w:p w:rsidR="00480E30" w:rsidRDefault="00480E30" w:rsidP="000229A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שר לעניני דתות</w:t>
      </w:r>
    </w:p>
    <w:p w:rsidR="00480E30" w:rsidRPr="00E321D8" w:rsidRDefault="00480E30" w:rsidP="00E321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0E30" w:rsidRPr="00E321D8" w:rsidRDefault="00480E30" w:rsidP="00E321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0E30" w:rsidRPr="00E321D8" w:rsidRDefault="00480E30" w:rsidP="00E321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0E30" w:rsidRPr="00E321D8" w:rsidRDefault="00480E30" w:rsidP="00E321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80E30" w:rsidRPr="00E321D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5F5F" w:rsidRDefault="000C5F5F">
      <w:r>
        <w:separator/>
      </w:r>
    </w:p>
  </w:endnote>
  <w:endnote w:type="continuationSeparator" w:id="0">
    <w:p w:rsidR="000C5F5F" w:rsidRDefault="000C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0E30" w:rsidRDefault="00480E3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80E30" w:rsidRDefault="00480E3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80E30" w:rsidRDefault="00480E3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321D8">
      <w:rPr>
        <w:rFonts w:cs="TopType Jerushalmi"/>
        <w:noProof/>
        <w:color w:val="000000"/>
        <w:sz w:val="14"/>
        <w:szCs w:val="14"/>
      </w:rPr>
      <w:t>C:\Yael\hakika\Revadim\317_008.doc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0E30" w:rsidRDefault="00480E3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B3D6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480E30" w:rsidRDefault="00480E3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80E30" w:rsidRDefault="00480E3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321D8">
      <w:rPr>
        <w:rFonts w:cs="TopType Jerushalmi"/>
        <w:noProof/>
        <w:color w:val="000000"/>
        <w:sz w:val="14"/>
        <w:szCs w:val="14"/>
      </w:rPr>
      <w:t>C:\Yael\hakika\Revadim\317_008.doc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5F5F" w:rsidRDefault="000C5F5F" w:rsidP="00E321D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C5F5F" w:rsidRDefault="000C5F5F">
      <w:r>
        <w:continuationSeparator/>
      </w:r>
    </w:p>
  </w:footnote>
  <w:footnote w:id="1">
    <w:p w:rsidR="00E321D8" w:rsidRPr="00E321D8" w:rsidRDefault="00E321D8" w:rsidP="00E321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321D8">
        <w:rPr>
          <w:rFonts w:cs="FrankRuehl"/>
          <w:rtl/>
        </w:rPr>
        <w:t xml:space="preserve">* </w:t>
      </w:r>
      <w:r>
        <w:rPr>
          <w:rFonts w:cs="FrankRuehl"/>
          <w:rtl/>
        </w:rPr>
        <w:t>פורס</w:t>
      </w:r>
      <w:r>
        <w:rPr>
          <w:rFonts w:cs="FrankRuehl" w:hint="cs"/>
          <w:rtl/>
        </w:rPr>
        <w:t xml:space="preserve">מו </w:t>
      </w:r>
      <w:hyperlink r:id="rId1" w:history="1">
        <w:r w:rsidRPr="00653263">
          <w:rPr>
            <w:rStyle w:val="Hyperlink"/>
            <w:rFonts w:cs="FrankRuehl" w:hint="cs"/>
            <w:rtl/>
          </w:rPr>
          <w:t>ק"ת תשנ"ט מס' 5953</w:t>
        </w:r>
      </w:hyperlink>
      <w:r>
        <w:rPr>
          <w:rFonts w:cs="FrankRuehl" w:hint="cs"/>
          <w:rtl/>
        </w:rPr>
        <w:t xml:space="preserve"> מיום 22.2.1999 עמ' 376.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0E30" w:rsidRDefault="00480E3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דין רבניים (קיום פסקי דין של גירושין), תשנ"ט- 1999</w:t>
    </w:r>
  </w:p>
  <w:p w:rsidR="00480E30" w:rsidRDefault="00480E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80E30" w:rsidRDefault="00480E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0E30" w:rsidRDefault="00480E30" w:rsidP="00E321D8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דין רבניים (קיום פסקי דין של גירושין), תשנ"ט-1999</w:t>
    </w:r>
  </w:p>
  <w:p w:rsidR="00480E30" w:rsidRDefault="00480E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80E30" w:rsidRDefault="00480E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3263"/>
    <w:rsid w:val="000229AA"/>
    <w:rsid w:val="000C5F5F"/>
    <w:rsid w:val="0034387A"/>
    <w:rsid w:val="00480E30"/>
    <w:rsid w:val="004B48EA"/>
    <w:rsid w:val="004C383F"/>
    <w:rsid w:val="00653263"/>
    <w:rsid w:val="00855726"/>
    <w:rsid w:val="00A53789"/>
    <w:rsid w:val="00AB3D6A"/>
    <w:rsid w:val="00B31986"/>
    <w:rsid w:val="00D678D9"/>
    <w:rsid w:val="00DC2966"/>
    <w:rsid w:val="00E012AC"/>
    <w:rsid w:val="00E3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7E76B0F-4D9B-4C7B-85C9-CFF86F82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21D8"/>
    <w:rPr>
      <w:sz w:val="20"/>
      <w:szCs w:val="20"/>
    </w:rPr>
  </w:style>
  <w:style w:type="character" w:styleId="a6">
    <w:name w:val="footnote reference"/>
    <w:basedOn w:val="a0"/>
    <w:semiHidden/>
    <w:rsid w:val="00E32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TFASIM/&#1496;&#1508;&#1505;&#1497;&#1501;%20&#1502;&#1513;&#1508;&#1496;&#1497;&#1497;&#1501;/&#1489;&#1514;&#1497;-&#1502;&#1513;&#1508;&#1496;/&#1489;&#1514;&#1497;%20&#1491;&#1497;&#1503;%20&#1512;&#1489;&#1504;&#1497;&#1497;&#1501;/&#1510;&#1493;%20&#1492;&#1490;&#1489;&#1500;&#1492;%20&#1493;&#1510;&#1493;%20&#1492;&#1490;&#1504;&#1492;/&#1492;&#1493;&#1491;&#1506;&#1492;%20&#1506;&#1500;%20&#1513;&#1497;&#1504;&#1493;&#1497;%20&#1510;&#1493;%20&#1492;&#1490;&#1489;&#1500;&#1492;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TFASIM/&#1496;&#1508;&#1505;&#1497;&#1501;%20&#1502;&#1513;&#1508;&#1496;&#1497;&#1497;&#1501;/&#1489;&#1514;&#1497;-&#1502;&#1513;&#1508;&#1496;/&#1489;&#1514;&#1497;%20&#1491;&#1497;&#1503;%20&#1512;&#1489;&#1504;&#1497;&#1497;&#1501;/&#1510;&#1493;%20&#1492;&#1490;&#1489;&#1500;&#1492;%20&#1493;&#1510;&#1493;%20&#1492;&#1490;&#1504;&#1492;/&#1492;&#1493;&#1491;&#1506;&#1492;%20&#1506;&#1500;%20&#1510;&#1493;%20&#1492;&#1490;&#1489;&#1500;&#1492;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317</vt:lpstr>
    </vt:vector>
  </TitlesOfParts>
  <Company/>
  <LinksUpToDate>false</LinksUpToDate>
  <CharactersWithSpaces>5779</CharactersWithSpaces>
  <SharedDoc>false</SharedDoc>
  <HLinks>
    <vt:vector size="90" baseType="variant">
      <vt:variant>
        <vt:i4>8061043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http://www.nevo.co.il/TFASIM/טפסים משפטיים/בתי-משפט/בתי דין רבניים/צו הגבלה וצו הגנה/הודעה על שינוי צו הגבלה.DOC</vt:lpwstr>
      </vt:variant>
      <vt:variant>
        <vt:lpwstr/>
      </vt:variant>
      <vt:variant>
        <vt:i4>5703075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http://www.nevo.co.il/TFASIM/טפסים משפטיים/בתי-משפט/בתי דין רבניים/צו הגבלה וצו הגנה/הודעה על צו הגבלה.DOC</vt:lpwstr>
      </vt:variant>
      <vt:variant>
        <vt:lpwstr/>
      </vt:variant>
      <vt:variant>
        <vt:i4>5701641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5505033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7929858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317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0317</vt:lpwstr>
  </property>
  <property fmtid="{D5CDD505-2E9C-101B-9397-08002B2CF9AE}" pid="3" name="CHNAME">
    <vt:lpwstr>נישואין וגירושין</vt:lpwstr>
  </property>
  <property fmtid="{D5CDD505-2E9C-101B-9397-08002B2CF9AE}" pid="4" name="LAWNAME">
    <vt:lpwstr>תקנות בתי דין רבניים (קיום פסקי דין של גירושין), תשנ"ט-1999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MEKOR_NAME1">
    <vt:lpwstr>חוק בתי דין רבניים (קיום פסקי דין של גירושין)</vt:lpwstr>
  </property>
  <property fmtid="{D5CDD505-2E9C-101B-9397-08002B2CF9AE}" pid="8" name="MEKOR_SAIF1">
    <vt:lpwstr>9X</vt:lpwstr>
  </property>
  <property fmtid="{D5CDD505-2E9C-101B-9397-08002B2CF9AE}" pid="9" name="NOSE11">
    <vt:lpwstr>מעמד אישי ומשפחה</vt:lpwstr>
  </property>
  <property fmtid="{D5CDD505-2E9C-101B-9397-08002B2CF9AE}" pid="10" name="NOSE21">
    <vt:lpwstr>נישואין וגירושין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מעמד אישי ומשפחה</vt:lpwstr>
  </property>
  <property fmtid="{D5CDD505-2E9C-101B-9397-08002B2CF9AE}" pid="14" name="NOSE22">
    <vt:lpwstr>בתי דין רבניים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בתי משפט וסדרי דין</vt:lpwstr>
  </property>
  <property fmtid="{D5CDD505-2E9C-101B-9397-08002B2CF9AE}" pid="18" name="NOSE23">
    <vt:lpwstr>בתי משפט ובתי דין</vt:lpwstr>
  </property>
  <property fmtid="{D5CDD505-2E9C-101B-9397-08002B2CF9AE}" pid="19" name="NOSE33">
    <vt:lpwstr>בתי דין רבניים 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