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7FFA" w:rsidRDefault="00397FF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בתי משפט לענ</w:t>
      </w:r>
      <w:r w:rsidR="009F3ED0">
        <w:rPr>
          <w:rFonts w:cs="FrankRuehl" w:hint="cs"/>
          <w:sz w:val="32"/>
          <w:rtl/>
        </w:rPr>
        <w:t>י</w:t>
      </w:r>
      <w:r>
        <w:rPr>
          <w:rFonts w:cs="FrankRuehl"/>
          <w:sz w:val="32"/>
          <w:rtl/>
        </w:rPr>
        <w:t>ינים מינהליים (סדרי דין)</w:t>
      </w:r>
      <w:r w:rsidR="009F3ED0">
        <w:rPr>
          <w:rFonts w:cs="FrankRuehl" w:hint="cs"/>
          <w:sz w:val="32"/>
          <w:rtl/>
        </w:rPr>
        <w:t xml:space="preserve"> (הוראת שעה)</w:t>
      </w:r>
      <w:r>
        <w:rPr>
          <w:rFonts w:cs="FrankRuehl"/>
          <w:sz w:val="32"/>
          <w:rtl/>
        </w:rPr>
        <w:t>, תש</w:t>
      </w:r>
      <w:r w:rsidR="009F3ED0">
        <w:rPr>
          <w:rFonts w:cs="FrankRuehl" w:hint="cs"/>
          <w:sz w:val="32"/>
          <w:rtl/>
        </w:rPr>
        <w:t>פ</w:t>
      </w:r>
      <w:r>
        <w:rPr>
          <w:rFonts w:cs="FrankRuehl"/>
          <w:sz w:val="32"/>
          <w:rtl/>
        </w:rPr>
        <w:t>"א-20</w:t>
      </w:r>
      <w:r w:rsidR="009F3ED0">
        <w:rPr>
          <w:rFonts w:cs="FrankRuehl" w:hint="cs"/>
          <w:sz w:val="32"/>
          <w:rtl/>
        </w:rPr>
        <w:t>2</w:t>
      </w:r>
      <w:r>
        <w:rPr>
          <w:rFonts w:cs="FrankRuehl"/>
          <w:sz w:val="32"/>
          <w:rtl/>
        </w:rPr>
        <w:t>0</w:t>
      </w:r>
    </w:p>
    <w:p w:rsidR="005746DC" w:rsidRDefault="005746DC" w:rsidP="005746DC">
      <w:pPr>
        <w:spacing w:line="320" w:lineRule="auto"/>
        <w:jc w:val="left"/>
        <w:rPr>
          <w:rFonts w:hint="cs"/>
          <w:rtl/>
        </w:rPr>
      </w:pPr>
    </w:p>
    <w:p w:rsidR="00E7163A" w:rsidRDefault="00E7163A" w:rsidP="005746DC">
      <w:pPr>
        <w:spacing w:line="320" w:lineRule="auto"/>
        <w:jc w:val="left"/>
        <w:rPr>
          <w:rFonts w:hint="cs"/>
          <w:rtl/>
        </w:rPr>
      </w:pPr>
    </w:p>
    <w:p w:rsidR="005746DC" w:rsidRDefault="005746DC" w:rsidP="005746DC">
      <w:pPr>
        <w:spacing w:line="320" w:lineRule="auto"/>
        <w:jc w:val="left"/>
        <w:rPr>
          <w:rFonts w:cs="FrankRuehl"/>
          <w:szCs w:val="26"/>
          <w:rtl/>
        </w:rPr>
      </w:pPr>
      <w:r w:rsidRPr="005746DC">
        <w:rPr>
          <w:rFonts w:cs="Miriam"/>
          <w:szCs w:val="22"/>
          <w:rtl/>
        </w:rPr>
        <w:t>רשויות ומשפט מנהלי</w:t>
      </w:r>
      <w:r w:rsidRPr="005746DC">
        <w:rPr>
          <w:rFonts w:cs="FrankRuehl"/>
          <w:szCs w:val="26"/>
          <w:rtl/>
        </w:rPr>
        <w:t xml:space="preserve"> – בימ"ש מינהליים – סדר דין</w:t>
      </w:r>
    </w:p>
    <w:p w:rsidR="005746DC" w:rsidRDefault="005746DC" w:rsidP="005746DC">
      <w:pPr>
        <w:spacing w:line="320" w:lineRule="auto"/>
        <w:jc w:val="left"/>
        <w:rPr>
          <w:rFonts w:cs="FrankRuehl"/>
          <w:szCs w:val="26"/>
          <w:rtl/>
        </w:rPr>
      </w:pPr>
      <w:r w:rsidRPr="005746DC">
        <w:rPr>
          <w:rFonts w:cs="Miriam"/>
          <w:szCs w:val="22"/>
          <w:rtl/>
        </w:rPr>
        <w:t>בתי משפט וסדרי דין</w:t>
      </w:r>
      <w:r w:rsidRPr="005746DC">
        <w:rPr>
          <w:rFonts w:cs="FrankRuehl"/>
          <w:szCs w:val="26"/>
          <w:rtl/>
        </w:rPr>
        <w:t xml:space="preserve"> – בתי משפט ובתי דין – בימ"ש מינהליים – סדר דין</w:t>
      </w:r>
    </w:p>
    <w:p w:rsidR="005746DC" w:rsidRPr="005746DC" w:rsidRDefault="005746DC" w:rsidP="005746DC">
      <w:pPr>
        <w:spacing w:line="320" w:lineRule="auto"/>
        <w:jc w:val="left"/>
        <w:rPr>
          <w:rFonts w:cs="Miriam"/>
          <w:szCs w:val="22"/>
          <w:rtl/>
        </w:rPr>
      </w:pPr>
      <w:r w:rsidRPr="005746DC">
        <w:rPr>
          <w:rFonts w:cs="Miriam"/>
          <w:szCs w:val="22"/>
          <w:rtl/>
        </w:rPr>
        <w:t>בתי משפט וסדרי דין</w:t>
      </w:r>
      <w:r w:rsidRPr="005746DC">
        <w:rPr>
          <w:rFonts w:cs="FrankRuehl"/>
          <w:szCs w:val="26"/>
          <w:rtl/>
        </w:rPr>
        <w:t xml:space="preserve"> – סדר דין אזרחי</w:t>
      </w:r>
    </w:p>
    <w:p w:rsidR="00397FFA" w:rsidRDefault="00397FF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A047A" w:rsidRPr="004A047A" w:rsidTr="004A047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A047A" w:rsidRPr="004A047A" w:rsidRDefault="004A047A" w:rsidP="004A04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A047A" w:rsidRPr="004A047A" w:rsidRDefault="004A047A" w:rsidP="004A04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</w:t>
            </w:r>
          </w:p>
        </w:tc>
        <w:tc>
          <w:tcPr>
            <w:tcW w:w="567" w:type="dxa"/>
          </w:tcPr>
          <w:p w:rsidR="004A047A" w:rsidRPr="004A047A" w:rsidRDefault="004A047A" w:rsidP="004A047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" w:history="1">
              <w:r w:rsidRPr="004A047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A047A" w:rsidRPr="004A047A" w:rsidRDefault="004A047A" w:rsidP="004A047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397FFA" w:rsidRDefault="00397FFA">
      <w:pPr>
        <w:pStyle w:val="big-header"/>
        <w:ind w:left="0" w:right="1134"/>
        <w:rPr>
          <w:rFonts w:cs="FrankRuehl"/>
          <w:sz w:val="32"/>
          <w:rtl/>
        </w:rPr>
      </w:pPr>
    </w:p>
    <w:p w:rsidR="00397FFA" w:rsidRDefault="00397FFA" w:rsidP="005746D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9F3ED0">
        <w:rPr>
          <w:rFonts w:cs="FrankRuehl"/>
          <w:sz w:val="32"/>
          <w:rtl/>
        </w:rPr>
        <w:lastRenderedPageBreak/>
        <w:t>תקנות בתי משפט לענ</w:t>
      </w:r>
      <w:r w:rsidR="009F3ED0">
        <w:rPr>
          <w:rFonts w:cs="FrankRuehl" w:hint="cs"/>
          <w:sz w:val="32"/>
          <w:rtl/>
        </w:rPr>
        <w:t>י</w:t>
      </w:r>
      <w:r w:rsidR="009F3ED0">
        <w:rPr>
          <w:rFonts w:cs="FrankRuehl"/>
          <w:sz w:val="32"/>
          <w:rtl/>
        </w:rPr>
        <w:t>ינים מינהליים (סדרי דין)</w:t>
      </w:r>
      <w:r w:rsidR="009F3ED0">
        <w:rPr>
          <w:rFonts w:cs="FrankRuehl" w:hint="cs"/>
          <w:sz w:val="32"/>
          <w:rtl/>
        </w:rPr>
        <w:t xml:space="preserve"> (הוראת שעה)</w:t>
      </w:r>
      <w:r w:rsidR="009F3ED0">
        <w:rPr>
          <w:rFonts w:cs="FrankRuehl"/>
          <w:sz w:val="32"/>
          <w:rtl/>
        </w:rPr>
        <w:t>, תש</w:t>
      </w:r>
      <w:r w:rsidR="009F3ED0">
        <w:rPr>
          <w:rFonts w:cs="FrankRuehl" w:hint="cs"/>
          <w:sz w:val="32"/>
          <w:rtl/>
        </w:rPr>
        <w:t>פ</w:t>
      </w:r>
      <w:r w:rsidR="009F3ED0">
        <w:rPr>
          <w:rFonts w:cs="FrankRuehl"/>
          <w:sz w:val="32"/>
          <w:rtl/>
        </w:rPr>
        <w:t>"א-20</w:t>
      </w:r>
      <w:r w:rsidR="009F3ED0">
        <w:rPr>
          <w:rFonts w:cs="FrankRuehl" w:hint="cs"/>
          <w:sz w:val="32"/>
          <w:rtl/>
        </w:rPr>
        <w:t>2</w:t>
      </w:r>
      <w:r w:rsidR="009F3ED0">
        <w:rPr>
          <w:rFonts w:cs="FrankRuehl"/>
          <w:sz w:val="32"/>
          <w:rtl/>
        </w:rPr>
        <w:t>0</w:t>
      </w:r>
      <w:r>
        <w:rPr>
          <w:rStyle w:val="default"/>
          <w:rtl/>
        </w:rPr>
        <w:footnoteReference w:customMarkFollows="1" w:id="1"/>
        <w:t>*</w:t>
      </w:r>
    </w:p>
    <w:p w:rsidR="00397FFA" w:rsidRDefault="00397F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13</w:t>
      </w:r>
      <w:r w:rsidR="009F3ED0"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 xml:space="preserve"> לחוק בתי משפט לענ</w:t>
      </w:r>
      <w:r w:rsidR="009F3ED0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ינים מינהליים, </w:t>
      </w:r>
      <w:r w:rsidR="009F3ED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תש"ס-2000, אני מתקין תקנות אלה:</w:t>
      </w:r>
    </w:p>
    <w:p w:rsidR="009F3ED0" w:rsidRDefault="00397FFA" w:rsidP="009F3E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7" style="position:absolute;left:0;text-align:left;margin-left:464.5pt;margin-top:8.05pt;width:75.05pt;height:10pt;z-index:251657728" o:allowincell="f" filled="f" stroked="f" strokecolor="lime" strokeweight=".25pt">
            <v:textbox inset="0,0,0,0">
              <w:txbxContent>
                <w:p w:rsidR="00397FFA" w:rsidRDefault="009F3E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9F3ED0">
        <w:rPr>
          <w:rStyle w:val="default"/>
          <w:rFonts w:cs="FrankRuehl" w:hint="cs"/>
          <w:rtl/>
        </w:rPr>
        <w:t xml:space="preserve">לגבי ערעור מינהלי על החלטה סופית של ועדת הערר לפי סעיף 12(ג)(2) לחוק מענק לעידוד תעסוקה (הוראת שעה </w:t>
      </w:r>
      <w:r w:rsidR="009F3ED0">
        <w:rPr>
          <w:rStyle w:val="default"/>
          <w:rFonts w:cs="FrankRuehl"/>
          <w:rtl/>
        </w:rPr>
        <w:t>–</w:t>
      </w:r>
      <w:r w:rsidR="009F3ED0">
        <w:rPr>
          <w:rStyle w:val="default"/>
          <w:rFonts w:cs="FrankRuehl" w:hint="cs"/>
          <w:rtl/>
        </w:rPr>
        <w:t xml:space="preserve"> נגיף הקורונה החדש), התש"ף-2020, או של ועדת הערר לפי סעיף 21(ה)(2) לחוק התכנית לסיוע כלכלי (נגיף הקורונה החדש) (הוראת שעה), התש"ף-2020, לפי העניין, יראו כאילו בתקנה 22(א) לתקנות בתי משפט לעניינים מינהליים, התשס"א-2000, במקום "לבית המשפט שבאזור שיפוטו מצוי מקום מושבו של בית הדין שעל החלטתו מוגש הערעור" יבוא "לבית המשפט שבאזור שיפוטו נמצא מקום העסק העיקרי שבעניינו הוגש הערעור".</w:t>
      </w:r>
    </w:p>
    <w:p w:rsidR="009F3ED0" w:rsidRDefault="009F3E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3ED0" w:rsidRDefault="009F3E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97FFA" w:rsidRDefault="009F3ED0" w:rsidP="005C75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ז' בחשוון התשפ"א (25 באוקטובר 2020</w:t>
      </w:r>
      <w:r w:rsidR="00397FFA">
        <w:rPr>
          <w:rFonts w:cs="FrankRuehl" w:hint="cs"/>
          <w:sz w:val="26"/>
          <w:szCs w:val="26"/>
          <w:rtl/>
        </w:rPr>
        <w:t>)</w:t>
      </w:r>
      <w:r w:rsidR="00397FFA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אבי ניסנקורן</w:t>
      </w:r>
    </w:p>
    <w:p w:rsidR="00397FFA" w:rsidRDefault="00397FFA" w:rsidP="005C7552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9F3ED0" w:rsidRDefault="009F3E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F3ED0" w:rsidRDefault="009F3E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7FFA" w:rsidRDefault="00397FF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4A047A" w:rsidRDefault="004A04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047A" w:rsidRDefault="004A047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4A047A" w:rsidRDefault="004A047A" w:rsidP="004A04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8C1701" w:rsidRPr="004A047A" w:rsidRDefault="008C1701" w:rsidP="004A047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C1701" w:rsidRPr="004A047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F3E" w:rsidRDefault="00631F3E">
      <w:r>
        <w:separator/>
      </w:r>
    </w:p>
  </w:endnote>
  <w:endnote w:type="continuationSeparator" w:id="0">
    <w:p w:rsidR="00631F3E" w:rsidRDefault="0063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FFA" w:rsidRDefault="00397F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97FFA" w:rsidRDefault="00397F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97FFA" w:rsidRDefault="00397F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lang w:val="pl-PL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0E11" w:rsidRPr="00380E11">
      <w:rPr>
        <w:rFonts w:cs="TopType Jerushalmi"/>
        <w:noProof/>
        <w:color w:val="000000"/>
        <w:sz w:val="14"/>
        <w:szCs w:val="14"/>
        <w:lang w:val="pl-PL"/>
      </w:rPr>
      <w:t>Z:\000-law\yael\2015\2015-02-22\tav\054m1_003.doc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FFA" w:rsidRDefault="00397FF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047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97FFA" w:rsidRDefault="00397FF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397FFA" w:rsidRDefault="00397FF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lang w:val="pl-PL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80E11" w:rsidRPr="00380E11">
      <w:rPr>
        <w:rFonts w:cs="TopType Jerushalmi"/>
        <w:noProof/>
        <w:color w:val="000000"/>
        <w:sz w:val="14"/>
        <w:szCs w:val="14"/>
        <w:lang w:val="pl-PL"/>
      </w:rPr>
      <w:t>Z:\000-law\yael\2015\2015-02-22\tav\054m1_003.doc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F3E" w:rsidRDefault="00631F3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31F3E" w:rsidRDefault="00631F3E">
      <w:pPr>
        <w:spacing w:before="60" w:line="240" w:lineRule="auto"/>
        <w:ind w:right="1134"/>
      </w:pPr>
      <w:r>
        <w:separator/>
      </w:r>
    </w:p>
  </w:footnote>
  <w:footnote w:id="1">
    <w:p w:rsidR="000D4AC5" w:rsidRDefault="00397FFA" w:rsidP="000D4A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</w:t>
      </w:r>
      <w:r>
        <w:rPr>
          <w:rFonts w:cs="FrankRuehl"/>
          <w:rtl/>
        </w:rPr>
        <w:t xml:space="preserve"> </w:t>
      </w:r>
      <w:hyperlink r:id="rId1" w:history="1">
        <w:r w:rsidRPr="000D4AC5">
          <w:rPr>
            <w:rStyle w:val="Hyperlink"/>
            <w:rFonts w:cs="FrankRuehl"/>
            <w:rtl/>
          </w:rPr>
          <w:t>ק</w:t>
        </w:r>
        <w:r w:rsidRPr="000D4AC5">
          <w:rPr>
            <w:rStyle w:val="Hyperlink"/>
            <w:rFonts w:cs="FrankRuehl" w:hint="cs"/>
            <w:rtl/>
          </w:rPr>
          <w:t>"ת תש</w:t>
        </w:r>
        <w:r w:rsidR="009F3ED0" w:rsidRPr="000D4AC5">
          <w:rPr>
            <w:rStyle w:val="Hyperlink"/>
            <w:rFonts w:cs="FrankRuehl" w:hint="cs"/>
            <w:rtl/>
          </w:rPr>
          <w:t>פ</w:t>
        </w:r>
        <w:r w:rsidRPr="000D4AC5">
          <w:rPr>
            <w:rStyle w:val="Hyperlink"/>
            <w:rFonts w:cs="FrankRuehl" w:hint="cs"/>
            <w:rtl/>
          </w:rPr>
          <w:t xml:space="preserve">"א מס' </w:t>
        </w:r>
        <w:r w:rsidR="009F3ED0" w:rsidRPr="000D4AC5">
          <w:rPr>
            <w:rStyle w:val="Hyperlink"/>
            <w:rFonts w:cs="FrankRuehl" w:hint="cs"/>
            <w:rtl/>
          </w:rPr>
          <w:t>8855</w:t>
        </w:r>
      </w:hyperlink>
      <w:r>
        <w:rPr>
          <w:rFonts w:cs="FrankRuehl" w:hint="cs"/>
          <w:rtl/>
        </w:rPr>
        <w:t xml:space="preserve"> מיום </w:t>
      </w:r>
      <w:r w:rsidR="009F3ED0">
        <w:rPr>
          <w:rFonts w:cs="FrankRuehl" w:hint="cs"/>
          <w:rtl/>
        </w:rPr>
        <w:t>28.10.2020</w:t>
      </w:r>
      <w:r>
        <w:rPr>
          <w:rFonts w:cs="FrankRuehl" w:hint="cs"/>
          <w:rtl/>
        </w:rPr>
        <w:t xml:space="preserve"> עמ' </w:t>
      </w:r>
      <w:r w:rsidR="009F3ED0">
        <w:rPr>
          <w:rFonts w:cs="FrankRuehl" w:hint="cs"/>
          <w:rtl/>
        </w:rPr>
        <w:t>280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FFA" w:rsidRDefault="00397FF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משפט לענינים מינהליים (סדרי דין), תשס"א- 2000</w:t>
    </w:r>
  </w:p>
  <w:p w:rsidR="00397FFA" w:rsidRDefault="00397F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7FFA" w:rsidRDefault="00397F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7FFA" w:rsidRDefault="00397FF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בתי משפט לעני</w:t>
    </w:r>
    <w:r w:rsidR="009F3ED0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/>
        <w:color w:val="000000"/>
        <w:sz w:val="28"/>
        <w:szCs w:val="28"/>
        <w:rtl/>
      </w:rPr>
      <w:t>נים מינהליים (סדרי דין)</w:t>
    </w:r>
    <w:r w:rsidR="009F3ED0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/>
        <w:color w:val="000000"/>
        <w:sz w:val="28"/>
        <w:szCs w:val="28"/>
        <w:rtl/>
      </w:rPr>
      <w:t xml:space="preserve">, </w:t>
    </w:r>
    <w:r w:rsidR="009F3ED0">
      <w:rPr>
        <w:rFonts w:hAnsi="FrankRuehl" w:cs="FrankRuehl" w:hint="cs"/>
        <w:color w:val="000000"/>
        <w:sz w:val="28"/>
        <w:szCs w:val="28"/>
        <w:rtl/>
      </w:rPr>
      <w:t>תשפ"א-2020</w:t>
    </w:r>
  </w:p>
  <w:p w:rsidR="00397FFA" w:rsidRDefault="00397F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97FFA" w:rsidRDefault="00397FF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4A3"/>
    <w:rsid w:val="00005C17"/>
    <w:rsid w:val="000063C5"/>
    <w:rsid w:val="00060921"/>
    <w:rsid w:val="00065D8A"/>
    <w:rsid w:val="000709F6"/>
    <w:rsid w:val="00086AFD"/>
    <w:rsid w:val="00092DD3"/>
    <w:rsid w:val="000B6B0A"/>
    <w:rsid w:val="000D4AC5"/>
    <w:rsid w:val="000E60F2"/>
    <w:rsid w:val="00166959"/>
    <w:rsid w:val="002107DE"/>
    <w:rsid w:val="00232287"/>
    <w:rsid w:val="00245E1D"/>
    <w:rsid w:val="0027561A"/>
    <w:rsid w:val="002855E4"/>
    <w:rsid w:val="002858C4"/>
    <w:rsid w:val="002C4732"/>
    <w:rsid w:val="002F56D9"/>
    <w:rsid w:val="0030014C"/>
    <w:rsid w:val="003334DC"/>
    <w:rsid w:val="00343E78"/>
    <w:rsid w:val="00380E11"/>
    <w:rsid w:val="00397FFA"/>
    <w:rsid w:val="003D46A7"/>
    <w:rsid w:val="003F07DE"/>
    <w:rsid w:val="003F460C"/>
    <w:rsid w:val="004A047A"/>
    <w:rsid w:val="004B0B17"/>
    <w:rsid w:val="00500C80"/>
    <w:rsid w:val="005114A3"/>
    <w:rsid w:val="00514ABF"/>
    <w:rsid w:val="005551FB"/>
    <w:rsid w:val="005746DC"/>
    <w:rsid w:val="005B239C"/>
    <w:rsid w:val="005C7552"/>
    <w:rsid w:val="005D6EA4"/>
    <w:rsid w:val="005F5D1D"/>
    <w:rsid w:val="006144D0"/>
    <w:rsid w:val="00631F3E"/>
    <w:rsid w:val="00662B71"/>
    <w:rsid w:val="006666E2"/>
    <w:rsid w:val="006C69B0"/>
    <w:rsid w:val="006F4F92"/>
    <w:rsid w:val="00723E01"/>
    <w:rsid w:val="00747A0E"/>
    <w:rsid w:val="00756D9E"/>
    <w:rsid w:val="00763E23"/>
    <w:rsid w:val="00772360"/>
    <w:rsid w:val="00881C0E"/>
    <w:rsid w:val="008A0F0A"/>
    <w:rsid w:val="008A682F"/>
    <w:rsid w:val="008B5A8A"/>
    <w:rsid w:val="008C1701"/>
    <w:rsid w:val="008D62CA"/>
    <w:rsid w:val="0095770E"/>
    <w:rsid w:val="00985A77"/>
    <w:rsid w:val="009C5EE4"/>
    <w:rsid w:val="009F3ED0"/>
    <w:rsid w:val="00A8007A"/>
    <w:rsid w:val="00B15B5F"/>
    <w:rsid w:val="00B80A88"/>
    <w:rsid w:val="00B87749"/>
    <w:rsid w:val="00BC3ECF"/>
    <w:rsid w:val="00C10E7C"/>
    <w:rsid w:val="00C9398F"/>
    <w:rsid w:val="00D354DB"/>
    <w:rsid w:val="00DC4C90"/>
    <w:rsid w:val="00E472AD"/>
    <w:rsid w:val="00E7163A"/>
    <w:rsid w:val="00EC712E"/>
    <w:rsid w:val="00F01E48"/>
    <w:rsid w:val="00F366B8"/>
    <w:rsid w:val="00F52139"/>
    <w:rsid w:val="00F94E6D"/>
    <w:rsid w:val="00FD3D27"/>
    <w:rsid w:val="00FD7F83"/>
    <w:rsid w:val="00FF4019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6946240-7805-49BD-BEA6-B7268F9A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1172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8060959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2023-06-05T20:16:00Z</dcterms:created>
  <dcterms:modified xsi:type="dcterms:W3CDTF">2023-06-05T20:16:00Z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בתי משפט לענינים מינהליים</vt:lpwstr>
  </property>
  <property fmtid="{D5CDD505-2E9C-101B-9397-08002B2CF9AE}" pid="4" name="LAWNAME">
    <vt:lpwstr>תקנות בתי משפט לעניינים מינהליים (סדרי דין) (הוראת שעה), תשפ"א-2020</vt:lpwstr>
  </property>
  <property fmtid="{D5CDD505-2E9C-101B-9397-08002B2CF9AE}" pid="5" name="LAWNUMBER">
    <vt:lpwstr>0385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בימ"ש מינהליים</vt:lpwstr>
  </property>
  <property fmtid="{D5CDD505-2E9C-101B-9397-08002B2CF9AE}" pid="21" name="NOSE31">
    <vt:lpwstr>סדר דין</vt:lpwstr>
  </property>
  <property fmtid="{D5CDD505-2E9C-101B-9397-08002B2CF9AE}" pid="22" name="NOSE41">
    <vt:lpwstr/>
  </property>
  <property fmtid="{D5CDD505-2E9C-101B-9397-08002B2CF9AE}" pid="23" name="NOSE12">
    <vt:lpwstr>בתי משפט וסדרי דין</vt:lpwstr>
  </property>
  <property fmtid="{D5CDD505-2E9C-101B-9397-08002B2CF9AE}" pid="24" name="NOSE22">
    <vt:lpwstr>בתי משפט ובתי דין</vt:lpwstr>
  </property>
  <property fmtid="{D5CDD505-2E9C-101B-9397-08002B2CF9AE}" pid="25" name="NOSE32">
    <vt:lpwstr>בימ"ש מינהליים</vt:lpwstr>
  </property>
  <property fmtid="{D5CDD505-2E9C-101B-9397-08002B2CF9AE}" pid="26" name="NOSE42">
    <vt:lpwstr>סדר דין</vt:lpwstr>
  </property>
  <property fmtid="{D5CDD505-2E9C-101B-9397-08002B2CF9AE}" pid="27" name="NOSE13">
    <vt:lpwstr>בתי משפט וסדרי דין</vt:lpwstr>
  </property>
  <property fmtid="{D5CDD505-2E9C-101B-9397-08002B2CF9AE}" pid="28" name="NOSE23">
    <vt:lpwstr>סדר דין אזרחי</vt:lpwstr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בתי משפט לענינים מינהליים, תש"ס-2000</vt:lpwstr>
  </property>
  <property fmtid="{D5CDD505-2E9C-101B-9397-08002B2CF9AE}" pid="60" name="MEKOR_LAWID1">
    <vt:lpwstr>74845</vt:lpwstr>
  </property>
  <property fmtid="{D5CDD505-2E9C-101B-9397-08002B2CF9AE}" pid="61" name="MEKOR_SAIF1">
    <vt:lpwstr>13X2X</vt:lpwstr>
  </property>
  <property fmtid="{D5CDD505-2E9C-101B-9397-08002B2CF9AE}" pid="62" name="LINKK1">
    <vt:lpwstr>https://www.nevo.co.il/law_word/law06/tak-8855.pdf‏;רשומות - תקנות כלליות#פורסמו ק"ת תשפ"א מס' ‏‏8855 #מיום 28.10.2020 עמ' 280‏</vt:lpwstr>
  </property>
  <property fmtid="{D5CDD505-2E9C-101B-9397-08002B2CF9AE}" pid="63" name="LINKK2">
    <vt:lpwstr/>
  </property>
  <property fmtid="{D5CDD505-2E9C-101B-9397-08002B2CF9AE}" pid="64" name="LINKK3">
    <vt:lpwstr/>
  </property>
  <property fmtid="{D5CDD505-2E9C-101B-9397-08002B2CF9AE}" pid="65" name="LINKK4">
    <vt:lpwstr/>
  </property>
</Properties>
</file>