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1ED0" w14:textId="77777777" w:rsidR="00CC2B16" w:rsidRDefault="00CC2B16">
      <w:pPr>
        <w:pStyle w:val="big-header"/>
        <w:ind w:left="0" w:right="1134"/>
      </w:pPr>
      <w:r>
        <w:rPr>
          <w:rtl/>
        </w:rPr>
        <w:t>תקנות בתי משפט שבטיים, 1937</w:t>
      </w:r>
    </w:p>
    <w:p w14:paraId="54F9D539" w14:textId="77777777" w:rsidR="00047AFE" w:rsidRPr="00047AFE" w:rsidRDefault="00047AFE" w:rsidP="00047AFE">
      <w:pPr>
        <w:spacing w:line="320" w:lineRule="auto"/>
        <w:jc w:val="left"/>
        <w:rPr>
          <w:rFonts w:cs="FrankRuehl"/>
          <w:szCs w:val="26"/>
          <w:rtl/>
        </w:rPr>
      </w:pPr>
    </w:p>
    <w:p w14:paraId="0F75C660" w14:textId="77777777" w:rsidR="00047AFE" w:rsidRDefault="00047AFE" w:rsidP="00047AFE">
      <w:pPr>
        <w:spacing w:line="320" w:lineRule="auto"/>
        <w:jc w:val="left"/>
        <w:rPr>
          <w:rtl/>
        </w:rPr>
      </w:pPr>
    </w:p>
    <w:p w14:paraId="3447FC1C" w14:textId="77777777" w:rsidR="00047AFE" w:rsidRPr="00047AFE" w:rsidRDefault="00047AFE" w:rsidP="00047AFE">
      <w:pPr>
        <w:spacing w:line="320" w:lineRule="auto"/>
        <w:jc w:val="left"/>
        <w:rPr>
          <w:rFonts w:cs="Miriam"/>
          <w:szCs w:val="22"/>
          <w:rtl/>
        </w:rPr>
      </w:pPr>
      <w:r w:rsidRPr="00047AFE">
        <w:rPr>
          <w:rFonts w:cs="Miriam"/>
          <w:szCs w:val="22"/>
          <w:rtl/>
        </w:rPr>
        <w:t>בתי משפט וסדרי דין</w:t>
      </w:r>
      <w:r w:rsidRPr="00047AFE">
        <w:rPr>
          <w:rFonts w:cs="FrankRuehl"/>
          <w:szCs w:val="26"/>
          <w:rtl/>
        </w:rPr>
        <w:t xml:space="preserve"> – בתי משפט ובתי דין – בתי משפט שבטיים</w:t>
      </w:r>
    </w:p>
    <w:p w14:paraId="489F9098" w14:textId="77777777" w:rsidR="00CC2B16" w:rsidRDefault="00CC2B1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C2B16" w14:paraId="623C1B0C" w14:textId="77777777">
        <w:tblPrEx>
          <w:tblCellMar>
            <w:top w:w="0" w:type="dxa"/>
            <w:bottom w:w="0" w:type="dxa"/>
          </w:tblCellMar>
        </w:tblPrEx>
        <w:tc>
          <w:tcPr>
            <w:tcW w:w="850" w:type="dxa"/>
          </w:tcPr>
          <w:p w14:paraId="2C7AE991"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25F2B0F" w14:textId="77777777" w:rsidR="00CC2B16" w:rsidRDefault="00CC2B16">
            <w:pPr>
              <w:spacing w:line="240" w:lineRule="auto"/>
              <w:rPr>
                <w:sz w:val="24"/>
              </w:rPr>
            </w:pPr>
            <w:hyperlink w:anchor="Seif15" w:tooltip="השם הקצר ותחילת תוקף" w:history="1">
              <w:r>
                <w:rPr>
                  <w:rStyle w:val="Hyperlink"/>
                </w:rPr>
                <w:t>Go</w:t>
              </w:r>
            </w:hyperlink>
          </w:p>
        </w:tc>
        <w:tc>
          <w:tcPr>
            <w:tcW w:w="5669" w:type="dxa"/>
          </w:tcPr>
          <w:p w14:paraId="18038796" w14:textId="77777777" w:rsidR="00CC2B16" w:rsidRDefault="00CC2B16">
            <w:pPr>
              <w:spacing w:line="240" w:lineRule="auto"/>
              <w:rPr>
                <w:sz w:val="24"/>
                <w:rtl/>
              </w:rPr>
            </w:pPr>
            <w:r>
              <w:rPr>
                <w:sz w:val="24"/>
                <w:rtl/>
              </w:rPr>
              <w:t>השם הקצר ותחילת תוקף</w:t>
            </w:r>
          </w:p>
        </w:tc>
        <w:tc>
          <w:tcPr>
            <w:tcW w:w="1247" w:type="dxa"/>
          </w:tcPr>
          <w:p w14:paraId="5A75549E" w14:textId="77777777" w:rsidR="00CC2B16" w:rsidRDefault="00CC2B16">
            <w:pPr>
              <w:spacing w:line="240" w:lineRule="auto"/>
              <w:rPr>
                <w:sz w:val="24"/>
              </w:rPr>
            </w:pPr>
            <w:r>
              <w:rPr>
                <w:sz w:val="24"/>
                <w:rtl/>
              </w:rPr>
              <w:t xml:space="preserve">סעיף 1 </w:t>
            </w:r>
          </w:p>
        </w:tc>
      </w:tr>
      <w:tr w:rsidR="00CC2B16" w14:paraId="33F24DBD" w14:textId="77777777">
        <w:tblPrEx>
          <w:tblCellMar>
            <w:top w:w="0" w:type="dxa"/>
            <w:bottom w:w="0" w:type="dxa"/>
          </w:tblCellMar>
        </w:tblPrEx>
        <w:tc>
          <w:tcPr>
            <w:tcW w:w="850" w:type="dxa"/>
          </w:tcPr>
          <w:p w14:paraId="36E6798C"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D1AFB3" w14:textId="77777777" w:rsidR="00CC2B16" w:rsidRDefault="00CC2B16">
            <w:pPr>
              <w:spacing w:line="240" w:lineRule="auto"/>
              <w:rPr>
                <w:sz w:val="24"/>
              </w:rPr>
            </w:pPr>
            <w:hyperlink w:anchor="Seif0" w:tooltip="מקום המושב" w:history="1">
              <w:r>
                <w:rPr>
                  <w:rStyle w:val="Hyperlink"/>
                </w:rPr>
                <w:t>Go</w:t>
              </w:r>
            </w:hyperlink>
          </w:p>
        </w:tc>
        <w:tc>
          <w:tcPr>
            <w:tcW w:w="5669" w:type="dxa"/>
          </w:tcPr>
          <w:p w14:paraId="014E3694" w14:textId="77777777" w:rsidR="00CC2B16" w:rsidRDefault="00CC2B16">
            <w:pPr>
              <w:spacing w:line="240" w:lineRule="auto"/>
              <w:rPr>
                <w:sz w:val="24"/>
                <w:rtl/>
              </w:rPr>
            </w:pPr>
            <w:r>
              <w:rPr>
                <w:sz w:val="24"/>
                <w:rtl/>
              </w:rPr>
              <w:t>מקום המושב</w:t>
            </w:r>
          </w:p>
        </w:tc>
        <w:tc>
          <w:tcPr>
            <w:tcW w:w="1247" w:type="dxa"/>
          </w:tcPr>
          <w:p w14:paraId="3090895C" w14:textId="77777777" w:rsidR="00CC2B16" w:rsidRDefault="00CC2B16">
            <w:pPr>
              <w:spacing w:line="240" w:lineRule="auto"/>
              <w:rPr>
                <w:sz w:val="24"/>
              </w:rPr>
            </w:pPr>
            <w:r>
              <w:rPr>
                <w:sz w:val="24"/>
                <w:rtl/>
              </w:rPr>
              <w:t xml:space="preserve">סעיף 2 </w:t>
            </w:r>
          </w:p>
        </w:tc>
      </w:tr>
      <w:tr w:rsidR="00CC2B16" w14:paraId="5B53EC21" w14:textId="77777777">
        <w:tblPrEx>
          <w:tblCellMar>
            <w:top w:w="0" w:type="dxa"/>
            <w:bottom w:w="0" w:type="dxa"/>
          </w:tblCellMar>
        </w:tblPrEx>
        <w:tc>
          <w:tcPr>
            <w:tcW w:w="850" w:type="dxa"/>
          </w:tcPr>
          <w:p w14:paraId="719D1D4B"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379AF56" w14:textId="77777777" w:rsidR="00CC2B16" w:rsidRDefault="00CC2B16">
            <w:pPr>
              <w:spacing w:line="240" w:lineRule="auto"/>
              <w:rPr>
                <w:sz w:val="24"/>
              </w:rPr>
            </w:pPr>
            <w:hyperlink w:anchor="Seif1" w:tooltip="העברת משפטים לבתי המשפט השבטיים" w:history="1">
              <w:r>
                <w:rPr>
                  <w:rStyle w:val="Hyperlink"/>
                </w:rPr>
                <w:t>Go</w:t>
              </w:r>
            </w:hyperlink>
          </w:p>
        </w:tc>
        <w:tc>
          <w:tcPr>
            <w:tcW w:w="5669" w:type="dxa"/>
          </w:tcPr>
          <w:p w14:paraId="5E483375" w14:textId="77777777" w:rsidR="00CC2B16" w:rsidRDefault="00CC2B16">
            <w:pPr>
              <w:spacing w:line="240" w:lineRule="auto"/>
              <w:rPr>
                <w:sz w:val="24"/>
                <w:rtl/>
              </w:rPr>
            </w:pPr>
            <w:r>
              <w:rPr>
                <w:sz w:val="24"/>
                <w:rtl/>
              </w:rPr>
              <w:t>העברת משפטים לבתי המשפט השבטיים</w:t>
            </w:r>
          </w:p>
        </w:tc>
        <w:tc>
          <w:tcPr>
            <w:tcW w:w="1247" w:type="dxa"/>
          </w:tcPr>
          <w:p w14:paraId="12EAF8B5" w14:textId="77777777" w:rsidR="00CC2B16" w:rsidRDefault="00CC2B16">
            <w:pPr>
              <w:spacing w:line="240" w:lineRule="auto"/>
              <w:rPr>
                <w:sz w:val="24"/>
              </w:rPr>
            </w:pPr>
            <w:r>
              <w:rPr>
                <w:sz w:val="24"/>
                <w:rtl/>
              </w:rPr>
              <w:t xml:space="preserve">סעיף 3 </w:t>
            </w:r>
          </w:p>
        </w:tc>
      </w:tr>
      <w:tr w:rsidR="00CC2B16" w14:paraId="4CB13194" w14:textId="77777777">
        <w:tblPrEx>
          <w:tblCellMar>
            <w:top w:w="0" w:type="dxa"/>
            <w:bottom w:w="0" w:type="dxa"/>
          </w:tblCellMar>
        </w:tblPrEx>
        <w:tc>
          <w:tcPr>
            <w:tcW w:w="850" w:type="dxa"/>
          </w:tcPr>
          <w:p w14:paraId="3D96868E"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2B4C3E3" w14:textId="77777777" w:rsidR="00CC2B16" w:rsidRDefault="00CC2B16">
            <w:pPr>
              <w:spacing w:line="240" w:lineRule="auto"/>
              <w:rPr>
                <w:sz w:val="24"/>
              </w:rPr>
            </w:pPr>
            <w:hyperlink w:anchor="Seif2" w:tooltip="ערעור נגד העברת משפט לבית משפט שבטי" w:history="1">
              <w:r>
                <w:rPr>
                  <w:rStyle w:val="Hyperlink"/>
                </w:rPr>
                <w:t>Go</w:t>
              </w:r>
            </w:hyperlink>
          </w:p>
        </w:tc>
        <w:tc>
          <w:tcPr>
            <w:tcW w:w="5669" w:type="dxa"/>
          </w:tcPr>
          <w:p w14:paraId="7BCBAE2F" w14:textId="77777777" w:rsidR="00CC2B16" w:rsidRDefault="00CC2B16">
            <w:pPr>
              <w:spacing w:line="240" w:lineRule="auto"/>
              <w:rPr>
                <w:sz w:val="24"/>
                <w:rtl/>
              </w:rPr>
            </w:pPr>
            <w:r>
              <w:rPr>
                <w:sz w:val="24"/>
                <w:rtl/>
              </w:rPr>
              <w:t>ערעור נגד העברת משפט לבית משפט שבטי</w:t>
            </w:r>
          </w:p>
        </w:tc>
        <w:tc>
          <w:tcPr>
            <w:tcW w:w="1247" w:type="dxa"/>
          </w:tcPr>
          <w:p w14:paraId="4FE62F4B" w14:textId="77777777" w:rsidR="00CC2B16" w:rsidRDefault="00CC2B16">
            <w:pPr>
              <w:spacing w:line="240" w:lineRule="auto"/>
              <w:rPr>
                <w:sz w:val="24"/>
              </w:rPr>
            </w:pPr>
            <w:r>
              <w:rPr>
                <w:sz w:val="24"/>
                <w:rtl/>
              </w:rPr>
              <w:t xml:space="preserve">סעיף 4 </w:t>
            </w:r>
          </w:p>
        </w:tc>
      </w:tr>
      <w:tr w:rsidR="00CC2B16" w14:paraId="712E3603" w14:textId="77777777">
        <w:tblPrEx>
          <w:tblCellMar>
            <w:top w:w="0" w:type="dxa"/>
            <w:bottom w:w="0" w:type="dxa"/>
          </w:tblCellMar>
        </w:tblPrEx>
        <w:tc>
          <w:tcPr>
            <w:tcW w:w="850" w:type="dxa"/>
          </w:tcPr>
          <w:p w14:paraId="44C7D2BB"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0EC3337" w14:textId="77777777" w:rsidR="00CC2B16" w:rsidRDefault="00CC2B16">
            <w:pPr>
              <w:spacing w:line="240" w:lineRule="auto"/>
              <w:rPr>
                <w:sz w:val="24"/>
              </w:rPr>
            </w:pPr>
            <w:hyperlink w:anchor="Seif3" w:tooltip="הגבלה בשיפוט במשפטים פליליים" w:history="1">
              <w:r>
                <w:rPr>
                  <w:rStyle w:val="Hyperlink"/>
                </w:rPr>
                <w:t>Go</w:t>
              </w:r>
            </w:hyperlink>
          </w:p>
        </w:tc>
        <w:tc>
          <w:tcPr>
            <w:tcW w:w="5669" w:type="dxa"/>
          </w:tcPr>
          <w:p w14:paraId="4075924F" w14:textId="77777777" w:rsidR="00CC2B16" w:rsidRDefault="00CC2B16">
            <w:pPr>
              <w:spacing w:line="240" w:lineRule="auto"/>
              <w:rPr>
                <w:sz w:val="24"/>
                <w:rtl/>
              </w:rPr>
            </w:pPr>
            <w:r>
              <w:rPr>
                <w:sz w:val="24"/>
                <w:rtl/>
              </w:rPr>
              <w:t>הגבלה בשיפוט במשפטים פליליים</w:t>
            </w:r>
          </w:p>
        </w:tc>
        <w:tc>
          <w:tcPr>
            <w:tcW w:w="1247" w:type="dxa"/>
          </w:tcPr>
          <w:p w14:paraId="797AA58E" w14:textId="77777777" w:rsidR="00CC2B16" w:rsidRDefault="00CC2B16">
            <w:pPr>
              <w:spacing w:line="240" w:lineRule="auto"/>
              <w:rPr>
                <w:sz w:val="24"/>
              </w:rPr>
            </w:pPr>
            <w:r>
              <w:rPr>
                <w:sz w:val="24"/>
                <w:rtl/>
              </w:rPr>
              <w:t xml:space="preserve">סעיף 5 </w:t>
            </w:r>
          </w:p>
        </w:tc>
      </w:tr>
      <w:tr w:rsidR="00CC2B16" w14:paraId="13ED336B" w14:textId="77777777">
        <w:tblPrEx>
          <w:tblCellMar>
            <w:top w:w="0" w:type="dxa"/>
            <w:bottom w:w="0" w:type="dxa"/>
          </w:tblCellMar>
        </w:tblPrEx>
        <w:tc>
          <w:tcPr>
            <w:tcW w:w="850" w:type="dxa"/>
          </w:tcPr>
          <w:p w14:paraId="14DB13FE"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39AB757" w14:textId="77777777" w:rsidR="00CC2B16" w:rsidRDefault="00CC2B16">
            <w:pPr>
              <w:spacing w:line="240" w:lineRule="auto"/>
              <w:rPr>
                <w:sz w:val="24"/>
              </w:rPr>
            </w:pPr>
            <w:hyperlink w:anchor="Seif4" w:tooltip="הגבלה בשיפוט במשפטים בקשר עם נכסי מקרקעים" w:history="1">
              <w:r>
                <w:rPr>
                  <w:rStyle w:val="Hyperlink"/>
                </w:rPr>
                <w:t>Go</w:t>
              </w:r>
            </w:hyperlink>
          </w:p>
        </w:tc>
        <w:tc>
          <w:tcPr>
            <w:tcW w:w="5669" w:type="dxa"/>
          </w:tcPr>
          <w:p w14:paraId="517843B2" w14:textId="77777777" w:rsidR="00CC2B16" w:rsidRDefault="00CC2B16">
            <w:pPr>
              <w:spacing w:line="240" w:lineRule="auto"/>
              <w:rPr>
                <w:sz w:val="24"/>
                <w:rtl/>
              </w:rPr>
            </w:pPr>
            <w:r>
              <w:rPr>
                <w:sz w:val="24"/>
                <w:rtl/>
              </w:rPr>
              <w:t>הגבלה בשיפוט במשפטים בקשר עם נכסי מקרקעים</w:t>
            </w:r>
          </w:p>
        </w:tc>
        <w:tc>
          <w:tcPr>
            <w:tcW w:w="1247" w:type="dxa"/>
          </w:tcPr>
          <w:p w14:paraId="0DC9DB42" w14:textId="77777777" w:rsidR="00CC2B16" w:rsidRDefault="00CC2B16">
            <w:pPr>
              <w:spacing w:line="240" w:lineRule="auto"/>
              <w:rPr>
                <w:sz w:val="24"/>
              </w:rPr>
            </w:pPr>
            <w:r>
              <w:rPr>
                <w:sz w:val="24"/>
                <w:rtl/>
              </w:rPr>
              <w:t xml:space="preserve">סעיף 6 </w:t>
            </w:r>
          </w:p>
        </w:tc>
      </w:tr>
      <w:tr w:rsidR="00CC2B16" w14:paraId="7C18F535" w14:textId="77777777">
        <w:tblPrEx>
          <w:tblCellMar>
            <w:top w:w="0" w:type="dxa"/>
            <w:bottom w:w="0" w:type="dxa"/>
          </w:tblCellMar>
        </w:tblPrEx>
        <w:tc>
          <w:tcPr>
            <w:tcW w:w="850" w:type="dxa"/>
          </w:tcPr>
          <w:p w14:paraId="0DDA4B71"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A8CF10A" w14:textId="77777777" w:rsidR="00CC2B16" w:rsidRDefault="00CC2B16">
            <w:pPr>
              <w:spacing w:line="240" w:lineRule="auto"/>
              <w:rPr>
                <w:sz w:val="24"/>
              </w:rPr>
            </w:pPr>
            <w:hyperlink w:anchor="Seif5" w:tooltip="אין כותרת" w:history="1">
              <w:r>
                <w:rPr>
                  <w:rStyle w:val="Hyperlink"/>
                </w:rPr>
                <w:t>Go</w:t>
              </w:r>
            </w:hyperlink>
          </w:p>
        </w:tc>
        <w:tc>
          <w:tcPr>
            <w:tcW w:w="5669" w:type="dxa"/>
          </w:tcPr>
          <w:p w14:paraId="5C07CEF1" w14:textId="77777777" w:rsidR="00CC2B16" w:rsidRDefault="00CC2B16">
            <w:pPr>
              <w:spacing w:line="240" w:lineRule="auto"/>
              <w:rPr>
                <w:sz w:val="24"/>
                <w:rtl/>
              </w:rPr>
            </w:pPr>
            <w:r>
              <w:rPr>
                <w:sz w:val="24"/>
                <w:rtl/>
              </w:rPr>
              <w:t>אין כותרת</w:t>
            </w:r>
          </w:p>
        </w:tc>
        <w:tc>
          <w:tcPr>
            <w:tcW w:w="1247" w:type="dxa"/>
          </w:tcPr>
          <w:p w14:paraId="329AEA3D" w14:textId="77777777" w:rsidR="00CC2B16" w:rsidRDefault="00CC2B16">
            <w:pPr>
              <w:spacing w:line="240" w:lineRule="auto"/>
              <w:rPr>
                <w:sz w:val="24"/>
              </w:rPr>
            </w:pPr>
            <w:r>
              <w:rPr>
                <w:sz w:val="24"/>
                <w:rtl/>
              </w:rPr>
              <w:t xml:space="preserve">סעיף 7 </w:t>
            </w:r>
          </w:p>
        </w:tc>
      </w:tr>
      <w:tr w:rsidR="00CC2B16" w14:paraId="6993F2F5" w14:textId="77777777">
        <w:tblPrEx>
          <w:tblCellMar>
            <w:top w:w="0" w:type="dxa"/>
            <w:bottom w:w="0" w:type="dxa"/>
          </w:tblCellMar>
        </w:tblPrEx>
        <w:tc>
          <w:tcPr>
            <w:tcW w:w="850" w:type="dxa"/>
          </w:tcPr>
          <w:p w14:paraId="6483E44B"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D9FCC5" w14:textId="77777777" w:rsidR="00CC2B16" w:rsidRDefault="00CC2B16">
            <w:pPr>
              <w:spacing w:line="240" w:lineRule="auto"/>
              <w:rPr>
                <w:sz w:val="24"/>
              </w:rPr>
            </w:pPr>
            <w:hyperlink w:anchor="Seif6" w:tooltip="התחלת משפט" w:history="1">
              <w:r>
                <w:rPr>
                  <w:rStyle w:val="Hyperlink"/>
                </w:rPr>
                <w:t>Go</w:t>
              </w:r>
            </w:hyperlink>
          </w:p>
        </w:tc>
        <w:tc>
          <w:tcPr>
            <w:tcW w:w="5669" w:type="dxa"/>
          </w:tcPr>
          <w:p w14:paraId="6FC2DE24" w14:textId="77777777" w:rsidR="00CC2B16" w:rsidRDefault="00CC2B16">
            <w:pPr>
              <w:spacing w:line="240" w:lineRule="auto"/>
              <w:rPr>
                <w:sz w:val="24"/>
                <w:rtl/>
              </w:rPr>
            </w:pPr>
            <w:r>
              <w:rPr>
                <w:sz w:val="24"/>
                <w:rtl/>
              </w:rPr>
              <w:t>התחלת משפט</w:t>
            </w:r>
          </w:p>
        </w:tc>
        <w:tc>
          <w:tcPr>
            <w:tcW w:w="1247" w:type="dxa"/>
          </w:tcPr>
          <w:p w14:paraId="21D0FD59" w14:textId="77777777" w:rsidR="00CC2B16" w:rsidRDefault="00CC2B16">
            <w:pPr>
              <w:spacing w:line="240" w:lineRule="auto"/>
              <w:rPr>
                <w:sz w:val="24"/>
              </w:rPr>
            </w:pPr>
            <w:r>
              <w:rPr>
                <w:sz w:val="24"/>
                <w:rtl/>
              </w:rPr>
              <w:t xml:space="preserve">סעיף 8 </w:t>
            </w:r>
          </w:p>
        </w:tc>
      </w:tr>
      <w:tr w:rsidR="00CC2B16" w14:paraId="5868B258" w14:textId="77777777">
        <w:tblPrEx>
          <w:tblCellMar>
            <w:top w:w="0" w:type="dxa"/>
            <w:bottom w:w="0" w:type="dxa"/>
          </w:tblCellMar>
        </w:tblPrEx>
        <w:tc>
          <w:tcPr>
            <w:tcW w:w="850" w:type="dxa"/>
          </w:tcPr>
          <w:p w14:paraId="6BDC809C"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3ED830" w14:textId="77777777" w:rsidR="00CC2B16" w:rsidRDefault="00CC2B16">
            <w:pPr>
              <w:spacing w:line="240" w:lineRule="auto"/>
              <w:rPr>
                <w:sz w:val="24"/>
              </w:rPr>
            </w:pPr>
            <w:hyperlink w:anchor="Seif7" w:tooltip="הפרוצדורה תהיה לפי מנהג המקום" w:history="1">
              <w:r>
                <w:rPr>
                  <w:rStyle w:val="Hyperlink"/>
                </w:rPr>
                <w:t>Go</w:t>
              </w:r>
            </w:hyperlink>
          </w:p>
        </w:tc>
        <w:tc>
          <w:tcPr>
            <w:tcW w:w="5669" w:type="dxa"/>
          </w:tcPr>
          <w:p w14:paraId="56F8521F" w14:textId="77777777" w:rsidR="00CC2B16" w:rsidRDefault="00CC2B16">
            <w:pPr>
              <w:spacing w:line="240" w:lineRule="auto"/>
              <w:rPr>
                <w:sz w:val="24"/>
                <w:rtl/>
              </w:rPr>
            </w:pPr>
            <w:r>
              <w:rPr>
                <w:sz w:val="24"/>
                <w:rtl/>
              </w:rPr>
              <w:t>הפרוצדורה תהיה לפי מנהג המקום</w:t>
            </w:r>
          </w:p>
        </w:tc>
        <w:tc>
          <w:tcPr>
            <w:tcW w:w="1247" w:type="dxa"/>
          </w:tcPr>
          <w:p w14:paraId="0F73614E" w14:textId="77777777" w:rsidR="00CC2B16" w:rsidRDefault="00CC2B16">
            <w:pPr>
              <w:spacing w:line="240" w:lineRule="auto"/>
              <w:rPr>
                <w:sz w:val="24"/>
              </w:rPr>
            </w:pPr>
            <w:r>
              <w:rPr>
                <w:sz w:val="24"/>
                <w:rtl/>
              </w:rPr>
              <w:t xml:space="preserve">סעיף 9 </w:t>
            </w:r>
          </w:p>
        </w:tc>
      </w:tr>
      <w:tr w:rsidR="00CC2B16" w14:paraId="572ABDAC" w14:textId="77777777">
        <w:tblPrEx>
          <w:tblCellMar>
            <w:top w:w="0" w:type="dxa"/>
            <w:bottom w:w="0" w:type="dxa"/>
          </w:tblCellMar>
        </w:tblPrEx>
        <w:tc>
          <w:tcPr>
            <w:tcW w:w="850" w:type="dxa"/>
          </w:tcPr>
          <w:p w14:paraId="438EBEF9"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6412A9A" w14:textId="77777777" w:rsidR="00CC2B16" w:rsidRDefault="00CC2B16">
            <w:pPr>
              <w:spacing w:line="240" w:lineRule="auto"/>
              <w:rPr>
                <w:sz w:val="24"/>
              </w:rPr>
            </w:pPr>
            <w:hyperlink w:anchor="Seif8" w:tooltip="הופעתם של עדים" w:history="1">
              <w:r>
                <w:rPr>
                  <w:rStyle w:val="Hyperlink"/>
                </w:rPr>
                <w:t>Go</w:t>
              </w:r>
            </w:hyperlink>
          </w:p>
        </w:tc>
        <w:tc>
          <w:tcPr>
            <w:tcW w:w="5669" w:type="dxa"/>
          </w:tcPr>
          <w:p w14:paraId="1D0C2F1D" w14:textId="77777777" w:rsidR="00CC2B16" w:rsidRDefault="00CC2B16">
            <w:pPr>
              <w:spacing w:line="240" w:lineRule="auto"/>
              <w:rPr>
                <w:sz w:val="24"/>
                <w:rtl/>
              </w:rPr>
            </w:pPr>
            <w:r>
              <w:rPr>
                <w:sz w:val="24"/>
                <w:rtl/>
              </w:rPr>
              <w:t>הופעתם של עדים</w:t>
            </w:r>
          </w:p>
        </w:tc>
        <w:tc>
          <w:tcPr>
            <w:tcW w:w="1247" w:type="dxa"/>
          </w:tcPr>
          <w:p w14:paraId="777824DA" w14:textId="77777777" w:rsidR="00CC2B16" w:rsidRDefault="00CC2B16">
            <w:pPr>
              <w:spacing w:line="240" w:lineRule="auto"/>
              <w:rPr>
                <w:sz w:val="24"/>
              </w:rPr>
            </w:pPr>
            <w:r>
              <w:rPr>
                <w:sz w:val="24"/>
                <w:rtl/>
              </w:rPr>
              <w:t xml:space="preserve">סעיף 10 </w:t>
            </w:r>
          </w:p>
        </w:tc>
      </w:tr>
      <w:tr w:rsidR="00CC2B16" w14:paraId="70A20B95" w14:textId="77777777">
        <w:tblPrEx>
          <w:tblCellMar>
            <w:top w:w="0" w:type="dxa"/>
            <w:bottom w:w="0" w:type="dxa"/>
          </w:tblCellMar>
        </w:tblPrEx>
        <w:tc>
          <w:tcPr>
            <w:tcW w:w="850" w:type="dxa"/>
          </w:tcPr>
          <w:p w14:paraId="1DBB60B4"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8799E7A" w14:textId="77777777" w:rsidR="00CC2B16" w:rsidRDefault="00CC2B16">
            <w:pPr>
              <w:spacing w:line="240" w:lineRule="auto"/>
              <w:rPr>
                <w:sz w:val="24"/>
              </w:rPr>
            </w:pPr>
            <w:hyperlink w:anchor="Seif9" w:tooltip="בקורת" w:history="1">
              <w:r>
                <w:rPr>
                  <w:rStyle w:val="Hyperlink"/>
                </w:rPr>
                <w:t>Go</w:t>
              </w:r>
            </w:hyperlink>
          </w:p>
        </w:tc>
        <w:tc>
          <w:tcPr>
            <w:tcW w:w="5669" w:type="dxa"/>
          </w:tcPr>
          <w:p w14:paraId="2CC173EE" w14:textId="77777777" w:rsidR="00CC2B16" w:rsidRDefault="00CC2B16">
            <w:pPr>
              <w:spacing w:line="240" w:lineRule="auto"/>
              <w:rPr>
                <w:sz w:val="24"/>
                <w:rtl/>
              </w:rPr>
            </w:pPr>
            <w:r>
              <w:rPr>
                <w:sz w:val="24"/>
                <w:rtl/>
              </w:rPr>
              <w:t>בקורת</w:t>
            </w:r>
          </w:p>
        </w:tc>
        <w:tc>
          <w:tcPr>
            <w:tcW w:w="1247" w:type="dxa"/>
          </w:tcPr>
          <w:p w14:paraId="1489417D" w14:textId="77777777" w:rsidR="00CC2B16" w:rsidRDefault="00CC2B16">
            <w:pPr>
              <w:spacing w:line="240" w:lineRule="auto"/>
              <w:rPr>
                <w:sz w:val="24"/>
              </w:rPr>
            </w:pPr>
            <w:r>
              <w:rPr>
                <w:sz w:val="24"/>
                <w:rtl/>
              </w:rPr>
              <w:t xml:space="preserve">סעיף 11 </w:t>
            </w:r>
          </w:p>
        </w:tc>
      </w:tr>
      <w:tr w:rsidR="00CC2B16" w14:paraId="406AFEAE" w14:textId="77777777">
        <w:tblPrEx>
          <w:tblCellMar>
            <w:top w:w="0" w:type="dxa"/>
            <w:bottom w:w="0" w:type="dxa"/>
          </w:tblCellMar>
        </w:tblPrEx>
        <w:tc>
          <w:tcPr>
            <w:tcW w:w="850" w:type="dxa"/>
          </w:tcPr>
          <w:p w14:paraId="13A355A8"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C19D1B0" w14:textId="77777777" w:rsidR="00CC2B16" w:rsidRDefault="00CC2B16">
            <w:pPr>
              <w:spacing w:line="240" w:lineRule="auto"/>
              <w:rPr>
                <w:sz w:val="24"/>
              </w:rPr>
            </w:pPr>
            <w:hyperlink w:anchor="Seif10" w:tooltip="אופן ההוצאה לפועל" w:history="1">
              <w:r>
                <w:rPr>
                  <w:rStyle w:val="Hyperlink"/>
                </w:rPr>
                <w:t>Go</w:t>
              </w:r>
            </w:hyperlink>
          </w:p>
        </w:tc>
        <w:tc>
          <w:tcPr>
            <w:tcW w:w="5669" w:type="dxa"/>
          </w:tcPr>
          <w:p w14:paraId="058E4DF8" w14:textId="77777777" w:rsidR="00CC2B16" w:rsidRDefault="00CC2B16">
            <w:pPr>
              <w:spacing w:line="240" w:lineRule="auto"/>
              <w:rPr>
                <w:sz w:val="24"/>
                <w:rtl/>
              </w:rPr>
            </w:pPr>
            <w:r>
              <w:rPr>
                <w:sz w:val="24"/>
                <w:rtl/>
              </w:rPr>
              <w:t>אופן ההוצאה לפועל</w:t>
            </w:r>
          </w:p>
        </w:tc>
        <w:tc>
          <w:tcPr>
            <w:tcW w:w="1247" w:type="dxa"/>
          </w:tcPr>
          <w:p w14:paraId="3F51CE7A" w14:textId="77777777" w:rsidR="00CC2B16" w:rsidRDefault="00CC2B16">
            <w:pPr>
              <w:spacing w:line="240" w:lineRule="auto"/>
              <w:rPr>
                <w:sz w:val="24"/>
              </w:rPr>
            </w:pPr>
            <w:r>
              <w:rPr>
                <w:sz w:val="24"/>
                <w:rtl/>
              </w:rPr>
              <w:t xml:space="preserve">סעיף 12 </w:t>
            </w:r>
          </w:p>
        </w:tc>
      </w:tr>
      <w:tr w:rsidR="00CC2B16" w14:paraId="3E408BD3" w14:textId="77777777">
        <w:tblPrEx>
          <w:tblCellMar>
            <w:top w:w="0" w:type="dxa"/>
            <w:bottom w:w="0" w:type="dxa"/>
          </w:tblCellMar>
        </w:tblPrEx>
        <w:tc>
          <w:tcPr>
            <w:tcW w:w="850" w:type="dxa"/>
          </w:tcPr>
          <w:p w14:paraId="63B92350"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08CA68D" w14:textId="77777777" w:rsidR="00CC2B16" w:rsidRDefault="00CC2B16">
            <w:pPr>
              <w:spacing w:line="240" w:lineRule="auto"/>
              <w:rPr>
                <w:sz w:val="24"/>
              </w:rPr>
            </w:pPr>
            <w:hyperlink w:anchor="Seif11" w:tooltip="אגרת בית המשפט" w:history="1">
              <w:r>
                <w:rPr>
                  <w:rStyle w:val="Hyperlink"/>
                </w:rPr>
                <w:t>Go</w:t>
              </w:r>
            </w:hyperlink>
          </w:p>
        </w:tc>
        <w:tc>
          <w:tcPr>
            <w:tcW w:w="5669" w:type="dxa"/>
          </w:tcPr>
          <w:p w14:paraId="3EDE5E0B" w14:textId="77777777" w:rsidR="00CC2B16" w:rsidRDefault="00CC2B16">
            <w:pPr>
              <w:spacing w:line="240" w:lineRule="auto"/>
              <w:rPr>
                <w:sz w:val="24"/>
                <w:rtl/>
              </w:rPr>
            </w:pPr>
            <w:r>
              <w:rPr>
                <w:sz w:val="24"/>
                <w:rtl/>
              </w:rPr>
              <w:t>אגרת בית המשפט</w:t>
            </w:r>
          </w:p>
        </w:tc>
        <w:tc>
          <w:tcPr>
            <w:tcW w:w="1247" w:type="dxa"/>
          </w:tcPr>
          <w:p w14:paraId="73CA9845" w14:textId="77777777" w:rsidR="00CC2B16" w:rsidRDefault="00CC2B16">
            <w:pPr>
              <w:spacing w:line="240" w:lineRule="auto"/>
              <w:rPr>
                <w:sz w:val="24"/>
              </w:rPr>
            </w:pPr>
            <w:r>
              <w:rPr>
                <w:sz w:val="24"/>
                <w:rtl/>
              </w:rPr>
              <w:t xml:space="preserve">סעיף 13 </w:t>
            </w:r>
          </w:p>
        </w:tc>
      </w:tr>
      <w:tr w:rsidR="00CC2B16" w14:paraId="527E158E" w14:textId="77777777">
        <w:tblPrEx>
          <w:tblCellMar>
            <w:top w:w="0" w:type="dxa"/>
            <w:bottom w:w="0" w:type="dxa"/>
          </w:tblCellMar>
        </w:tblPrEx>
        <w:tc>
          <w:tcPr>
            <w:tcW w:w="850" w:type="dxa"/>
          </w:tcPr>
          <w:p w14:paraId="4D40E1C3"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D21D3F3" w14:textId="77777777" w:rsidR="00CC2B16" w:rsidRDefault="00CC2B16">
            <w:pPr>
              <w:spacing w:line="240" w:lineRule="auto"/>
              <w:rPr>
                <w:sz w:val="24"/>
              </w:rPr>
            </w:pPr>
            <w:hyperlink w:anchor="Seif12" w:tooltip="פיטורין מתשלום אגרות בית המשפט" w:history="1">
              <w:r>
                <w:rPr>
                  <w:rStyle w:val="Hyperlink"/>
                </w:rPr>
                <w:t>Go</w:t>
              </w:r>
            </w:hyperlink>
          </w:p>
        </w:tc>
        <w:tc>
          <w:tcPr>
            <w:tcW w:w="5669" w:type="dxa"/>
          </w:tcPr>
          <w:p w14:paraId="25CCF083" w14:textId="77777777" w:rsidR="00CC2B16" w:rsidRDefault="00CC2B16">
            <w:pPr>
              <w:spacing w:line="240" w:lineRule="auto"/>
              <w:rPr>
                <w:sz w:val="24"/>
                <w:rtl/>
              </w:rPr>
            </w:pPr>
            <w:r>
              <w:rPr>
                <w:sz w:val="24"/>
                <w:rtl/>
              </w:rPr>
              <w:t>פיטורין מתשלום אגרות בית המשפט</w:t>
            </w:r>
          </w:p>
        </w:tc>
        <w:tc>
          <w:tcPr>
            <w:tcW w:w="1247" w:type="dxa"/>
          </w:tcPr>
          <w:p w14:paraId="4233A642" w14:textId="77777777" w:rsidR="00CC2B16" w:rsidRDefault="00CC2B16">
            <w:pPr>
              <w:spacing w:line="240" w:lineRule="auto"/>
              <w:rPr>
                <w:sz w:val="24"/>
              </w:rPr>
            </w:pPr>
            <w:r>
              <w:rPr>
                <w:sz w:val="24"/>
                <w:rtl/>
              </w:rPr>
              <w:t xml:space="preserve">סעיף 14 </w:t>
            </w:r>
          </w:p>
        </w:tc>
      </w:tr>
      <w:tr w:rsidR="00CC2B16" w14:paraId="29B65B55" w14:textId="77777777">
        <w:tblPrEx>
          <w:tblCellMar>
            <w:top w:w="0" w:type="dxa"/>
            <w:bottom w:w="0" w:type="dxa"/>
          </w:tblCellMar>
        </w:tblPrEx>
        <w:tc>
          <w:tcPr>
            <w:tcW w:w="850" w:type="dxa"/>
          </w:tcPr>
          <w:p w14:paraId="4A0DD1C9"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35E6C3" w14:textId="77777777" w:rsidR="00CC2B16" w:rsidRDefault="00CC2B16">
            <w:pPr>
              <w:spacing w:line="240" w:lineRule="auto"/>
              <w:rPr>
                <w:sz w:val="24"/>
              </w:rPr>
            </w:pPr>
            <w:hyperlink w:anchor="Seif13" w:tooltip="פסקי דין וכו יחתמו גם עי פקיד המחוז" w:history="1">
              <w:r>
                <w:rPr>
                  <w:rStyle w:val="Hyperlink"/>
                </w:rPr>
                <w:t>Go</w:t>
              </w:r>
            </w:hyperlink>
          </w:p>
        </w:tc>
        <w:tc>
          <w:tcPr>
            <w:tcW w:w="5669" w:type="dxa"/>
          </w:tcPr>
          <w:p w14:paraId="21E2790B" w14:textId="77777777" w:rsidR="00CC2B16" w:rsidRDefault="00CC2B16">
            <w:pPr>
              <w:spacing w:line="240" w:lineRule="auto"/>
              <w:rPr>
                <w:sz w:val="24"/>
                <w:rtl/>
              </w:rPr>
            </w:pPr>
            <w:r>
              <w:rPr>
                <w:sz w:val="24"/>
                <w:rtl/>
              </w:rPr>
              <w:t>פסקי דין וכו יחתמו גם עי פקיד המחוז</w:t>
            </w:r>
          </w:p>
        </w:tc>
        <w:tc>
          <w:tcPr>
            <w:tcW w:w="1247" w:type="dxa"/>
          </w:tcPr>
          <w:p w14:paraId="084A694D" w14:textId="77777777" w:rsidR="00CC2B16" w:rsidRDefault="00CC2B16">
            <w:pPr>
              <w:spacing w:line="240" w:lineRule="auto"/>
              <w:rPr>
                <w:sz w:val="24"/>
              </w:rPr>
            </w:pPr>
            <w:r>
              <w:rPr>
                <w:sz w:val="24"/>
                <w:rtl/>
              </w:rPr>
              <w:t xml:space="preserve">סעיף 15 </w:t>
            </w:r>
          </w:p>
        </w:tc>
      </w:tr>
      <w:tr w:rsidR="00CC2B16" w14:paraId="2AB8B95C" w14:textId="77777777">
        <w:tblPrEx>
          <w:tblCellMar>
            <w:top w:w="0" w:type="dxa"/>
            <w:bottom w:w="0" w:type="dxa"/>
          </w:tblCellMar>
        </w:tblPrEx>
        <w:tc>
          <w:tcPr>
            <w:tcW w:w="850" w:type="dxa"/>
          </w:tcPr>
          <w:p w14:paraId="53DA93BC"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362748F" w14:textId="77777777" w:rsidR="00CC2B16" w:rsidRDefault="00CC2B16">
            <w:pPr>
              <w:spacing w:line="240" w:lineRule="auto"/>
              <w:rPr>
                <w:sz w:val="24"/>
              </w:rPr>
            </w:pPr>
            <w:hyperlink w:anchor="Seif14" w:tooltip="ביטול" w:history="1">
              <w:r>
                <w:rPr>
                  <w:rStyle w:val="Hyperlink"/>
                </w:rPr>
                <w:t>Go</w:t>
              </w:r>
            </w:hyperlink>
          </w:p>
        </w:tc>
        <w:tc>
          <w:tcPr>
            <w:tcW w:w="5669" w:type="dxa"/>
          </w:tcPr>
          <w:p w14:paraId="731E3C95" w14:textId="77777777" w:rsidR="00CC2B16" w:rsidRDefault="00CC2B16">
            <w:pPr>
              <w:spacing w:line="240" w:lineRule="auto"/>
              <w:rPr>
                <w:sz w:val="24"/>
                <w:rtl/>
              </w:rPr>
            </w:pPr>
            <w:r>
              <w:rPr>
                <w:sz w:val="24"/>
                <w:rtl/>
              </w:rPr>
              <w:t>ביטול</w:t>
            </w:r>
          </w:p>
        </w:tc>
        <w:tc>
          <w:tcPr>
            <w:tcW w:w="1247" w:type="dxa"/>
          </w:tcPr>
          <w:p w14:paraId="6A070787" w14:textId="77777777" w:rsidR="00CC2B16" w:rsidRDefault="00CC2B16">
            <w:pPr>
              <w:spacing w:line="240" w:lineRule="auto"/>
              <w:rPr>
                <w:sz w:val="24"/>
              </w:rPr>
            </w:pPr>
            <w:r>
              <w:rPr>
                <w:sz w:val="24"/>
                <w:rtl/>
              </w:rPr>
              <w:t xml:space="preserve">סעיף 16 </w:t>
            </w:r>
          </w:p>
        </w:tc>
      </w:tr>
      <w:tr w:rsidR="00CC2B16" w14:paraId="351ECD6C" w14:textId="77777777">
        <w:tblPrEx>
          <w:tblCellMar>
            <w:top w:w="0" w:type="dxa"/>
            <w:bottom w:w="0" w:type="dxa"/>
          </w:tblCellMar>
        </w:tblPrEx>
        <w:tc>
          <w:tcPr>
            <w:tcW w:w="850" w:type="dxa"/>
          </w:tcPr>
          <w:p w14:paraId="0BABC6CE" w14:textId="77777777" w:rsidR="00CC2B16" w:rsidRDefault="00CC2B1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7F69225" w14:textId="77777777" w:rsidR="00CC2B16" w:rsidRDefault="00CC2B16">
            <w:pPr>
              <w:spacing w:line="240" w:lineRule="auto"/>
              <w:rPr>
                <w:sz w:val="24"/>
              </w:rPr>
            </w:pPr>
            <w:hyperlink w:anchor="med0" w:tooltip="תוספת" w:history="1">
              <w:r>
                <w:rPr>
                  <w:rStyle w:val="Hyperlink"/>
                </w:rPr>
                <w:t>Go</w:t>
              </w:r>
            </w:hyperlink>
          </w:p>
        </w:tc>
        <w:tc>
          <w:tcPr>
            <w:tcW w:w="5669" w:type="dxa"/>
          </w:tcPr>
          <w:p w14:paraId="29516FF5" w14:textId="77777777" w:rsidR="00CC2B16" w:rsidRDefault="00CC2B16">
            <w:pPr>
              <w:spacing w:line="240" w:lineRule="auto"/>
              <w:rPr>
                <w:sz w:val="24"/>
              </w:rPr>
            </w:pPr>
            <w:r>
              <w:rPr>
                <w:sz w:val="24"/>
                <w:rtl/>
              </w:rPr>
              <w:t>תוספת</w:t>
            </w:r>
          </w:p>
        </w:tc>
        <w:tc>
          <w:tcPr>
            <w:tcW w:w="1247" w:type="dxa"/>
          </w:tcPr>
          <w:p w14:paraId="3440CDAA" w14:textId="77777777" w:rsidR="00CC2B16" w:rsidRDefault="00CC2B16">
            <w:pPr>
              <w:spacing w:line="240" w:lineRule="auto"/>
              <w:rPr>
                <w:sz w:val="24"/>
              </w:rPr>
            </w:pPr>
          </w:p>
        </w:tc>
      </w:tr>
    </w:tbl>
    <w:p w14:paraId="79BB79D4" w14:textId="77777777" w:rsidR="00CC2B16" w:rsidRDefault="00CC2B16">
      <w:pPr>
        <w:pStyle w:val="big-header"/>
        <w:ind w:left="0" w:right="1134"/>
        <w:rPr>
          <w:rtl/>
        </w:rPr>
      </w:pPr>
    </w:p>
    <w:p w14:paraId="283DB2CD" w14:textId="77777777" w:rsidR="00CC2B16" w:rsidRDefault="00CC2B16">
      <w:pPr>
        <w:pStyle w:val="big-header"/>
        <w:ind w:left="0" w:right="1134"/>
        <w:rPr>
          <w:rtl/>
        </w:rPr>
      </w:pPr>
      <w:r>
        <w:rPr>
          <w:rtl/>
        </w:rPr>
        <w:br w:type="page"/>
      </w:r>
      <w:r>
        <w:rPr>
          <w:rtl/>
        </w:rPr>
        <w:lastRenderedPageBreak/>
        <w:t>פ</w:t>
      </w:r>
      <w:r>
        <w:rPr>
          <w:rFonts w:hint="cs"/>
          <w:rtl/>
        </w:rPr>
        <w:t>רק 55</w:t>
      </w:r>
    </w:p>
    <w:p w14:paraId="620134D1" w14:textId="77777777" w:rsidR="00CC2B16" w:rsidRDefault="00CC2B16">
      <w:pPr>
        <w:pStyle w:val="big-header"/>
        <w:ind w:left="0" w:right="1134"/>
        <w:rPr>
          <w:rStyle w:val="default"/>
          <w:rFonts w:cs="FrankRuehl"/>
          <w:rtl/>
        </w:rPr>
      </w:pPr>
      <w:r>
        <w:rPr>
          <w:rtl/>
        </w:rPr>
        <w:t>ת</w:t>
      </w:r>
      <w:r>
        <w:rPr>
          <w:rFonts w:hint="cs"/>
          <w:rtl/>
        </w:rPr>
        <w:t>קנות בתי משפט שבטיים, 1937</w:t>
      </w:r>
      <w:r>
        <w:rPr>
          <w:rStyle w:val="super"/>
          <w:noProof w:val="0"/>
          <w:rtl/>
        </w:rPr>
        <w:t>(18)(*)</w:t>
      </w:r>
    </w:p>
    <w:p w14:paraId="635427AA" w14:textId="77777777" w:rsidR="00CC2B16" w:rsidRDefault="00CC2B16">
      <w:pPr>
        <w:pStyle w:val="medium-header"/>
        <w:keepNext w:val="0"/>
        <w:keepLines w:val="0"/>
        <w:ind w:left="0" w:right="1134"/>
        <w:rPr>
          <w:rStyle w:val="default"/>
          <w:rFonts w:cs="FrankRuehl"/>
          <w:rtl/>
        </w:rPr>
      </w:pPr>
      <w:r>
        <w:rPr>
          <w:rtl/>
        </w:rPr>
        <w:t>(</w:t>
      </w:r>
      <w:r>
        <w:rPr>
          <w:rFonts w:hint="cs"/>
          <w:rtl/>
        </w:rPr>
        <w:t>עפ"י סעיפים 21 ו-22 מפקודת בתי משפט)</w:t>
      </w:r>
      <w:r>
        <w:rPr>
          <w:rStyle w:val="super"/>
          <w:noProof w:val="0"/>
          <w:rtl/>
        </w:rPr>
        <w:t>(**)</w:t>
      </w:r>
    </w:p>
    <w:p w14:paraId="2E829A9F" w14:textId="77777777" w:rsidR="00CC2B16" w:rsidRDefault="00CC2B16">
      <w:pPr>
        <w:pStyle w:val="P00"/>
        <w:spacing w:before="72"/>
        <w:ind w:left="0" w:right="1134"/>
        <w:rPr>
          <w:rStyle w:val="default"/>
          <w:rFonts w:cs="FrankRuehl"/>
          <w:rtl/>
        </w:rPr>
      </w:pPr>
      <w:bookmarkStart w:id="0" w:name="Seif15"/>
      <w:bookmarkEnd w:id="0"/>
      <w:r>
        <w:rPr>
          <w:lang w:val="he-IL"/>
        </w:rPr>
        <w:pict w14:anchorId="64BC025A">
          <v:rect id="_x0000_s1026" style="position:absolute;left:0;text-align:left;margin-left:464.5pt;margin-top:8.05pt;width:75.05pt;height:8pt;z-index:251666432" o:allowincell="f" filled="f" stroked="f" strokecolor="lime" strokeweight=".25pt">
            <v:textbox inset="0,0,0,0">
              <w:txbxContent>
                <w:p w14:paraId="72D4E6BA" w14:textId="77777777" w:rsidR="00CC2B16" w:rsidRDefault="00CC2B16">
                  <w:pPr>
                    <w:spacing w:line="160" w:lineRule="exact"/>
                    <w:jc w:val="left"/>
                    <w:rPr>
                      <w:rFonts w:cs="Miriam"/>
                      <w:noProof/>
                      <w:szCs w:val="18"/>
                      <w:rtl/>
                    </w:rPr>
                  </w:pPr>
                  <w:r>
                    <w:rPr>
                      <w:rFonts w:cs="Miriam"/>
                      <w:szCs w:val="18"/>
                      <w:rtl/>
                    </w:rPr>
                    <w:t>ה</w:t>
                  </w:r>
                  <w:r>
                    <w:rPr>
                      <w:rFonts w:cs="Miriam" w:hint="cs"/>
                      <w:szCs w:val="18"/>
                      <w:rtl/>
                    </w:rPr>
                    <w:t>שם הקצר ותחילת תוקף</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אלו תיקראנה תקנות בתי משפט שבטיים, 1937, ותקבלנה תוקף ביום הראשון בנובמבר, 1937.</w:t>
      </w:r>
    </w:p>
    <w:p w14:paraId="637294E2" w14:textId="77777777" w:rsidR="00CC2B16" w:rsidRDefault="00CC2B16">
      <w:pPr>
        <w:pStyle w:val="P00"/>
        <w:spacing w:before="72"/>
        <w:ind w:left="0" w:right="1134"/>
        <w:rPr>
          <w:rStyle w:val="default"/>
          <w:rFonts w:cs="FrankRuehl"/>
          <w:rtl/>
        </w:rPr>
      </w:pPr>
    </w:p>
    <w:p w14:paraId="3DC69B1C" w14:textId="77777777" w:rsidR="00CC2B16" w:rsidRDefault="00CC2B16">
      <w:pPr>
        <w:pStyle w:val="P00"/>
        <w:spacing w:before="72"/>
        <w:ind w:left="0" w:right="1134"/>
        <w:rPr>
          <w:rStyle w:val="default"/>
          <w:rFonts w:cs="FrankRuehl"/>
          <w:rtl/>
        </w:rPr>
      </w:pPr>
    </w:p>
    <w:p w14:paraId="0739686D" w14:textId="77777777" w:rsidR="00CC2B16" w:rsidRDefault="00CC2B16">
      <w:pPr>
        <w:pStyle w:val="P00"/>
        <w:spacing w:before="72"/>
        <w:ind w:left="0" w:right="1134"/>
        <w:rPr>
          <w:rStyle w:val="default"/>
          <w:rFonts w:cs="FrankRuehl"/>
          <w:rtl/>
        </w:rPr>
      </w:pPr>
    </w:p>
    <w:p w14:paraId="4067DC9D" w14:textId="77777777" w:rsidR="00CC2B16" w:rsidRDefault="00CC2B16">
      <w:pPr>
        <w:pStyle w:val="P00"/>
        <w:spacing w:before="72"/>
        <w:ind w:left="0" w:right="1134"/>
        <w:rPr>
          <w:rtl/>
        </w:rPr>
      </w:pPr>
      <w:r>
        <w:rPr>
          <w:rtl/>
        </w:rPr>
        <w:t>------------</w:t>
      </w:r>
    </w:p>
    <w:p w14:paraId="6B8743A8" w14:textId="77777777" w:rsidR="00CC2B16" w:rsidRDefault="00CC2B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(18)</w:t>
      </w:r>
      <w:r>
        <w:rPr>
          <w:rtl/>
        </w:rPr>
        <w:t> </w:t>
      </w:r>
      <w:r>
        <w:rPr>
          <w:sz w:val="20"/>
          <w:rtl/>
        </w:rPr>
        <w:t>פ</w:t>
      </w:r>
      <w:r>
        <w:rPr>
          <w:rFonts w:hint="cs"/>
          <w:sz w:val="20"/>
          <w:rtl/>
        </w:rPr>
        <w:t xml:space="preserve">ורסמו ע"ר מס' </w:t>
      </w:r>
      <w:r>
        <w:rPr>
          <w:sz w:val="20"/>
          <w:rtl/>
        </w:rPr>
        <w:t xml:space="preserve">719 </w:t>
      </w:r>
      <w:r>
        <w:rPr>
          <w:rFonts w:hint="cs"/>
          <w:sz w:val="20"/>
          <w:rtl/>
        </w:rPr>
        <w:t>מיום 16.9.1937, תוס' 2, עמ' (ע) 690, (א) 841;</w:t>
      </w:r>
    </w:p>
    <w:p w14:paraId="3F3B6EF4" w14:textId="77777777" w:rsidR="00CC2B16" w:rsidRDefault="00CC2B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וקנו ק"ת מס' 483 מיום ה' בחשון תשט"ו (4.11.1954), עמ' 123.</w:t>
      </w:r>
    </w:p>
    <w:p w14:paraId="661C6845" w14:textId="77777777" w:rsidR="00CC2B16" w:rsidRDefault="00CC2B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צ</w:t>
      </w:r>
      <w:r>
        <w:rPr>
          <w:rFonts w:hint="cs"/>
          <w:sz w:val="20"/>
          <w:rtl/>
        </w:rPr>
        <w:t>ריך לקרוא תקנות אלה לאור סעיף 5 מצו ייסוד בתי משפט, 1939, כפי שתוקן תשי"ד</w:t>
      </w:r>
      <w:r>
        <w:rPr>
          <w:sz w:val="20"/>
          <w:rtl/>
        </w:rPr>
        <w:t>–</w:t>
      </w:r>
      <w:r>
        <w:rPr>
          <w:rFonts w:hint="cs"/>
          <w:sz w:val="20"/>
          <w:rtl/>
        </w:rPr>
        <w:t>1954.</w:t>
      </w:r>
    </w:p>
    <w:p w14:paraId="6AD912E7" w14:textId="77777777" w:rsidR="00CC2B16" w:rsidRDefault="00CC2B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ה</w:t>
      </w:r>
      <w:r>
        <w:rPr>
          <w:rFonts w:hint="cs"/>
          <w:sz w:val="20"/>
          <w:rtl/>
        </w:rPr>
        <w:t>סעיפים הנ"ל דומים לסעיפים 22 ו-24 לפקודת בתי המשפט, 194</w:t>
      </w:r>
      <w:r>
        <w:rPr>
          <w:sz w:val="20"/>
          <w:rtl/>
        </w:rPr>
        <w:t>0.</w:t>
      </w:r>
    </w:p>
    <w:p w14:paraId="24B72114" w14:textId="77777777" w:rsidR="00CC2B16" w:rsidRDefault="00CC2B16">
      <w:pPr>
        <w:pStyle w:val="page"/>
        <w:widowControl/>
        <w:ind w:right="1134"/>
        <w:rPr>
          <w:position w:val="0"/>
          <w:rtl/>
        </w:rPr>
      </w:pPr>
      <w:r>
        <w:rPr>
          <w:position w:val="0"/>
          <w:rtl/>
        </w:rPr>
        <w:t xml:space="preserve"> </w:t>
      </w:r>
    </w:p>
    <w:p w14:paraId="207CCB2B" w14:textId="77777777" w:rsidR="00CC2B16" w:rsidRDefault="00CC2B16">
      <w:pPr>
        <w:pStyle w:val="P00"/>
        <w:spacing w:before="72"/>
        <w:ind w:left="0" w:right="1134"/>
        <w:rPr>
          <w:rStyle w:val="default"/>
          <w:rFonts w:cs="FrankRuehl"/>
          <w:rtl/>
        </w:rPr>
      </w:pPr>
      <w:bookmarkStart w:id="1" w:name="Seif0"/>
      <w:bookmarkEnd w:id="1"/>
      <w:r>
        <w:rPr>
          <w:lang w:val="he-IL"/>
        </w:rPr>
        <w:pict w14:anchorId="1BB31BC7">
          <v:rect id="_x0000_s1027" style="position:absolute;left:0;text-align:left;margin-left:464.5pt;margin-top:8.05pt;width:75.05pt;height:8pt;z-index:251649024" o:allowincell="f" filled="f" stroked="f" strokecolor="lime" strokeweight=".25pt">
            <v:textbox inset="0,0,0,0">
              <w:txbxContent>
                <w:p w14:paraId="79C3C5E1" w14:textId="77777777" w:rsidR="00CC2B16" w:rsidRDefault="00CC2B16">
                  <w:pPr>
                    <w:spacing w:line="160" w:lineRule="exact"/>
                    <w:jc w:val="left"/>
                    <w:rPr>
                      <w:rFonts w:cs="Miriam"/>
                      <w:noProof/>
                      <w:szCs w:val="18"/>
                      <w:rtl/>
                    </w:rPr>
                  </w:pPr>
                  <w:r>
                    <w:rPr>
                      <w:rFonts w:cs="Miriam"/>
                      <w:szCs w:val="18"/>
                      <w:rtl/>
                    </w:rPr>
                    <w:t>מ</w:t>
                  </w:r>
                  <w:r>
                    <w:rPr>
                      <w:rFonts w:cs="Miriam" w:hint="cs"/>
                      <w:szCs w:val="18"/>
                      <w:rtl/>
                    </w:rPr>
                    <w:t>קום המושב</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תי המשפט השבטיים שנתכוננו בנפת באר-שבע ישבו לדין באותם מקומות בנפה כפי שיקבע מזמן לזמן ע"י פקיד המחוז הממונה על הנפה.</w:t>
      </w:r>
    </w:p>
    <w:p w14:paraId="6E8AEE5C" w14:textId="77777777" w:rsidR="00CC2B16" w:rsidRDefault="00CC2B16">
      <w:pPr>
        <w:pStyle w:val="P00"/>
        <w:spacing w:before="72"/>
        <w:ind w:left="0" w:right="1134"/>
        <w:rPr>
          <w:rStyle w:val="default"/>
          <w:rFonts w:cs="FrankRuehl"/>
          <w:rtl/>
        </w:rPr>
      </w:pPr>
      <w:bookmarkStart w:id="2" w:name="Seif1"/>
      <w:bookmarkEnd w:id="2"/>
      <w:r>
        <w:rPr>
          <w:lang w:val="he-IL"/>
        </w:rPr>
        <w:pict w14:anchorId="413D560B">
          <v:rect id="_x0000_s1028" style="position:absolute;left:0;text-align:left;margin-left:464.5pt;margin-top:8.05pt;width:75.05pt;height:16pt;z-index:251650048" o:allowincell="f" filled="f" stroked="f" strokecolor="lime" strokeweight=".25pt">
            <v:textbox inset="0,0,0,0">
              <w:txbxContent>
                <w:p w14:paraId="08071C79" w14:textId="77777777" w:rsidR="00CC2B16" w:rsidRDefault="00CC2B16">
                  <w:pPr>
                    <w:spacing w:line="160" w:lineRule="exact"/>
                    <w:jc w:val="left"/>
                    <w:rPr>
                      <w:rFonts w:cs="Miriam"/>
                      <w:noProof/>
                      <w:szCs w:val="18"/>
                      <w:rtl/>
                    </w:rPr>
                  </w:pPr>
                  <w:r>
                    <w:rPr>
                      <w:rFonts w:cs="Miriam"/>
                      <w:szCs w:val="18"/>
                      <w:rtl/>
                    </w:rPr>
                    <w:t>ה</w:t>
                  </w:r>
                  <w:r>
                    <w:rPr>
                      <w:rFonts w:cs="Miriam" w:hint="cs"/>
                      <w:szCs w:val="18"/>
                      <w:rtl/>
                    </w:rPr>
                    <w:t>עברת משפטים לבתי המשפט השבטיים</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 xml:space="preserve">ית משפט שבטי רשאי לדון בכל משפט אזרחי או פלילי שהועבר אליו ע"י נשיא בית המשפט המחוזי או ע"י פקיד </w:t>
      </w:r>
      <w:r>
        <w:rPr>
          <w:rStyle w:val="default"/>
          <w:rFonts w:cs="FrankRuehl"/>
          <w:rtl/>
        </w:rPr>
        <w:t>ה</w:t>
      </w:r>
      <w:r>
        <w:rPr>
          <w:rStyle w:val="default"/>
          <w:rFonts w:cs="FrankRuehl" w:hint="cs"/>
          <w:rtl/>
        </w:rPr>
        <w:t xml:space="preserve">מחוז, ואולם לא יועברו משפטים לבית משפט שבטי </w:t>
      </w:r>
      <w:r>
        <w:rPr>
          <w:rStyle w:val="default"/>
          <w:rFonts w:cs="FrankRuehl"/>
          <w:rtl/>
        </w:rPr>
        <w:t>—</w:t>
      </w:r>
    </w:p>
    <w:p w14:paraId="62E73309" w14:textId="77777777" w:rsidR="00CC2B16" w:rsidRDefault="00CC2B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כשצד אחד או שני הצדדים הם תושבים קבועים של העיר באר-שבע;</w:t>
      </w:r>
    </w:p>
    <w:p w14:paraId="5A9DC499" w14:textId="77777777" w:rsidR="00CC2B16" w:rsidRDefault="00CC2B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כשמאשימים את הנאשם בהריגה או ברצח;</w:t>
      </w:r>
    </w:p>
    <w:p w14:paraId="718C03BC" w14:textId="77777777" w:rsidR="00CC2B16" w:rsidRDefault="00CC2B1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כשהעונש המינימלי הקבוע עולה על קנס של 25 לירות או מאסר לתקופה העולה על שלושה חדשים.</w:t>
      </w:r>
    </w:p>
    <w:p w14:paraId="2378418E" w14:textId="77777777" w:rsidR="00CC2B16" w:rsidRDefault="00CC2B16">
      <w:pPr>
        <w:pStyle w:val="P00"/>
        <w:spacing w:before="72"/>
        <w:ind w:left="0" w:right="1134"/>
        <w:rPr>
          <w:rStyle w:val="default"/>
          <w:rFonts w:cs="FrankRuehl"/>
          <w:rtl/>
        </w:rPr>
      </w:pPr>
      <w:bookmarkStart w:id="3" w:name="Seif2"/>
      <w:bookmarkEnd w:id="3"/>
      <w:r>
        <w:rPr>
          <w:lang w:val="he-IL"/>
        </w:rPr>
        <w:pict w14:anchorId="691AB90A">
          <v:rect id="_x0000_s1029" style="position:absolute;left:0;text-align:left;margin-left:464.5pt;margin-top:8.05pt;width:75.05pt;height:16pt;z-index:251651072" o:allowincell="f" filled="f" stroked="f" strokecolor="lime" strokeweight=".25pt">
            <v:textbox inset="0,0,0,0">
              <w:txbxContent>
                <w:p w14:paraId="7CDED215" w14:textId="77777777" w:rsidR="00CC2B16" w:rsidRDefault="00CC2B16">
                  <w:pPr>
                    <w:spacing w:line="160" w:lineRule="exact"/>
                    <w:jc w:val="left"/>
                    <w:rPr>
                      <w:rFonts w:cs="Miriam"/>
                      <w:noProof/>
                      <w:szCs w:val="18"/>
                      <w:rtl/>
                    </w:rPr>
                  </w:pPr>
                  <w:r>
                    <w:rPr>
                      <w:rFonts w:cs="Miriam"/>
                      <w:szCs w:val="18"/>
                      <w:rtl/>
                    </w:rPr>
                    <w:t>ע</w:t>
                  </w:r>
                  <w:r>
                    <w:rPr>
                      <w:rFonts w:cs="Miriam" w:hint="cs"/>
                      <w:szCs w:val="18"/>
                      <w:rtl/>
                    </w:rPr>
                    <w:t>רעור נגד הע</w:t>
                  </w:r>
                  <w:r>
                    <w:rPr>
                      <w:rFonts w:cs="Miriam"/>
                      <w:szCs w:val="18"/>
                      <w:rtl/>
                    </w:rPr>
                    <w:t>ב</w:t>
                  </w:r>
                  <w:r>
                    <w:rPr>
                      <w:rFonts w:cs="Miriam" w:hint="cs"/>
                      <w:szCs w:val="18"/>
                      <w:rtl/>
                    </w:rPr>
                    <w:t>רת משפט לבית משפט שבטי</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וטר שאינו למטה מ</w:t>
      </w:r>
      <w:r>
        <w:rPr>
          <w:rStyle w:val="default"/>
          <w:rFonts w:cs="FrankRuehl"/>
          <w:rtl/>
        </w:rPr>
        <w:t>ד</w:t>
      </w:r>
      <w:r>
        <w:rPr>
          <w:rStyle w:val="default"/>
          <w:rFonts w:cs="FrankRuehl" w:hint="cs"/>
          <w:rtl/>
        </w:rPr>
        <w:t>רגת סגן מפקח או כל אדם המוצא את עצמו מקופח ע"י העברת משפט לבית משפט שבטי, רשאי לערער נגד העברת אותו משפט בפני בית המשפט המחוזי של באר-שבע</w:t>
      </w:r>
      <w:r>
        <w:rPr>
          <w:rStyle w:val="super"/>
          <w:noProof w:val="0"/>
          <w:rtl/>
        </w:rPr>
        <w:t>(*)</w:t>
      </w:r>
      <w:r>
        <w:rPr>
          <w:rStyle w:val="default"/>
          <w:rFonts w:cs="FrankRuehl"/>
          <w:rtl/>
        </w:rPr>
        <w:t xml:space="preserve"> </w:t>
      </w:r>
      <w:r>
        <w:rPr>
          <w:rStyle w:val="default"/>
          <w:rFonts w:cs="FrankRuehl" w:hint="cs"/>
          <w:rtl/>
        </w:rPr>
        <w:t>ועד שיוחלט על אותו ערעור לא יתברר המשפט.</w:t>
      </w:r>
    </w:p>
    <w:p w14:paraId="57779A9C" w14:textId="77777777" w:rsidR="00CC2B16" w:rsidRDefault="00CC2B16">
      <w:pPr>
        <w:pStyle w:val="P00"/>
        <w:spacing w:before="72"/>
        <w:ind w:left="0" w:right="1134"/>
        <w:rPr>
          <w:rStyle w:val="default"/>
          <w:rFonts w:cs="FrankRuehl"/>
          <w:rtl/>
        </w:rPr>
      </w:pPr>
      <w:bookmarkStart w:id="4" w:name="Seif3"/>
      <w:bookmarkEnd w:id="4"/>
      <w:r>
        <w:rPr>
          <w:lang w:val="he-IL"/>
        </w:rPr>
        <w:pict w14:anchorId="413994B1">
          <v:rect id="_x0000_s1030" style="position:absolute;left:0;text-align:left;margin-left:464.5pt;margin-top:8.05pt;width:75.05pt;height:16pt;z-index:251652096" o:allowincell="f" filled="f" stroked="f" strokecolor="lime" strokeweight=".25pt">
            <v:textbox inset="0,0,0,0">
              <w:txbxContent>
                <w:p w14:paraId="1153DB3C" w14:textId="77777777" w:rsidR="00CC2B16" w:rsidRDefault="00CC2B16">
                  <w:pPr>
                    <w:spacing w:line="160" w:lineRule="exact"/>
                    <w:jc w:val="left"/>
                    <w:rPr>
                      <w:rFonts w:cs="Miriam"/>
                      <w:noProof/>
                      <w:szCs w:val="18"/>
                      <w:rtl/>
                    </w:rPr>
                  </w:pPr>
                  <w:r>
                    <w:rPr>
                      <w:rFonts w:cs="Miriam"/>
                      <w:szCs w:val="18"/>
                      <w:rtl/>
                    </w:rPr>
                    <w:t>ה</w:t>
                  </w:r>
                  <w:r>
                    <w:rPr>
                      <w:rFonts w:cs="Miriam" w:hint="cs"/>
                      <w:szCs w:val="18"/>
                      <w:rtl/>
                    </w:rPr>
                    <w:t>גבלה בשיפוט במשפטים</w:t>
                  </w:r>
                </w:p>
                <w:p w14:paraId="590E3482" w14:textId="77777777" w:rsidR="00CC2B16" w:rsidRDefault="00CC2B16">
                  <w:pPr>
                    <w:spacing w:line="160" w:lineRule="exact"/>
                    <w:jc w:val="left"/>
                    <w:rPr>
                      <w:rFonts w:cs="Miriam"/>
                      <w:noProof/>
                      <w:szCs w:val="18"/>
                      <w:rtl/>
                    </w:rPr>
                  </w:pPr>
                  <w:r>
                    <w:rPr>
                      <w:rFonts w:cs="Miriam"/>
                      <w:szCs w:val="18"/>
                      <w:rtl/>
                    </w:rPr>
                    <w:t>פ</w:t>
                  </w:r>
                  <w:r>
                    <w:rPr>
                      <w:rFonts w:cs="Miriam" w:hint="cs"/>
                      <w:szCs w:val="18"/>
                      <w:rtl/>
                    </w:rPr>
                    <w:t>ליליים</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עולם אסור לבית משפט שבטי לחרוץ במשפט פלילי גזר דין של קנס העולה על 5</w:t>
      </w:r>
      <w:r>
        <w:rPr>
          <w:rStyle w:val="default"/>
          <w:rFonts w:cs="FrankRuehl"/>
          <w:rtl/>
        </w:rPr>
        <w:t xml:space="preserve">0 </w:t>
      </w:r>
      <w:r>
        <w:rPr>
          <w:rStyle w:val="default"/>
          <w:rFonts w:cs="FrankRuehl" w:hint="cs"/>
          <w:rtl/>
        </w:rPr>
        <w:t>לירות או מאסר לתקופה של שלושה חדשים.</w:t>
      </w:r>
    </w:p>
    <w:p w14:paraId="22732B17" w14:textId="77777777" w:rsidR="00CC2B16" w:rsidRDefault="00CC2B16">
      <w:pPr>
        <w:pStyle w:val="P00"/>
        <w:spacing w:before="72"/>
        <w:ind w:left="0" w:right="1134"/>
        <w:rPr>
          <w:rStyle w:val="default"/>
          <w:rFonts w:cs="FrankRuehl"/>
          <w:rtl/>
        </w:rPr>
      </w:pPr>
      <w:bookmarkStart w:id="5" w:name="Seif4"/>
      <w:bookmarkEnd w:id="5"/>
      <w:r>
        <w:rPr>
          <w:lang w:val="he-IL"/>
        </w:rPr>
        <w:pict w14:anchorId="590A1EE5">
          <v:rect id="_x0000_s1031" style="position:absolute;left:0;text-align:left;margin-left:464.5pt;margin-top:8.05pt;width:75.05pt;height:16pt;z-index:251653120" o:allowincell="f" filled="f" stroked="f" strokecolor="lime" strokeweight=".25pt">
            <v:textbox inset="0,0,0,0">
              <w:txbxContent>
                <w:p w14:paraId="7883C0FF" w14:textId="77777777" w:rsidR="00CC2B16" w:rsidRDefault="00CC2B16">
                  <w:pPr>
                    <w:spacing w:line="160" w:lineRule="exact"/>
                    <w:jc w:val="left"/>
                    <w:rPr>
                      <w:rFonts w:cs="Miriam"/>
                      <w:noProof/>
                      <w:szCs w:val="18"/>
                      <w:rtl/>
                    </w:rPr>
                  </w:pPr>
                  <w:r>
                    <w:rPr>
                      <w:rFonts w:cs="Miriam"/>
                      <w:szCs w:val="18"/>
                      <w:rtl/>
                    </w:rPr>
                    <w:t>ה</w:t>
                  </w:r>
                  <w:r>
                    <w:rPr>
                      <w:rFonts w:cs="Miriam" w:hint="cs"/>
                      <w:szCs w:val="18"/>
                      <w:rtl/>
                    </w:rPr>
                    <w:t>גבלה בשיפוט במשפטים בקשר עם נכסי מקרקעים</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סור לבית משפט שבטי להחליט בכל שאלה של בעלות נכסי מקרקעים, אלא רשאי הוא ליתן אותו צו שימצא לנכון בנידון חזקה בנכסי מקרקעים.</w:t>
      </w:r>
    </w:p>
    <w:p w14:paraId="3748D1B8" w14:textId="77777777" w:rsidR="00CC2B16" w:rsidRDefault="00CC2B16">
      <w:pPr>
        <w:pStyle w:val="P00"/>
        <w:spacing w:before="72"/>
        <w:ind w:left="0" w:right="1134"/>
        <w:rPr>
          <w:rStyle w:val="default"/>
          <w:rFonts w:cs="FrankRuehl"/>
          <w:rtl/>
        </w:rPr>
      </w:pPr>
      <w:bookmarkStart w:id="6" w:name="Seif5"/>
      <w:bookmarkEnd w:id="6"/>
      <w:r>
        <w:rPr>
          <w:lang w:val="he-IL"/>
        </w:rPr>
        <w:pict w14:anchorId="745013CD">
          <v:rect id="_x0000_s1032" style="position:absolute;left:0;text-align:left;margin-left:464.5pt;margin-top:8.05pt;width:75.05pt;height:8pt;z-index:251654144" o:allowincell="f" filled="f" stroked="f" strokecolor="lime" strokeweight=".25pt">
            <v:textbox inset="0,0,0,0">
              <w:txbxContent>
                <w:p w14:paraId="3BEEDCFD" w14:textId="77777777" w:rsidR="00CC2B16" w:rsidRDefault="00CC2B16">
                  <w:pPr>
                    <w:spacing w:line="160" w:lineRule="exact"/>
                    <w:jc w:val="left"/>
                    <w:rPr>
                      <w:rFonts w:cs="Miriam"/>
                      <w:noProof/>
                      <w:szCs w:val="18"/>
                      <w:rtl/>
                    </w:rPr>
                  </w:pPr>
                  <w:r>
                    <w:rPr>
                      <w:rFonts w:cs="Miriam"/>
                      <w:szCs w:val="18"/>
                      <w:rtl/>
                    </w:rPr>
                    <w:t>ת</w:t>
                  </w:r>
                  <w:r>
                    <w:rPr>
                      <w:rFonts w:cs="Miriam" w:hint="cs"/>
                      <w:szCs w:val="18"/>
                      <w:rtl/>
                    </w:rPr>
                    <w:t>ק' תשט"ו</w:t>
                  </w:r>
                  <w:r>
                    <w:rPr>
                      <w:rFonts w:cs="Miriam"/>
                      <w:szCs w:val="18"/>
                      <w:rtl/>
                    </w:rPr>
                    <w:t>–</w:t>
                  </w:r>
                  <w:r>
                    <w:rPr>
                      <w:rFonts w:cs="Miriam" w:hint="cs"/>
                      <w:szCs w:val="18"/>
                      <w:rtl/>
                    </w:rPr>
                    <w:t>1954</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בוטלה).</w:t>
      </w:r>
    </w:p>
    <w:p w14:paraId="7FA25ACE" w14:textId="77777777" w:rsidR="00CC2B16" w:rsidRDefault="00CC2B16">
      <w:pPr>
        <w:pStyle w:val="P00"/>
        <w:spacing w:before="72"/>
        <w:ind w:left="0" w:right="1134"/>
        <w:rPr>
          <w:rStyle w:val="default"/>
          <w:rFonts w:cs="FrankRuehl"/>
          <w:rtl/>
        </w:rPr>
      </w:pPr>
      <w:bookmarkStart w:id="7" w:name="Seif6"/>
      <w:bookmarkEnd w:id="7"/>
      <w:r>
        <w:rPr>
          <w:lang w:val="he-IL"/>
        </w:rPr>
        <w:pict w14:anchorId="3F148CCB">
          <v:rect id="_x0000_s1033" style="position:absolute;left:0;text-align:left;margin-left:464.5pt;margin-top:8.05pt;width:75.05pt;height:8pt;z-index:251655168" o:allowincell="f" filled="f" stroked="f" strokecolor="lime" strokeweight=".25pt">
            <v:textbox inset="0,0,0,0">
              <w:txbxContent>
                <w:p w14:paraId="115DA099" w14:textId="77777777" w:rsidR="00CC2B16" w:rsidRDefault="00CC2B16">
                  <w:pPr>
                    <w:spacing w:line="160" w:lineRule="exact"/>
                    <w:jc w:val="left"/>
                    <w:rPr>
                      <w:rFonts w:cs="Miriam"/>
                      <w:noProof/>
                      <w:szCs w:val="18"/>
                      <w:rtl/>
                    </w:rPr>
                  </w:pPr>
                  <w:r>
                    <w:rPr>
                      <w:rFonts w:cs="Miriam"/>
                      <w:szCs w:val="18"/>
                      <w:rtl/>
                    </w:rPr>
                    <w:t>ה</w:t>
                  </w:r>
                  <w:r>
                    <w:rPr>
                      <w:rFonts w:cs="Miriam" w:hint="cs"/>
                      <w:szCs w:val="18"/>
                      <w:rtl/>
                    </w:rPr>
                    <w:t>תחלת משפט</w:t>
                  </w:r>
                </w:p>
              </w:txbxContent>
            </v:textbox>
            <w10:anchorlock/>
          </v:rect>
        </w:pict>
      </w:r>
      <w:r>
        <w:rPr>
          <w:rStyle w:val="big-number"/>
          <w:rtl/>
        </w:rPr>
        <w:t>8.</w:t>
      </w:r>
      <w:r>
        <w:rPr>
          <w:rStyle w:val="big-number"/>
          <w:rtl/>
        </w:rPr>
        <w:tab/>
      </w:r>
      <w:r>
        <w:rPr>
          <w:rStyle w:val="default"/>
          <w:rFonts w:cs="FrankRuehl"/>
          <w:rtl/>
        </w:rPr>
        <w:t>כ</w:t>
      </w:r>
      <w:r>
        <w:rPr>
          <w:rStyle w:val="default"/>
          <w:rFonts w:cs="FrankRuehl" w:hint="cs"/>
          <w:rtl/>
        </w:rPr>
        <w:t>ל תביעה המתעוררת בנפת באר-שבע, פרט לתביעה בגבולות שיפוטו של בית משפט מו</w:t>
      </w:r>
      <w:r>
        <w:rPr>
          <w:rStyle w:val="default"/>
          <w:rFonts w:cs="FrankRuehl"/>
          <w:rtl/>
        </w:rPr>
        <w:t>ש</w:t>
      </w:r>
      <w:r>
        <w:rPr>
          <w:rStyle w:val="default"/>
          <w:rFonts w:cs="FrankRuehl" w:hint="cs"/>
          <w:rtl/>
        </w:rPr>
        <w:t>למי דתי ובית משפט שלום, תתחיל עם הגשת בקשה לפקיד המחוז.</w:t>
      </w:r>
    </w:p>
    <w:p w14:paraId="12827E4F" w14:textId="77777777" w:rsidR="00CC2B16" w:rsidRDefault="00CC2B16">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ביטוי "תביעה המתעוררת בנפת באר-שבע" פירושו כל תביעה שהנתבע גר בנפה או שהנכס השנוי במחלוקת נמצא בנפה.</w:t>
      </w:r>
    </w:p>
    <w:p w14:paraId="33345EB6" w14:textId="77777777" w:rsidR="00CC2B16" w:rsidRDefault="00CC2B16">
      <w:pPr>
        <w:pStyle w:val="P00"/>
        <w:spacing w:before="72"/>
        <w:ind w:left="0" w:right="1134"/>
        <w:rPr>
          <w:rStyle w:val="default"/>
          <w:rFonts w:cs="FrankRuehl"/>
          <w:rtl/>
        </w:rPr>
      </w:pPr>
      <w:bookmarkStart w:id="8" w:name="Seif7"/>
      <w:bookmarkEnd w:id="8"/>
      <w:r>
        <w:rPr>
          <w:lang w:val="he-IL"/>
        </w:rPr>
        <w:pict w14:anchorId="126A2230">
          <v:rect id="_x0000_s1034" style="position:absolute;left:0;text-align:left;margin-left:464.5pt;margin-top:8.05pt;width:75.05pt;height:24pt;z-index:251656192" o:allowincell="f" filled="f" stroked="f" strokecolor="lime" strokeweight=".25pt">
            <v:textbox inset="0,0,0,0">
              <w:txbxContent>
                <w:p w14:paraId="618679C2" w14:textId="77777777" w:rsidR="00CC2B16" w:rsidRDefault="00CC2B16">
                  <w:pPr>
                    <w:spacing w:line="160" w:lineRule="exact"/>
                    <w:jc w:val="left"/>
                    <w:rPr>
                      <w:rFonts w:cs="Miriam"/>
                      <w:noProof/>
                      <w:szCs w:val="18"/>
                      <w:rtl/>
                    </w:rPr>
                  </w:pPr>
                  <w:r>
                    <w:rPr>
                      <w:rFonts w:cs="Miriam"/>
                      <w:szCs w:val="18"/>
                      <w:rtl/>
                    </w:rPr>
                    <w:t>ה</w:t>
                  </w:r>
                  <w:r>
                    <w:rPr>
                      <w:rFonts w:cs="Miriam" w:hint="cs"/>
                      <w:szCs w:val="18"/>
                      <w:rtl/>
                    </w:rPr>
                    <w:t>פרוצדורה</w:t>
                  </w:r>
                </w:p>
                <w:p w14:paraId="7EF9FA7D" w14:textId="77777777" w:rsidR="00CC2B16" w:rsidRDefault="00CC2B16">
                  <w:pPr>
                    <w:spacing w:line="160" w:lineRule="exact"/>
                    <w:jc w:val="left"/>
                    <w:rPr>
                      <w:rFonts w:cs="Miriam"/>
                      <w:noProof/>
                      <w:szCs w:val="18"/>
                      <w:rtl/>
                    </w:rPr>
                  </w:pPr>
                  <w:r>
                    <w:rPr>
                      <w:rFonts w:cs="Miriam"/>
                      <w:szCs w:val="18"/>
                      <w:rtl/>
                    </w:rPr>
                    <w:t>ת</w:t>
                  </w:r>
                  <w:r>
                    <w:rPr>
                      <w:rFonts w:cs="Miriam" w:hint="cs"/>
                      <w:szCs w:val="18"/>
                      <w:rtl/>
                    </w:rPr>
                    <w:t>היה לפי</w:t>
                  </w:r>
                </w:p>
                <w:p w14:paraId="570B86A5" w14:textId="77777777" w:rsidR="00CC2B16" w:rsidRDefault="00CC2B16">
                  <w:pPr>
                    <w:spacing w:line="160" w:lineRule="exact"/>
                    <w:jc w:val="left"/>
                    <w:rPr>
                      <w:rFonts w:cs="Miriam"/>
                      <w:noProof/>
                      <w:szCs w:val="18"/>
                      <w:rtl/>
                    </w:rPr>
                  </w:pPr>
                  <w:r>
                    <w:rPr>
                      <w:rFonts w:cs="Miriam"/>
                      <w:szCs w:val="18"/>
                      <w:rtl/>
                    </w:rPr>
                    <w:t>מ</w:t>
                  </w:r>
                  <w:r>
                    <w:rPr>
                      <w:rFonts w:cs="Miriam" w:hint="cs"/>
                      <w:szCs w:val="18"/>
                      <w:rtl/>
                    </w:rPr>
                    <w:t>נהג המקום</w:t>
                  </w:r>
                </w:p>
              </w:txbxContent>
            </v:textbox>
            <w10:anchorlock/>
          </v:rect>
        </w:pict>
      </w:r>
      <w:r>
        <w:rPr>
          <w:rStyle w:val="big-number"/>
          <w:rtl/>
        </w:rPr>
        <w:t>9.</w:t>
      </w:r>
      <w:r>
        <w:rPr>
          <w:rStyle w:val="big-number"/>
          <w:rtl/>
        </w:rPr>
        <w:tab/>
      </w:r>
      <w:r>
        <w:rPr>
          <w:rStyle w:val="default"/>
          <w:rFonts w:cs="FrankRuehl"/>
          <w:rtl/>
        </w:rPr>
        <w:t>(1)</w:t>
      </w:r>
      <w:r>
        <w:rPr>
          <w:rStyle w:val="default"/>
          <w:rFonts w:cs="FrankRuehl"/>
          <w:rtl/>
        </w:rPr>
        <w:tab/>
      </w:r>
      <w:r>
        <w:rPr>
          <w:rStyle w:val="default"/>
          <w:rFonts w:cs="FrankRuehl" w:hint="cs"/>
          <w:rtl/>
        </w:rPr>
        <w:t>הפרוצדורה בבית משפט שבטי תהא נוהגת לפי מנהג המקום, ובית המשפט או כל חבר מחבריו רשאי להעב</w:t>
      </w:r>
      <w:r>
        <w:rPr>
          <w:rStyle w:val="default"/>
          <w:rFonts w:cs="FrankRuehl"/>
          <w:rtl/>
        </w:rPr>
        <w:t>י</w:t>
      </w:r>
      <w:r>
        <w:rPr>
          <w:rStyle w:val="default"/>
          <w:rFonts w:cs="FrankRuehl" w:hint="cs"/>
          <w:rtl/>
        </w:rPr>
        <w:t>ר לפקיד המחוז כל נקודה שתתעורר בקשר עם הפרוצדורה לשם הכרעה.</w:t>
      </w:r>
    </w:p>
    <w:p w14:paraId="7B2246ED" w14:textId="77777777" w:rsidR="00CC2B16" w:rsidRDefault="00CC2B16">
      <w:pPr>
        <w:pStyle w:val="P00"/>
        <w:spacing w:before="72"/>
        <w:ind w:left="0" w:right="1134"/>
        <w:rPr>
          <w:rtl/>
        </w:rPr>
      </w:pPr>
      <w:r>
        <w:rPr>
          <w:rtl/>
        </w:rPr>
        <w:t>------------</w:t>
      </w:r>
    </w:p>
    <w:p w14:paraId="6D07F7FE" w14:textId="77777777" w:rsidR="00CC2B16" w:rsidRDefault="00CC2B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ב</w:t>
      </w:r>
      <w:r>
        <w:rPr>
          <w:rFonts w:hint="cs"/>
          <w:sz w:val="20"/>
          <w:rtl/>
        </w:rPr>
        <w:t>באר-שבע מעולם לא היה בית-משפט מחוזי.</w:t>
      </w:r>
    </w:p>
    <w:p w14:paraId="65C1BBE4" w14:textId="77777777" w:rsidR="00CC2B16" w:rsidRDefault="00CC2B16">
      <w:pPr>
        <w:pStyle w:val="page"/>
        <w:widowControl/>
        <w:ind w:right="1134"/>
        <w:rPr>
          <w:position w:val="0"/>
          <w:rtl/>
        </w:rPr>
      </w:pPr>
      <w:r>
        <w:rPr>
          <w:position w:val="0"/>
          <w:rtl/>
        </w:rPr>
        <w:t xml:space="preserve"> </w:t>
      </w:r>
    </w:p>
    <w:p w14:paraId="5451F3F7" w14:textId="77777777" w:rsidR="00CC2B16" w:rsidRDefault="00CC2B16">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בכל הליכים בפני בית משפט שבטי, אם אחד מהצדדים או אחד העדים מציע לתת </w:t>
      </w:r>
      <w:r>
        <w:rPr>
          <w:rStyle w:val="default"/>
          <w:rFonts w:cs="FrankRuehl" w:hint="cs"/>
          <w:rtl/>
        </w:rPr>
        <w:lastRenderedPageBreak/>
        <w:t>עדות בשבועה או בהן-צדק בצורה הנחשבת בין ב</w:t>
      </w:r>
      <w:r>
        <w:rPr>
          <w:rStyle w:val="default"/>
          <w:rFonts w:cs="FrankRuehl"/>
          <w:rtl/>
        </w:rPr>
        <w:t>נ</w:t>
      </w:r>
      <w:r>
        <w:rPr>
          <w:rStyle w:val="default"/>
          <w:rFonts w:cs="FrankRuehl" w:hint="cs"/>
          <w:rtl/>
        </w:rPr>
        <w:t xml:space="preserve">י שבטו כמחייבת ואינה מתנגדת לצדק או ליושר, או אם הוא מקבל עליו התחייבות על פי שבועה או הן-צדק של הצד השני במשפט או של עד במשפט, רשאי בית המשפט לצוות שאותה שבועה או אותו הן-צדק יהיו נמסרים, ורשאי למלא את ידו של כל אדם ע"י צו בכתב להשביע באותה צורה ובאותו </w:t>
      </w:r>
      <w:r>
        <w:rPr>
          <w:rStyle w:val="default"/>
          <w:rFonts w:cs="FrankRuehl"/>
          <w:rtl/>
        </w:rPr>
        <w:t>מק</w:t>
      </w:r>
      <w:r>
        <w:rPr>
          <w:rStyle w:val="default"/>
          <w:rFonts w:cs="FrankRuehl" w:hint="cs"/>
          <w:rtl/>
        </w:rPr>
        <w:t>ום שידרשו הצדדים.</w:t>
      </w:r>
    </w:p>
    <w:p w14:paraId="67093846" w14:textId="77777777" w:rsidR="00CC2B16" w:rsidRDefault="00CC2B16">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עדות שניתנה בצורה זו תיחשב הוכחה כנגד האדם שקיבל עליו התחייבות. רשאי הצד במשפט או העד לסרב להישבע או למסור הן-צדק כפי שהוצע לו, אך במקרה זה ירשום בית המשפט את סירובו בצירוף כל נימוק שיינתן על ידו, ויסיק מתוך הסירוב כל מסקנה שהוא חושב ל</w:t>
      </w:r>
      <w:r>
        <w:rPr>
          <w:rStyle w:val="default"/>
          <w:rFonts w:cs="FrankRuehl"/>
          <w:rtl/>
        </w:rPr>
        <w:t>ר</w:t>
      </w:r>
      <w:r>
        <w:rPr>
          <w:rStyle w:val="default"/>
          <w:rFonts w:cs="FrankRuehl" w:hint="cs"/>
          <w:rtl/>
        </w:rPr>
        <w:t>אוי.</w:t>
      </w:r>
    </w:p>
    <w:p w14:paraId="67C0C4B2" w14:textId="77777777" w:rsidR="00CC2B16" w:rsidRDefault="00CC2B16">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בכל משפט פלילי רשאי בית המשפט השבטי, בהחליטו אם להטיל עונש על עבירה או בהחליטו על מהות העונש, להתחשב בכל פיצוי שניתן או הוסכם שינתן על ידי העבריין לצדדים הנפגעים.</w:t>
      </w:r>
    </w:p>
    <w:p w14:paraId="6946D6C0" w14:textId="77777777" w:rsidR="00CC2B16" w:rsidRDefault="00CC2B16">
      <w:pPr>
        <w:pStyle w:val="P00"/>
        <w:spacing w:before="72"/>
        <w:ind w:left="0" w:right="1134"/>
        <w:rPr>
          <w:rStyle w:val="default"/>
          <w:rFonts w:cs="FrankRuehl"/>
          <w:rtl/>
        </w:rPr>
      </w:pPr>
      <w:r>
        <w:rPr>
          <w:lang w:val="he-IL"/>
        </w:rPr>
        <w:pict w14:anchorId="0CAE4822">
          <v:rect id="_x0000_s1035" style="position:absolute;left:0;text-align:left;margin-left:464.5pt;margin-top:8.05pt;width:75.05pt;height:8pt;z-index:251657216" o:allowincell="f" filled="f" stroked="f" strokecolor="lime" strokeweight=".25pt">
            <v:textbox inset="0,0,0,0">
              <w:txbxContent>
                <w:p w14:paraId="5F07EE0D" w14:textId="77777777" w:rsidR="00CC2B16" w:rsidRDefault="00CC2B16">
                  <w:pPr>
                    <w:spacing w:line="160" w:lineRule="exact"/>
                    <w:jc w:val="left"/>
                    <w:rPr>
                      <w:rFonts w:cs="Miriam"/>
                      <w:noProof/>
                      <w:szCs w:val="18"/>
                      <w:rtl/>
                    </w:rPr>
                  </w:pPr>
                  <w:r>
                    <w:rPr>
                      <w:rFonts w:cs="Miriam"/>
                      <w:szCs w:val="18"/>
                      <w:rtl/>
                    </w:rPr>
                    <w:t>ת</w:t>
                  </w:r>
                  <w:r>
                    <w:rPr>
                      <w:rFonts w:cs="Miriam" w:hint="cs"/>
                      <w:szCs w:val="18"/>
                      <w:rtl/>
                    </w:rPr>
                    <w:t>ק' תשט"ו</w:t>
                  </w:r>
                  <w:r>
                    <w:rPr>
                      <w:rFonts w:cs="Miriam"/>
                      <w:szCs w:val="18"/>
                      <w:rtl/>
                    </w:rPr>
                    <w:t>–</w:t>
                  </w:r>
                  <w:r>
                    <w:rPr>
                      <w:rFonts w:cs="Miriam" w:hint="cs"/>
                      <w:szCs w:val="18"/>
                      <w:rtl/>
                    </w:rPr>
                    <w:t>1954</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אסור לעורך דין להופיע בשמו של כל צד בפני בית המשפט השבטי.</w:t>
      </w:r>
    </w:p>
    <w:p w14:paraId="5DA967C7" w14:textId="77777777" w:rsidR="00CC2B16" w:rsidRDefault="00CC2B16">
      <w:pPr>
        <w:pStyle w:val="P00"/>
        <w:spacing w:before="72"/>
        <w:ind w:left="0" w:right="1134"/>
        <w:rPr>
          <w:rStyle w:val="default"/>
          <w:rFonts w:cs="FrankRuehl"/>
          <w:rtl/>
        </w:rPr>
      </w:pPr>
      <w:bookmarkStart w:id="9" w:name="Seif8"/>
      <w:bookmarkEnd w:id="9"/>
      <w:r>
        <w:rPr>
          <w:lang w:val="he-IL"/>
        </w:rPr>
        <w:pict w14:anchorId="1511F8C7">
          <v:rect id="_x0000_s1036" style="position:absolute;left:0;text-align:left;margin-left:464.5pt;margin-top:8.05pt;width:75.05pt;height:8pt;z-index:251658240" o:allowincell="f" filled="f" stroked="f" strokecolor="lime" strokeweight=".25pt">
            <v:textbox inset="0,0,0,0">
              <w:txbxContent>
                <w:p w14:paraId="2F0D39B5" w14:textId="77777777" w:rsidR="00CC2B16" w:rsidRDefault="00CC2B16">
                  <w:pPr>
                    <w:spacing w:line="160" w:lineRule="exact"/>
                    <w:jc w:val="left"/>
                    <w:rPr>
                      <w:rFonts w:cs="Miriam"/>
                      <w:noProof/>
                      <w:szCs w:val="18"/>
                      <w:rtl/>
                    </w:rPr>
                  </w:pPr>
                  <w:r>
                    <w:rPr>
                      <w:rFonts w:cs="Miriam"/>
                      <w:szCs w:val="18"/>
                      <w:rtl/>
                    </w:rPr>
                    <w:t>ה</w:t>
                  </w:r>
                  <w:r>
                    <w:rPr>
                      <w:rFonts w:cs="Miriam" w:hint="cs"/>
                      <w:szCs w:val="18"/>
                      <w:rtl/>
                    </w:rPr>
                    <w:t>ופעתם של עדים</w:t>
                  </w:r>
                </w:p>
              </w:txbxContent>
            </v:textbox>
            <w10:anchorlock/>
          </v:rect>
        </w:pict>
      </w:r>
      <w:r>
        <w:rPr>
          <w:rStyle w:val="big-number"/>
          <w:rtl/>
        </w:rPr>
        <w:t>10.</w:t>
      </w:r>
      <w:r>
        <w:rPr>
          <w:rStyle w:val="big-number"/>
          <w:rtl/>
        </w:rPr>
        <w:tab/>
      </w:r>
      <w:r>
        <w:rPr>
          <w:rStyle w:val="default"/>
          <w:rFonts w:cs="FrankRuehl"/>
          <w:rtl/>
        </w:rPr>
        <w:t>ר</w:t>
      </w:r>
      <w:r>
        <w:rPr>
          <w:rStyle w:val="default"/>
          <w:rFonts w:cs="FrankRuehl" w:hint="cs"/>
          <w:rtl/>
        </w:rPr>
        <w:t>שאי בית המשפ</w:t>
      </w:r>
      <w:r>
        <w:rPr>
          <w:rStyle w:val="default"/>
          <w:rFonts w:cs="FrankRuehl"/>
          <w:rtl/>
        </w:rPr>
        <w:t>ט</w:t>
      </w:r>
      <w:r>
        <w:rPr>
          <w:rStyle w:val="default"/>
          <w:rFonts w:cs="FrankRuehl" w:hint="cs"/>
          <w:rtl/>
        </w:rPr>
        <w:t xml:space="preserve"> השבטי להטיל קנס שלא יעלה על 2 לירות על כל עד שלא הופיע בפני בית המשפט לאחר שהוזמן כהלכה ואשר אינו יכול ליתן סיבה מספקת על העדרו. כמו כן רשאי בית המשפט השבטי במסיבות כיוצא באלה להוציא כתב הרשאה, שיהיה חתום ע"י פקיד המחוז, כדי לכוף את העדים להופיע. כמו כן</w:t>
      </w:r>
      <w:r>
        <w:rPr>
          <w:rStyle w:val="default"/>
          <w:rFonts w:cs="FrankRuehl"/>
          <w:rtl/>
        </w:rPr>
        <w:t xml:space="preserve"> ר</w:t>
      </w:r>
      <w:r>
        <w:rPr>
          <w:rStyle w:val="default"/>
          <w:rFonts w:cs="FrankRuehl" w:hint="cs"/>
          <w:rtl/>
        </w:rPr>
        <w:t>שאי בית המשפט לדרוש מכל צד במשפט להגיש כל מסמך אשר הנו מהותי למשפט הנידון.</w:t>
      </w:r>
    </w:p>
    <w:p w14:paraId="46FF29F0" w14:textId="77777777" w:rsidR="00CC2B16" w:rsidRDefault="00CC2B16">
      <w:pPr>
        <w:pStyle w:val="P00"/>
        <w:spacing w:before="72"/>
        <w:ind w:left="0" w:right="1134"/>
        <w:rPr>
          <w:rStyle w:val="default"/>
          <w:rFonts w:cs="FrankRuehl"/>
          <w:rtl/>
        </w:rPr>
      </w:pPr>
      <w:bookmarkStart w:id="10" w:name="Seif9"/>
      <w:bookmarkEnd w:id="10"/>
      <w:r>
        <w:rPr>
          <w:lang w:val="he-IL"/>
        </w:rPr>
        <w:pict w14:anchorId="6D819526">
          <v:rect id="_x0000_s1037" style="position:absolute;left:0;text-align:left;margin-left:464.5pt;margin-top:8.05pt;width:75.05pt;height:8pt;z-index:251659264" o:allowincell="f" filled="f" stroked="f" strokecolor="lime" strokeweight=".25pt">
            <v:textbox inset="0,0,0,0">
              <w:txbxContent>
                <w:p w14:paraId="1E6FC46F" w14:textId="77777777" w:rsidR="00CC2B16" w:rsidRDefault="00CC2B16">
                  <w:pPr>
                    <w:spacing w:line="160" w:lineRule="exact"/>
                    <w:jc w:val="left"/>
                    <w:rPr>
                      <w:rFonts w:cs="Miriam"/>
                      <w:noProof/>
                      <w:szCs w:val="18"/>
                      <w:rtl/>
                    </w:rPr>
                  </w:pPr>
                  <w:r>
                    <w:rPr>
                      <w:rFonts w:cs="Miriam"/>
                      <w:szCs w:val="18"/>
                      <w:rtl/>
                    </w:rPr>
                    <w:t>ב</w:t>
                  </w:r>
                  <w:r>
                    <w:rPr>
                      <w:rFonts w:cs="Miriam" w:hint="cs"/>
                      <w:szCs w:val="18"/>
                      <w:rtl/>
                    </w:rPr>
                    <w:t>קורת</w:t>
                  </w:r>
                </w:p>
              </w:txbxContent>
            </v:textbox>
            <w10:anchorlock/>
          </v:rect>
        </w:pict>
      </w:r>
      <w:r>
        <w:rPr>
          <w:rStyle w:val="big-number"/>
          <w:rtl/>
        </w:rPr>
        <w:t>11.</w:t>
      </w:r>
      <w:r>
        <w:rPr>
          <w:rStyle w:val="big-number"/>
          <w:rtl/>
        </w:rPr>
        <w:tab/>
      </w:r>
      <w:r>
        <w:rPr>
          <w:rStyle w:val="default"/>
          <w:rFonts w:cs="FrankRuehl"/>
          <w:rtl/>
        </w:rPr>
        <w:t>ר</w:t>
      </w:r>
      <w:r>
        <w:rPr>
          <w:rStyle w:val="default"/>
          <w:rFonts w:cs="FrankRuehl" w:hint="cs"/>
          <w:rtl/>
        </w:rPr>
        <w:t xml:space="preserve">שאי בית המשפט השבטי בכל ענין שימצא לנחוץ לצוות בכתב על כל אדם או בני אדם לערוך כל חקירה שיצווה בית המשפט, ואם יהא צורך בכך </w:t>
      </w:r>
      <w:r>
        <w:rPr>
          <w:rStyle w:val="default"/>
          <w:rFonts w:cs="FrankRuehl"/>
          <w:rtl/>
        </w:rPr>
        <w:t>—</w:t>
      </w:r>
      <w:r>
        <w:rPr>
          <w:rStyle w:val="default"/>
          <w:rFonts w:cs="FrankRuehl" w:hint="cs"/>
          <w:rtl/>
        </w:rPr>
        <w:t xml:space="preserve"> לבקר ולבדוק כל קרקע שהיא נושא המחלוקת אם בנוגע לח</w:t>
      </w:r>
      <w:r>
        <w:rPr>
          <w:rStyle w:val="default"/>
          <w:rFonts w:cs="FrankRuehl"/>
          <w:rtl/>
        </w:rPr>
        <w:t>ז</w:t>
      </w:r>
      <w:r>
        <w:rPr>
          <w:rStyle w:val="default"/>
          <w:rFonts w:cs="FrankRuehl" w:hint="cs"/>
          <w:rtl/>
        </w:rPr>
        <w:t xml:space="preserve">קה או לגבולות או בנוגע לכל דבר אחר ולמסור לבית המשפט על תוצאות אותה החקירה או הבדיקה, ורשאי הוא לצוות כי ישלמו לאיש או לאנשים אגרה שלא תעלה על מכסימום של לירה לכל איש והוא רשאי כמו כן להרשות תשלום סכום שלא יעלה על 500 פרוטה לכל פקיד העוסק בקשר עם החקירה </w:t>
      </w:r>
      <w:r>
        <w:rPr>
          <w:rStyle w:val="default"/>
          <w:rFonts w:cs="FrankRuehl"/>
          <w:rtl/>
        </w:rPr>
        <w:t>או</w:t>
      </w:r>
      <w:r>
        <w:rPr>
          <w:rStyle w:val="default"/>
          <w:rFonts w:cs="FrankRuehl" w:hint="cs"/>
          <w:rtl/>
        </w:rPr>
        <w:t xml:space="preserve"> הבדיקה, אגרות אלה ישתלמו ע"י אותו צד ובאותו אופן, שיצוה בית המשפט:</w:t>
      </w:r>
    </w:p>
    <w:p w14:paraId="45F8C490" w14:textId="77777777" w:rsidR="00CC2B16" w:rsidRDefault="00CC2B1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שצו שניתן עפ"י תקנה זו לא יהא כוחו יפה אלא אם כן יחתום עליו גם פקיד המחוז.</w:t>
      </w:r>
    </w:p>
    <w:p w14:paraId="7399A31F" w14:textId="77777777" w:rsidR="00CC2B16" w:rsidRDefault="00CC2B16">
      <w:pPr>
        <w:pStyle w:val="page"/>
        <w:widowControl/>
        <w:ind w:right="1134"/>
        <w:rPr>
          <w:position w:val="0"/>
          <w:rtl/>
        </w:rPr>
      </w:pPr>
      <w:r>
        <w:rPr>
          <w:position w:val="0"/>
          <w:rtl/>
        </w:rPr>
        <w:t xml:space="preserve"> </w:t>
      </w:r>
    </w:p>
    <w:p w14:paraId="6813E228" w14:textId="77777777" w:rsidR="00CC2B16" w:rsidRDefault="00CC2B16">
      <w:pPr>
        <w:pStyle w:val="P00"/>
        <w:spacing w:before="72"/>
        <w:ind w:left="0" w:right="1134"/>
        <w:rPr>
          <w:rStyle w:val="default"/>
          <w:rFonts w:cs="FrankRuehl"/>
          <w:rtl/>
        </w:rPr>
      </w:pPr>
      <w:bookmarkStart w:id="11" w:name="Seif10"/>
      <w:bookmarkEnd w:id="11"/>
      <w:r>
        <w:rPr>
          <w:lang w:val="he-IL"/>
        </w:rPr>
        <w:pict w14:anchorId="1F43CF1D">
          <v:rect id="_x0000_s1038" style="position:absolute;left:0;text-align:left;margin-left:464.5pt;margin-top:8.05pt;width:75.05pt;height:8pt;z-index:251660288" o:allowincell="f" filled="f" stroked="f" strokecolor="lime" strokeweight=".25pt">
            <v:textbox inset="0,0,0,0">
              <w:txbxContent>
                <w:p w14:paraId="778CB09F" w14:textId="77777777" w:rsidR="00CC2B16" w:rsidRDefault="00CC2B16">
                  <w:pPr>
                    <w:spacing w:line="160" w:lineRule="exact"/>
                    <w:jc w:val="left"/>
                    <w:rPr>
                      <w:rFonts w:cs="Miriam"/>
                      <w:noProof/>
                      <w:szCs w:val="18"/>
                      <w:rtl/>
                    </w:rPr>
                  </w:pPr>
                  <w:r>
                    <w:rPr>
                      <w:rFonts w:cs="Miriam"/>
                      <w:szCs w:val="18"/>
                      <w:rtl/>
                    </w:rPr>
                    <w:t>א</w:t>
                  </w:r>
                  <w:r>
                    <w:rPr>
                      <w:rFonts w:cs="Miriam" w:hint="cs"/>
                      <w:szCs w:val="18"/>
                      <w:rtl/>
                    </w:rPr>
                    <w:t>ופן ההוצאה לפועל</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 xml:space="preserve">וצאתו לפועל של כל פסק דין מבית המשפט השבטי תיעשה בהתאם להוראות חוק שופטי </w:t>
      </w:r>
      <w:r>
        <w:rPr>
          <w:rStyle w:val="default"/>
          <w:rFonts w:cs="FrankRuehl"/>
          <w:rtl/>
        </w:rPr>
        <w:t>ה</w:t>
      </w:r>
      <w:r>
        <w:rPr>
          <w:rStyle w:val="default"/>
          <w:rFonts w:cs="FrankRuehl" w:hint="cs"/>
          <w:rtl/>
        </w:rPr>
        <w:t>שלום או בהתאם להוראות כל חוק אחר שהוחק במקומו ע"י משרד ההוצאה לפועל של בית משפט השלום בבאר שבע.</w:t>
      </w:r>
    </w:p>
    <w:p w14:paraId="5DD80926" w14:textId="77777777" w:rsidR="00CC2B16" w:rsidRDefault="00CC2B16">
      <w:pPr>
        <w:pStyle w:val="P00"/>
        <w:spacing w:before="72"/>
        <w:ind w:left="0" w:right="1134"/>
        <w:rPr>
          <w:rStyle w:val="default"/>
          <w:rFonts w:cs="FrankRuehl"/>
          <w:rtl/>
        </w:rPr>
      </w:pPr>
      <w:bookmarkStart w:id="12" w:name="Seif11"/>
      <w:bookmarkEnd w:id="12"/>
      <w:r>
        <w:rPr>
          <w:lang w:val="he-IL"/>
        </w:rPr>
        <w:pict w14:anchorId="076D4C34">
          <v:rect id="_x0000_s1039" style="position:absolute;left:0;text-align:left;margin-left:464.5pt;margin-top:8.05pt;width:75.05pt;height:16pt;z-index:251661312" o:allowincell="f" filled="f" stroked="f" strokecolor="lime" strokeweight=".25pt">
            <v:textbox inset="0,0,0,0">
              <w:txbxContent>
                <w:p w14:paraId="78340487" w14:textId="77777777" w:rsidR="00CC2B16" w:rsidRDefault="00CC2B16">
                  <w:pPr>
                    <w:spacing w:line="160" w:lineRule="exact"/>
                    <w:jc w:val="left"/>
                    <w:rPr>
                      <w:rFonts w:cs="Miriam"/>
                      <w:noProof/>
                      <w:szCs w:val="18"/>
                      <w:rtl/>
                    </w:rPr>
                  </w:pPr>
                  <w:r>
                    <w:rPr>
                      <w:rFonts w:cs="Miriam"/>
                      <w:szCs w:val="18"/>
                      <w:rtl/>
                    </w:rPr>
                    <w:t>א</w:t>
                  </w:r>
                  <w:r>
                    <w:rPr>
                      <w:rFonts w:cs="Miriam" w:hint="cs"/>
                      <w:szCs w:val="18"/>
                      <w:rtl/>
                    </w:rPr>
                    <w:t>גרת</w:t>
                  </w:r>
                </w:p>
                <w:p w14:paraId="7E9EB516" w14:textId="77777777" w:rsidR="00CC2B16" w:rsidRDefault="00CC2B16">
                  <w:pPr>
                    <w:spacing w:line="160" w:lineRule="exact"/>
                    <w:jc w:val="left"/>
                    <w:rPr>
                      <w:rFonts w:cs="Miriam"/>
                      <w:noProof/>
                      <w:szCs w:val="18"/>
                      <w:rtl/>
                    </w:rPr>
                  </w:pPr>
                  <w:r>
                    <w:rPr>
                      <w:rFonts w:cs="Miriam"/>
                      <w:szCs w:val="18"/>
                      <w:rtl/>
                    </w:rPr>
                    <w:t>ב</w:t>
                  </w:r>
                  <w:r>
                    <w:rPr>
                      <w:rFonts w:cs="Miriam" w:hint="cs"/>
                      <w:szCs w:val="18"/>
                      <w:rtl/>
                    </w:rPr>
                    <w:t>ית המשפט</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אגרות שישולמו בכל משפט בבית משפט שבטי יהיו אותן אגרות הקבועות בתוספת לתקנות אלו וייגבו כדרך שגובים אותן בבית משפט אזרחי.</w:t>
      </w:r>
    </w:p>
    <w:p w14:paraId="43E3D0DE" w14:textId="77777777" w:rsidR="00CC2B16" w:rsidRDefault="00CC2B16">
      <w:pPr>
        <w:pStyle w:val="P00"/>
        <w:spacing w:before="72"/>
        <w:ind w:left="0" w:right="1134"/>
        <w:rPr>
          <w:rStyle w:val="default"/>
          <w:rFonts w:cs="FrankRuehl"/>
          <w:rtl/>
        </w:rPr>
      </w:pPr>
      <w:bookmarkStart w:id="13" w:name="Seif12"/>
      <w:bookmarkEnd w:id="13"/>
      <w:r>
        <w:rPr>
          <w:lang w:val="he-IL"/>
        </w:rPr>
        <w:pict w14:anchorId="07111101">
          <v:rect id="_x0000_s1040" style="position:absolute;left:0;text-align:left;margin-left:464.5pt;margin-top:8.05pt;width:75.05pt;height:24pt;z-index:251662336" o:allowincell="f" filled="f" stroked="f" strokecolor="lime" strokeweight=".25pt">
            <v:textbox inset="0,0,0,0">
              <w:txbxContent>
                <w:p w14:paraId="7C45CBC1" w14:textId="77777777" w:rsidR="00CC2B16" w:rsidRDefault="00CC2B16">
                  <w:pPr>
                    <w:spacing w:line="160" w:lineRule="exact"/>
                    <w:jc w:val="left"/>
                    <w:rPr>
                      <w:rFonts w:cs="Miriam"/>
                      <w:noProof/>
                      <w:szCs w:val="18"/>
                      <w:rtl/>
                    </w:rPr>
                  </w:pPr>
                  <w:r>
                    <w:rPr>
                      <w:rFonts w:cs="Miriam"/>
                      <w:szCs w:val="18"/>
                      <w:rtl/>
                    </w:rPr>
                    <w:t>פ</w:t>
                  </w:r>
                  <w:r>
                    <w:rPr>
                      <w:rFonts w:cs="Miriam" w:hint="cs"/>
                      <w:szCs w:val="18"/>
                      <w:rtl/>
                    </w:rPr>
                    <w:t>יטורין</w:t>
                  </w:r>
                </w:p>
                <w:p w14:paraId="1CA69969" w14:textId="77777777" w:rsidR="00CC2B16" w:rsidRDefault="00CC2B16">
                  <w:pPr>
                    <w:spacing w:line="160" w:lineRule="exact"/>
                    <w:jc w:val="left"/>
                    <w:rPr>
                      <w:rFonts w:cs="Miriam"/>
                      <w:noProof/>
                      <w:szCs w:val="18"/>
                      <w:rtl/>
                    </w:rPr>
                  </w:pPr>
                  <w:r>
                    <w:rPr>
                      <w:rFonts w:cs="Miriam"/>
                      <w:szCs w:val="18"/>
                      <w:rtl/>
                    </w:rPr>
                    <w:t>מ</w:t>
                  </w:r>
                  <w:r>
                    <w:rPr>
                      <w:rFonts w:cs="Miriam" w:hint="cs"/>
                      <w:szCs w:val="18"/>
                      <w:rtl/>
                    </w:rPr>
                    <w:t xml:space="preserve">תשלום אגרות בית </w:t>
                  </w:r>
                  <w:r>
                    <w:rPr>
                      <w:rFonts w:cs="Miriam"/>
                      <w:szCs w:val="18"/>
                      <w:rtl/>
                    </w:rPr>
                    <w:t>ה</w:t>
                  </w:r>
                  <w:r>
                    <w:rPr>
                      <w:rFonts w:cs="Miriam" w:hint="cs"/>
                      <w:szCs w:val="18"/>
                      <w:rtl/>
                    </w:rPr>
                    <w:t>משפט</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ם טוען אדם שאין ביכולתו לש</w:t>
      </w:r>
      <w:r>
        <w:rPr>
          <w:rStyle w:val="default"/>
          <w:rFonts w:cs="FrankRuehl"/>
          <w:rtl/>
        </w:rPr>
        <w:t>ל</w:t>
      </w:r>
      <w:r>
        <w:rPr>
          <w:rStyle w:val="default"/>
          <w:rFonts w:cs="FrankRuehl" w:hint="cs"/>
          <w:rtl/>
        </w:rPr>
        <w:t>ם את אגרות בית המשפט או חלק מהן בשעת הגשת התביעה או משפט, יחקור פקיד המחוז, משהוגשה אליו בקשה לצורך זה, בשאלת עניותו של המבקש, ואם נתברר לו שטענת העניות היא אמת, יאשר בתיק המשפט איזה חלק מאגרות בית המשפט יש בכוח המבקש לשלם, או כי לפי ראות עיניו אין בכוחו</w:t>
      </w:r>
      <w:r>
        <w:rPr>
          <w:rStyle w:val="default"/>
          <w:rFonts w:cs="FrankRuehl"/>
          <w:rtl/>
        </w:rPr>
        <w:t xml:space="preserve"> ש</w:t>
      </w:r>
      <w:r>
        <w:rPr>
          <w:rStyle w:val="default"/>
          <w:rFonts w:cs="FrankRuehl" w:hint="cs"/>
          <w:rtl/>
        </w:rPr>
        <w:t>ל המבקש לשלם כל אגרות בית משפט, או כי יש לדחות את תשלום אגרות בית המשפט לאותו הזמן שיקבע פקיד המחוז, ואז לא ישולמו כל אגרות בית משפט או לא ישולם אלא חלק מהן או תשלום האגרות ידחה, הכל לפי הענין.</w:t>
      </w:r>
    </w:p>
    <w:p w14:paraId="15D0BB3A" w14:textId="77777777" w:rsidR="00CC2B16" w:rsidRDefault="00CC2B16">
      <w:pPr>
        <w:pStyle w:val="P00"/>
        <w:spacing w:before="72"/>
        <w:ind w:left="0" w:right="1134"/>
        <w:rPr>
          <w:rStyle w:val="default"/>
          <w:rFonts w:cs="FrankRuehl"/>
          <w:rtl/>
        </w:rPr>
      </w:pPr>
      <w:bookmarkStart w:id="14" w:name="Seif13"/>
      <w:bookmarkEnd w:id="14"/>
      <w:r>
        <w:rPr>
          <w:lang w:val="he-IL"/>
        </w:rPr>
        <w:pict w14:anchorId="34C609FD">
          <v:rect id="_x0000_s1041" style="position:absolute;left:0;text-align:left;margin-left:464.5pt;margin-top:8.05pt;width:75.05pt;height:16pt;z-index:251663360" o:allowincell="f" filled="f" stroked="f" strokecolor="lime" strokeweight=".25pt">
            <v:textbox inset="0,0,0,0">
              <w:txbxContent>
                <w:p w14:paraId="53DE009A" w14:textId="77777777" w:rsidR="00CC2B16" w:rsidRDefault="00CC2B16">
                  <w:pPr>
                    <w:spacing w:line="160" w:lineRule="exact"/>
                    <w:jc w:val="left"/>
                    <w:rPr>
                      <w:rFonts w:cs="Miriam"/>
                      <w:noProof/>
                      <w:szCs w:val="18"/>
                      <w:rtl/>
                    </w:rPr>
                  </w:pPr>
                  <w:r>
                    <w:rPr>
                      <w:rFonts w:cs="Miriam"/>
                      <w:szCs w:val="18"/>
                      <w:rtl/>
                    </w:rPr>
                    <w:t>פ</w:t>
                  </w:r>
                  <w:r>
                    <w:rPr>
                      <w:rFonts w:cs="Miriam" w:hint="cs"/>
                      <w:szCs w:val="18"/>
                      <w:rtl/>
                    </w:rPr>
                    <w:t>סקי-דין וכו' יחתמו גם ע"י פקיד המחוז</w:t>
                  </w:r>
                </w:p>
              </w:txbxContent>
            </v:textbox>
            <w10:anchorlock/>
          </v:rect>
        </w:pict>
      </w:r>
      <w:r>
        <w:rPr>
          <w:rStyle w:val="big-number"/>
          <w:rtl/>
        </w:rPr>
        <w:t>15.</w:t>
      </w:r>
      <w:r>
        <w:rPr>
          <w:rStyle w:val="big-number"/>
          <w:rtl/>
        </w:rPr>
        <w:tab/>
      </w:r>
      <w:r>
        <w:rPr>
          <w:rStyle w:val="default"/>
          <w:rFonts w:cs="FrankRuehl"/>
          <w:rtl/>
        </w:rPr>
        <w:t>כ</w:t>
      </w:r>
      <w:r>
        <w:rPr>
          <w:rStyle w:val="default"/>
          <w:rFonts w:cs="FrankRuehl" w:hint="cs"/>
          <w:rtl/>
        </w:rPr>
        <w:t>ל פסקי דין, צווי שחרור, כתבי מסירה לדין וצווים שנתנו ע"</w:t>
      </w:r>
      <w:r>
        <w:rPr>
          <w:rStyle w:val="default"/>
          <w:rFonts w:cs="FrankRuehl"/>
          <w:rtl/>
        </w:rPr>
        <w:t>י</w:t>
      </w:r>
      <w:r>
        <w:rPr>
          <w:rStyle w:val="default"/>
          <w:rFonts w:cs="FrankRuehl" w:hint="cs"/>
          <w:rtl/>
        </w:rPr>
        <w:t xml:space="preserve"> בית המשפט השבטי ישאו עליהם את חותם בית המשפט השבטי ויהיו חתומים ע"י חברי בית המשפט השבטי וגם ע"י פקיד המחוז.</w:t>
      </w:r>
    </w:p>
    <w:p w14:paraId="03AB6D1A" w14:textId="77777777" w:rsidR="00CC2B16" w:rsidRDefault="00CC2B16">
      <w:pPr>
        <w:pStyle w:val="P00"/>
        <w:spacing w:before="72"/>
        <w:ind w:left="0" w:right="1134"/>
        <w:rPr>
          <w:rStyle w:val="default"/>
          <w:rFonts w:cs="FrankRuehl"/>
          <w:rtl/>
        </w:rPr>
      </w:pPr>
      <w:bookmarkStart w:id="15" w:name="Seif14"/>
      <w:bookmarkEnd w:id="15"/>
      <w:r>
        <w:rPr>
          <w:lang w:val="he-IL"/>
        </w:rPr>
        <w:pict w14:anchorId="2C79F259">
          <v:rect id="_x0000_s1042" style="position:absolute;left:0;text-align:left;margin-left:464.5pt;margin-top:8.05pt;width:75.05pt;height:8pt;z-index:251664384" o:allowincell="f" filled="f" stroked="f" strokecolor="lime" strokeweight=".25pt">
            <v:textbox inset="0,0,0,0">
              <w:txbxContent>
                <w:p w14:paraId="0DCAB1A4" w14:textId="77777777" w:rsidR="00CC2B16" w:rsidRDefault="00CC2B16">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קנות בית המשפט למחוז באר שבע שהותקנו ע"י הנהלת שטח הכיבוש בשנת 1918, ותקנות דיני השבטים מיום 5 בדצמבר 1918 מבוטלות בזה.</w:t>
      </w:r>
    </w:p>
    <w:p w14:paraId="6285276E" w14:textId="77777777" w:rsidR="00CC2B16" w:rsidRDefault="00CC2B16">
      <w:pPr>
        <w:pStyle w:val="medium2-header"/>
        <w:keepLines w:val="0"/>
        <w:spacing w:before="72"/>
        <w:ind w:left="0" w:right="1134"/>
        <w:rPr>
          <w:noProof/>
          <w:sz w:val="20"/>
          <w:rtl/>
        </w:rPr>
      </w:pPr>
      <w:bookmarkStart w:id="16" w:name="med0"/>
      <w:bookmarkEnd w:id="16"/>
      <w:r>
        <w:rPr>
          <w:noProof/>
          <w:sz w:val="20"/>
          <w:lang w:val="he-IL"/>
        </w:rPr>
        <w:pict w14:anchorId="5D530617">
          <v:rect id="_x0000_s1043" style="position:absolute;left:0;text-align:left;margin-left:464.5pt;margin-top:8.05pt;width:75.05pt;height:8pt;z-index:251665408" o:allowincell="f" filled="f" stroked="f" strokecolor="lime" strokeweight=".25pt">
            <v:textbox inset="0,0,0,0">
              <w:txbxContent>
                <w:p w14:paraId="08012E3F" w14:textId="77777777" w:rsidR="00CC2B16" w:rsidRDefault="00CC2B16">
                  <w:pPr>
                    <w:spacing w:line="160" w:lineRule="exact"/>
                    <w:jc w:val="left"/>
                    <w:rPr>
                      <w:rFonts w:cs="Miriam"/>
                      <w:noProof/>
                      <w:szCs w:val="18"/>
                      <w:rtl/>
                    </w:rPr>
                  </w:pPr>
                  <w:r>
                    <w:rPr>
                      <w:rFonts w:cs="Miriam"/>
                      <w:szCs w:val="18"/>
                      <w:rtl/>
                    </w:rPr>
                    <w:t>ת</w:t>
                  </w:r>
                  <w:r>
                    <w:rPr>
                      <w:rFonts w:cs="Miriam" w:hint="cs"/>
                      <w:szCs w:val="18"/>
                      <w:rtl/>
                    </w:rPr>
                    <w:t>ק' תשט"ו</w:t>
                  </w:r>
                  <w:r>
                    <w:rPr>
                      <w:rFonts w:cs="Miriam"/>
                      <w:szCs w:val="18"/>
                      <w:rtl/>
                    </w:rPr>
                    <w:t>–</w:t>
                  </w:r>
                  <w:r>
                    <w:rPr>
                      <w:rFonts w:cs="Miriam" w:hint="cs"/>
                      <w:szCs w:val="18"/>
                      <w:rtl/>
                    </w:rPr>
                    <w:t>1954</w:t>
                  </w:r>
                </w:p>
              </w:txbxContent>
            </v:textbox>
            <w10:anchorlock/>
          </v:rect>
        </w:pict>
      </w:r>
      <w:r>
        <w:rPr>
          <w:noProof/>
          <w:sz w:val="20"/>
          <w:rtl/>
        </w:rPr>
        <w:t>ת</w:t>
      </w:r>
      <w:r>
        <w:rPr>
          <w:rFonts w:hint="cs"/>
          <w:noProof/>
          <w:sz w:val="20"/>
          <w:rtl/>
        </w:rPr>
        <w:t>וספת</w:t>
      </w:r>
    </w:p>
    <w:p w14:paraId="29468E83" w14:textId="77777777" w:rsidR="00CC2B16" w:rsidRDefault="00CC2B16">
      <w:pPr>
        <w:pStyle w:val="header-2"/>
        <w:ind w:left="0" w:right="1134"/>
        <w:rPr>
          <w:rtl/>
        </w:rPr>
      </w:pPr>
      <w:r>
        <w:rPr>
          <w:rtl/>
        </w:rPr>
        <w:t>א</w:t>
      </w:r>
      <w:r>
        <w:rPr>
          <w:rFonts w:hint="cs"/>
          <w:rtl/>
        </w:rPr>
        <w:t>גרות שיש לש</w:t>
      </w:r>
      <w:r>
        <w:rPr>
          <w:rtl/>
        </w:rPr>
        <w:t>ל</w:t>
      </w:r>
      <w:r>
        <w:rPr>
          <w:rFonts w:hint="cs"/>
          <w:rtl/>
        </w:rPr>
        <w:t>מן לבתי המשפט השבטיים</w:t>
      </w:r>
    </w:p>
    <w:p w14:paraId="12D6127B" w14:textId="77777777" w:rsidR="00CC2B16" w:rsidRDefault="00CC2B16">
      <w:pPr>
        <w:pStyle w:val="P00"/>
        <w:spacing w:before="72"/>
        <w:ind w:left="0" w:right="1134"/>
        <w:rPr>
          <w:rStyle w:val="default"/>
          <w:rFonts w:cs="FrankRuehl"/>
          <w:u w:val="single"/>
          <w:rtl/>
        </w:rPr>
      </w:pPr>
      <w:r>
        <w:rPr>
          <w:rtl/>
        </w:rPr>
        <w:tab/>
      </w:r>
      <w:r>
        <w:rPr>
          <w:rtl/>
        </w:rPr>
        <w:tab/>
      </w:r>
      <w:r>
        <w:rPr>
          <w:rtl/>
        </w:rPr>
        <w:tab/>
      </w:r>
      <w:r>
        <w:rPr>
          <w:rtl/>
        </w:rPr>
        <w:tab/>
      </w:r>
      <w:r>
        <w:rPr>
          <w:rtl/>
        </w:rPr>
        <w:tab/>
      </w:r>
      <w:r>
        <w:rPr>
          <w:rtl/>
        </w:rPr>
        <w:tab/>
      </w:r>
      <w:r>
        <w:rPr>
          <w:rtl/>
        </w:rPr>
        <w:tab/>
      </w:r>
      <w:r>
        <w:rPr>
          <w:u w:val="single"/>
          <w:rtl/>
        </w:rPr>
        <w:t> </w:t>
      </w:r>
      <w:r>
        <w:rPr>
          <w:rStyle w:val="default"/>
          <w:rFonts w:cs="FrankRuehl"/>
          <w:u w:val="single"/>
          <w:rtl/>
        </w:rPr>
        <w:t>פ</w:t>
      </w:r>
      <w:r>
        <w:rPr>
          <w:rStyle w:val="default"/>
          <w:rFonts w:cs="FrankRuehl" w:hint="cs"/>
          <w:u w:val="single"/>
          <w:rtl/>
        </w:rPr>
        <w:t>ר'</w:t>
      </w:r>
      <w:r>
        <w:rPr>
          <w:u w:val="single"/>
          <w:rtl/>
        </w:rPr>
        <w:t> </w:t>
      </w:r>
      <w:r>
        <w:rPr>
          <w:u w:val="single"/>
          <w:rtl/>
        </w:rPr>
        <w:t> </w:t>
      </w:r>
      <w:r>
        <w:rPr>
          <w:rStyle w:val="default"/>
          <w:rFonts w:cs="FrankRuehl"/>
          <w:u w:val="single"/>
          <w:rtl/>
        </w:rPr>
        <w:t>ל</w:t>
      </w:r>
      <w:r>
        <w:rPr>
          <w:rStyle w:val="default"/>
          <w:rFonts w:cs="FrankRuehl" w:hint="cs"/>
          <w:u w:val="single"/>
          <w:rtl/>
        </w:rPr>
        <w:t>"י</w:t>
      </w:r>
    </w:p>
    <w:p w14:paraId="398FB8D3" w14:textId="77777777" w:rsidR="00CC2B16" w:rsidRDefault="00CC2B1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בירור משפט אזרחי </w:t>
      </w:r>
      <w:r>
        <w:rPr>
          <w:rStyle w:val="default"/>
          <w:rFonts w:cs="FrankRuehl"/>
          <w:rtl/>
        </w:rPr>
        <w:t>—</w:t>
      </w:r>
    </w:p>
    <w:p w14:paraId="59B23CB6" w14:textId="77777777" w:rsidR="00CC2B16" w:rsidRDefault="00CC2B1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כששווי נושא התביעה אינו עולה על 5 לירות</w:t>
      </w:r>
      <w:r>
        <w:rPr>
          <w:rStyle w:val="default"/>
          <w:rFonts w:cs="FrankRuehl"/>
          <w:rtl/>
        </w:rPr>
        <w:tab/>
      </w:r>
      <w:r>
        <w:rPr>
          <w:rStyle w:val="default"/>
          <w:rFonts w:cs="FrankRuehl" w:hint="cs"/>
          <w:rtl/>
        </w:rPr>
        <w:t xml:space="preserve"> 0.100</w:t>
      </w:r>
    </w:p>
    <w:p w14:paraId="25CFE597" w14:textId="77777777" w:rsidR="00CC2B16" w:rsidRDefault="00CC2B1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כששווי התביעה עולה על 5 לירות </w:t>
      </w:r>
      <w:r>
        <w:rPr>
          <w:rStyle w:val="default"/>
          <w:rFonts w:cs="FrankRuehl"/>
          <w:rtl/>
        </w:rPr>
        <w:tab/>
      </w:r>
      <w:r>
        <w:rPr>
          <w:rStyle w:val="default"/>
          <w:rFonts w:cs="FrankRuehl" w:hint="cs"/>
          <w:rtl/>
        </w:rPr>
        <w:t>0.250</w:t>
      </w:r>
    </w:p>
    <w:p w14:paraId="33A792AB" w14:textId="77777777" w:rsidR="00CC2B16" w:rsidRDefault="00CC2B16">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א תשולם כל אגרה על כל ערעור שהוגש ע"י המשטרה נגד החלטת פקיד המחוז להעביר משפטים לבית משפט שבטי.</w:t>
      </w:r>
    </w:p>
    <w:p w14:paraId="3EB28888" w14:textId="77777777" w:rsidR="00CC2B16" w:rsidRDefault="00CC2B16">
      <w:pPr>
        <w:ind w:right="1134"/>
        <w:rPr>
          <w:rtl/>
        </w:rPr>
      </w:pPr>
      <w:bookmarkStart w:id="17" w:name="LawPartEnd"/>
    </w:p>
    <w:bookmarkEnd w:id="17"/>
    <w:p w14:paraId="622C9E26" w14:textId="77777777" w:rsidR="00CC2B16" w:rsidRDefault="00CC2B16">
      <w:pPr>
        <w:ind w:right="1134"/>
        <w:rPr>
          <w:rtl/>
        </w:rPr>
      </w:pPr>
    </w:p>
    <w:sectPr w:rsidR="00CC2B16">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74CF" w14:textId="77777777" w:rsidR="00CC2B16" w:rsidRDefault="00CC2B16">
      <w:r>
        <w:separator/>
      </w:r>
    </w:p>
  </w:endnote>
  <w:endnote w:type="continuationSeparator" w:id="0">
    <w:p w14:paraId="346BDFB3" w14:textId="77777777" w:rsidR="00CC2B16" w:rsidRDefault="00CC2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D962" w14:textId="77777777" w:rsidR="00CC2B16" w:rsidRDefault="00CC2B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D65A51" w14:textId="77777777" w:rsidR="00CC2B16" w:rsidRDefault="00CC2B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53CDD5" w14:textId="77777777" w:rsidR="00CC2B16" w:rsidRDefault="00CC2B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M:\0a-lishca\law\gideon-03-02-13\law01\055_018.doc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320CF" w14:textId="77777777" w:rsidR="00CC2B16" w:rsidRDefault="00CC2B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7AFE">
      <w:rPr>
        <w:rFonts w:hAnsi="FrankRuehl" w:cs="FrankRuehl"/>
        <w:noProof/>
        <w:sz w:val="24"/>
        <w:szCs w:val="24"/>
        <w:rtl/>
      </w:rPr>
      <w:t>2</w:t>
    </w:r>
    <w:r>
      <w:rPr>
        <w:rFonts w:hAnsi="FrankRuehl" w:cs="FrankRuehl"/>
        <w:sz w:val="24"/>
        <w:szCs w:val="24"/>
        <w:rtl/>
      </w:rPr>
      <w:fldChar w:fldCharType="end"/>
    </w:r>
  </w:p>
  <w:p w14:paraId="726E5A65" w14:textId="77777777" w:rsidR="00CC2B16" w:rsidRDefault="00CC2B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8ED38C" w14:textId="77777777" w:rsidR="00CC2B16" w:rsidRDefault="00CC2B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M:\0a-lishca\law\gideon-03-02-13\law01\055_018.doc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6C38" w14:textId="77777777" w:rsidR="00CC2B16" w:rsidRDefault="00CC2B16">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7E51" w14:textId="77777777" w:rsidR="00CC2B16" w:rsidRDefault="00CC2B16">
      <w:r>
        <w:separator/>
      </w:r>
    </w:p>
  </w:footnote>
  <w:footnote w:type="continuationSeparator" w:id="0">
    <w:p w14:paraId="439F281E" w14:textId="77777777" w:rsidR="00CC2B16" w:rsidRDefault="00CC2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96A5" w14:textId="77777777" w:rsidR="00CC2B16" w:rsidRDefault="00CC2B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משפט שבטיים, 1937</w:t>
    </w:r>
  </w:p>
  <w:p w14:paraId="7D3BED70" w14:textId="77777777" w:rsidR="00CC2B16" w:rsidRDefault="00CC2B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10D60C" w14:textId="77777777" w:rsidR="00CC2B16" w:rsidRDefault="00CC2B1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C21B" w14:textId="77777777" w:rsidR="00CC2B16" w:rsidRDefault="00CC2B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משפט שבטיים, 1937</w:t>
    </w:r>
  </w:p>
  <w:p w14:paraId="46178EC7" w14:textId="77777777" w:rsidR="00CC2B16" w:rsidRDefault="00CC2B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CD43A2" w14:textId="77777777" w:rsidR="00CC2B16" w:rsidRDefault="00CC2B16">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13383" w14:textId="77777777" w:rsidR="00CC2B16" w:rsidRDefault="00CC2B16">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7AFE"/>
    <w:rsid w:val="00047AFE"/>
    <w:rsid w:val="00CC2B16"/>
    <w:rsid w:val="00EE4F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C55997"/>
  <w15:chartTrackingRefBased/>
  <w15:docId w15:val="{1B920B0D-4CCD-44C4-96ED-0EC69FA8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6894</CharactersWithSpaces>
  <SharedDoc>false</SharedDoc>
  <HLinks>
    <vt:vector size="102" baseType="variant">
      <vt:variant>
        <vt:i4>5570569</vt:i4>
      </vt:variant>
      <vt:variant>
        <vt:i4>99</vt:i4>
      </vt:variant>
      <vt:variant>
        <vt:i4>0</vt:i4>
      </vt:variant>
      <vt:variant>
        <vt:i4>5</vt:i4>
      </vt:variant>
      <vt:variant>
        <vt:lpwstr/>
      </vt:variant>
      <vt:variant>
        <vt:lpwstr>med0</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196634</vt:i4>
      </vt:variant>
      <vt:variant>
        <vt:i4>63</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Seif0</vt:lpwstr>
      </vt:variant>
      <vt:variant>
        <vt:i4>3538987</vt:i4>
      </vt:variant>
      <vt:variant>
        <vt:i4>3</vt:i4>
      </vt:variant>
      <vt:variant>
        <vt:i4>0</vt:i4>
      </vt:variant>
      <vt:variant>
        <vt:i4>5</vt:i4>
      </vt:variant>
      <vt:variant>
        <vt:lpwstr/>
      </vt:variant>
      <vt:variant>
        <vt:lpwstr>Seif15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בתי משפט שבטיים, 1937</vt:lpwstr>
  </property>
  <property fmtid="{D5CDD505-2E9C-101B-9397-08002B2CF9AE}" pid="5" name="LAWNUMBER">
    <vt:lpwstr>0018</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בתי משפט שבטיים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