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0CCE" w14:textId="77777777" w:rsidR="00B14507" w:rsidRDefault="00B14507" w:rsidP="000B4CFA">
      <w:pPr>
        <w:pStyle w:val="big-header"/>
        <w:ind w:left="0" w:right="1134"/>
      </w:pPr>
      <w:r>
        <w:rPr>
          <w:rtl/>
        </w:rPr>
        <w:t xml:space="preserve">תקנות גימלאות לנושאי משרה ברשויות השלטון (סדרי דין בערעור), </w:t>
      </w:r>
      <w:r w:rsidR="000B4CFA">
        <w:rPr>
          <w:rFonts w:hint="cs"/>
          <w:rtl/>
        </w:rPr>
        <w:br/>
      </w:r>
      <w:r>
        <w:rPr>
          <w:rtl/>
        </w:rPr>
        <w:t>תשל"ח</w:t>
      </w:r>
      <w:r w:rsidR="000B4CFA">
        <w:rPr>
          <w:rFonts w:hint="cs"/>
          <w:rtl/>
        </w:rPr>
        <w:t>-</w:t>
      </w:r>
      <w:r>
        <w:rPr>
          <w:rtl/>
        </w:rPr>
        <w:t>1978</w:t>
      </w:r>
    </w:p>
    <w:p w14:paraId="4C782D07" w14:textId="77777777" w:rsidR="00BF694C" w:rsidRPr="00BF694C" w:rsidRDefault="00BF694C" w:rsidP="00BF694C">
      <w:pPr>
        <w:spacing w:line="320" w:lineRule="auto"/>
        <w:jc w:val="left"/>
        <w:rPr>
          <w:rFonts w:cs="FrankRuehl"/>
          <w:szCs w:val="26"/>
          <w:rtl/>
        </w:rPr>
      </w:pPr>
    </w:p>
    <w:p w14:paraId="39644407" w14:textId="77777777" w:rsidR="00BF694C" w:rsidRDefault="00BF694C" w:rsidP="00BF694C">
      <w:pPr>
        <w:spacing w:line="320" w:lineRule="auto"/>
        <w:jc w:val="left"/>
        <w:rPr>
          <w:rtl/>
        </w:rPr>
      </w:pPr>
    </w:p>
    <w:p w14:paraId="56929C41" w14:textId="77777777" w:rsidR="00BF694C" w:rsidRPr="00BF694C" w:rsidRDefault="00BF694C" w:rsidP="00BF694C">
      <w:pPr>
        <w:spacing w:line="320" w:lineRule="auto"/>
        <w:jc w:val="left"/>
        <w:rPr>
          <w:rFonts w:cs="Miriam"/>
          <w:szCs w:val="22"/>
          <w:rtl/>
        </w:rPr>
      </w:pPr>
      <w:r w:rsidRPr="00BF694C">
        <w:rPr>
          <w:rFonts w:cs="Miriam"/>
          <w:szCs w:val="22"/>
          <w:rtl/>
        </w:rPr>
        <w:t>רשויות ומשפט מנהלי</w:t>
      </w:r>
      <w:r w:rsidRPr="00BF694C">
        <w:rPr>
          <w:rFonts w:cs="FrankRuehl"/>
          <w:szCs w:val="26"/>
          <w:rtl/>
        </w:rPr>
        <w:t xml:space="preserve"> – גימלאות נושאי משרה</w:t>
      </w:r>
    </w:p>
    <w:p w14:paraId="5181500A" w14:textId="77777777" w:rsidR="00B14507" w:rsidRDefault="00B14507">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B14507" w14:paraId="0F847FAE" w14:textId="77777777">
        <w:tblPrEx>
          <w:tblCellMar>
            <w:top w:w="0" w:type="dxa"/>
            <w:bottom w:w="0" w:type="dxa"/>
          </w:tblCellMar>
        </w:tblPrEx>
        <w:tc>
          <w:tcPr>
            <w:tcW w:w="850" w:type="dxa"/>
          </w:tcPr>
          <w:p w14:paraId="68E87515"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38E0A496" w14:textId="77777777" w:rsidR="00B14507" w:rsidRDefault="00B14507">
            <w:pPr>
              <w:spacing w:line="240" w:lineRule="auto"/>
              <w:rPr>
                <w:sz w:val="24"/>
              </w:rPr>
            </w:pPr>
            <w:hyperlink w:anchor="Seif0" w:tooltip="המועד להגשת ערעור" w:history="1">
              <w:r>
                <w:rPr>
                  <w:rStyle w:val="Hyperlink"/>
                </w:rPr>
                <w:t>Go</w:t>
              </w:r>
            </w:hyperlink>
          </w:p>
        </w:tc>
        <w:tc>
          <w:tcPr>
            <w:tcW w:w="5669" w:type="dxa"/>
          </w:tcPr>
          <w:p w14:paraId="1D16CEEF" w14:textId="77777777" w:rsidR="00B14507" w:rsidRDefault="00B14507">
            <w:pPr>
              <w:spacing w:line="240" w:lineRule="auto"/>
              <w:rPr>
                <w:sz w:val="24"/>
                <w:rtl/>
              </w:rPr>
            </w:pPr>
            <w:r>
              <w:rPr>
                <w:sz w:val="24"/>
                <w:rtl/>
              </w:rPr>
              <w:t>המועד להגשת ערעור</w:t>
            </w:r>
          </w:p>
        </w:tc>
        <w:tc>
          <w:tcPr>
            <w:tcW w:w="1247" w:type="dxa"/>
          </w:tcPr>
          <w:p w14:paraId="0F0D6265" w14:textId="77777777" w:rsidR="00B14507" w:rsidRDefault="00B14507">
            <w:pPr>
              <w:spacing w:line="240" w:lineRule="auto"/>
              <w:rPr>
                <w:sz w:val="24"/>
              </w:rPr>
            </w:pPr>
            <w:r>
              <w:rPr>
                <w:sz w:val="24"/>
                <w:rtl/>
              </w:rPr>
              <w:t xml:space="preserve">סעיף 1 </w:t>
            </w:r>
          </w:p>
        </w:tc>
      </w:tr>
      <w:tr w:rsidR="00B14507" w14:paraId="30445A52" w14:textId="77777777">
        <w:tblPrEx>
          <w:tblCellMar>
            <w:top w:w="0" w:type="dxa"/>
            <w:bottom w:w="0" w:type="dxa"/>
          </w:tblCellMar>
        </w:tblPrEx>
        <w:tc>
          <w:tcPr>
            <w:tcW w:w="850" w:type="dxa"/>
          </w:tcPr>
          <w:p w14:paraId="6922F885"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7DA4FD00" w14:textId="77777777" w:rsidR="00B14507" w:rsidRDefault="00B14507">
            <w:pPr>
              <w:spacing w:line="240" w:lineRule="auto"/>
              <w:rPr>
                <w:sz w:val="24"/>
              </w:rPr>
            </w:pPr>
            <w:hyperlink w:anchor="Seif1" w:tooltip="אופן ההגשה" w:history="1">
              <w:r>
                <w:rPr>
                  <w:rStyle w:val="Hyperlink"/>
                </w:rPr>
                <w:t>Go</w:t>
              </w:r>
            </w:hyperlink>
          </w:p>
        </w:tc>
        <w:tc>
          <w:tcPr>
            <w:tcW w:w="5669" w:type="dxa"/>
          </w:tcPr>
          <w:p w14:paraId="3D8ADE6A" w14:textId="77777777" w:rsidR="00B14507" w:rsidRDefault="00B14507">
            <w:pPr>
              <w:spacing w:line="240" w:lineRule="auto"/>
              <w:rPr>
                <w:sz w:val="24"/>
                <w:rtl/>
              </w:rPr>
            </w:pPr>
            <w:r>
              <w:rPr>
                <w:sz w:val="24"/>
                <w:rtl/>
              </w:rPr>
              <w:t>אופן ההגשה</w:t>
            </w:r>
          </w:p>
        </w:tc>
        <w:tc>
          <w:tcPr>
            <w:tcW w:w="1247" w:type="dxa"/>
          </w:tcPr>
          <w:p w14:paraId="13835443" w14:textId="77777777" w:rsidR="00B14507" w:rsidRDefault="00B14507">
            <w:pPr>
              <w:spacing w:line="240" w:lineRule="auto"/>
              <w:rPr>
                <w:sz w:val="24"/>
              </w:rPr>
            </w:pPr>
            <w:r>
              <w:rPr>
                <w:sz w:val="24"/>
                <w:rtl/>
              </w:rPr>
              <w:t xml:space="preserve">סעיף 2 </w:t>
            </w:r>
          </w:p>
        </w:tc>
      </w:tr>
      <w:tr w:rsidR="00B14507" w14:paraId="748FD5E5" w14:textId="77777777">
        <w:tblPrEx>
          <w:tblCellMar>
            <w:top w:w="0" w:type="dxa"/>
            <w:bottom w:w="0" w:type="dxa"/>
          </w:tblCellMar>
        </w:tblPrEx>
        <w:tc>
          <w:tcPr>
            <w:tcW w:w="850" w:type="dxa"/>
          </w:tcPr>
          <w:p w14:paraId="4949B64F"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2BE3C938" w14:textId="77777777" w:rsidR="00B14507" w:rsidRDefault="00B14507">
            <w:pPr>
              <w:spacing w:line="240" w:lineRule="auto"/>
              <w:rPr>
                <w:sz w:val="24"/>
              </w:rPr>
            </w:pPr>
            <w:hyperlink w:anchor="Seif2" w:tooltip="סימון תאריך ההגשה" w:history="1">
              <w:r>
                <w:rPr>
                  <w:rStyle w:val="Hyperlink"/>
                </w:rPr>
                <w:t>Go</w:t>
              </w:r>
            </w:hyperlink>
          </w:p>
        </w:tc>
        <w:tc>
          <w:tcPr>
            <w:tcW w:w="5669" w:type="dxa"/>
          </w:tcPr>
          <w:p w14:paraId="5CAB3EFC" w14:textId="77777777" w:rsidR="00B14507" w:rsidRDefault="00B14507">
            <w:pPr>
              <w:spacing w:line="240" w:lineRule="auto"/>
              <w:rPr>
                <w:sz w:val="24"/>
                <w:rtl/>
              </w:rPr>
            </w:pPr>
            <w:r>
              <w:rPr>
                <w:sz w:val="24"/>
                <w:rtl/>
              </w:rPr>
              <w:t>סימון תאריך ההגשה</w:t>
            </w:r>
          </w:p>
        </w:tc>
        <w:tc>
          <w:tcPr>
            <w:tcW w:w="1247" w:type="dxa"/>
          </w:tcPr>
          <w:p w14:paraId="309C3AFD" w14:textId="77777777" w:rsidR="00B14507" w:rsidRDefault="00B14507">
            <w:pPr>
              <w:spacing w:line="240" w:lineRule="auto"/>
              <w:rPr>
                <w:sz w:val="24"/>
              </w:rPr>
            </w:pPr>
            <w:r>
              <w:rPr>
                <w:sz w:val="24"/>
                <w:rtl/>
              </w:rPr>
              <w:t xml:space="preserve">סעיף 3 </w:t>
            </w:r>
          </w:p>
        </w:tc>
      </w:tr>
      <w:tr w:rsidR="00B14507" w14:paraId="00CA5D92" w14:textId="77777777">
        <w:tblPrEx>
          <w:tblCellMar>
            <w:top w:w="0" w:type="dxa"/>
            <w:bottom w:w="0" w:type="dxa"/>
          </w:tblCellMar>
        </w:tblPrEx>
        <w:tc>
          <w:tcPr>
            <w:tcW w:w="850" w:type="dxa"/>
          </w:tcPr>
          <w:p w14:paraId="4D0DB82A"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225EF468" w14:textId="77777777" w:rsidR="00B14507" w:rsidRDefault="00B14507">
            <w:pPr>
              <w:spacing w:line="240" w:lineRule="auto"/>
              <w:rPr>
                <w:sz w:val="24"/>
              </w:rPr>
            </w:pPr>
            <w:hyperlink w:anchor="Seif3" w:tooltip="כתב ערעור" w:history="1">
              <w:r>
                <w:rPr>
                  <w:rStyle w:val="Hyperlink"/>
                </w:rPr>
                <w:t>Go</w:t>
              </w:r>
            </w:hyperlink>
          </w:p>
        </w:tc>
        <w:tc>
          <w:tcPr>
            <w:tcW w:w="5669" w:type="dxa"/>
          </w:tcPr>
          <w:p w14:paraId="2FD308C2" w14:textId="77777777" w:rsidR="00B14507" w:rsidRDefault="00B14507">
            <w:pPr>
              <w:spacing w:line="240" w:lineRule="auto"/>
              <w:rPr>
                <w:sz w:val="24"/>
                <w:rtl/>
              </w:rPr>
            </w:pPr>
            <w:r>
              <w:rPr>
                <w:sz w:val="24"/>
                <w:rtl/>
              </w:rPr>
              <w:t>כתב ערעור</w:t>
            </w:r>
          </w:p>
        </w:tc>
        <w:tc>
          <w:tcPr>
            <w:tcW w:w="1247" w:type="dxa"/>
          </w:tcPr>
          <w:p w14:paraId="4E03BF2F" w14:textId="77777777" w:rsidR="00B14507" w:rsidRDefault="00B14507">
            <w:pPr>
              <w:spacing w:line="240" w:lineRule="auto"/>
              <w:rPr>
                <w:sz w:val="24"/>
              </w:rPr>
            </w:pPr>
            <w:r>
              <w:rPr>
                <w:sz w:val="24"/>
                <w:rtl/>
              </w:rPr>
              <w:t xml:space="preserve">סעיף 4 </w:t>
            </w:r>
          </w:p>
        </w:tc>
      </w:tr>
      <w:tr w:rsidR="00B14507" w14:paraId="0249B2C5" w14:textId="77777777">
        <w:tblPrEx>
          <w:tblCellMar>
            <w:top w:w="0" w:type="dxa"/>
            <w:bottom w:w="0" w:type="dxa"/>
          </w:tblCellMar>
        </w:tblPrEx>
        <w:tc>
          <w:tcPr>
            <w:tcW w:w="850" w:type="dxa"/>
          </w:tcPr>
          <w:p w14:paraId="6E74684D"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02D25002" w14:textId="77777777" w:rsidR="00B14507" w:rsidRDefault="00B14507">
            <w:pPr>
              <w:spacing w:line="240" w:lineRule="auto"/>
              <w:rPr>
                <w:sz w:val="24"/>
              </w:rPr>
            </w:pPr>
            <w:hyperlink w:anchor="Seif4" w:tooltip="צירוף העתק ההחלטה" w:history="1">
              <w:r>
                <w:rPr>
                  <w:rStyle w:val="Hyperlink"/>
                </w:rPr>
                <w:t>Go</w:t>
              </w:r>
            </w:hyperlink>
          </w:p>
        </w:tc>
        <w:tc>
          <w:tcPr>
            <w:tcW w:w="5669" w:type="dxa"/>
          </w:tcPr>
          <w:p w14:paraId="5954094F" w14:textId="77777777" w:rsidR="00B14507" w:rsidRDefault="00B14507">
            <w:pPr>
              <w:spacing w:line="240" w:lineRule="auto"/>
              <w:rPr>
                <w:sz w:val="24"/>
                <w:rtl/>
              </w:rPr>
            </w:pPr>
            <w:r>
              <w:rPr>
                <w:sz w:val="24"/>
                <w:rtl/>
              </w:rPr>
              <w:t>צירוף העתק ההחלטה</w:t>
            </w:r>
          </w:p>
        </w:tc>
        <w:tc>
          <w:tcPr>
            <w:tcW w:w="1247" w:type="dxa"/>
          </w:tcPr>
          <w:p w14:paraId="07F5F877" w14:textId="77777777" w:rsidR="00B14507" w:rsidRDefault="00B14507">
            <w:pPr>
              <w:spacing w:line="240" w:lineRule="auto"/>
              <w:rPr>
                <w:sz w:val="24"/>
              </w:rPr>
            </w:pPr>
            <w:r>
              <w:rPr>
                <w:sz w:val="24"/>
                <w:rtl/>
              </w:rPr>
              <w:t xml:space="preserve">סעיף 5 </w:t>
            </w:r>
          </w:p>
        </w:tc>
      </w:tr>
      <w:tr w:rsidR="00B14507" w14:paraId="2446A189" w14:textId="77777777">
        <w:tblPrEx>
          <w:tblCellMar>
            <w:top w:w="0" w:type="dxa"/>
            <w:bottom w:w="0" w:type="dxa"/>
          </w:tblCellMar>
        </w:tblPrEx>
        <w:tc>
          <w:tcPr>
            <w:tcW w:w="850" w:type="dxa"/>
          </w:tcPr>
          <w:p w14:paraId="605BD242"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3D9E0BA4" w14:textId="77777777" w:rsidR="00B14507" w:rsidRDefault="00B14507">
            <w:pPr>
              <w:spacing w:line="240" w:lineRule="auto"/>
              <w:rPr>
                <w:sz w:val="24"/>
              </w:rPr>
            </w:pPr>
            <w:hyperlink w:anchor="Seif5" w:tooltip="פסול כתב הערעור" w:history="1">
              <w:r>
                <w:rPr>
                  <w:rStyle w:val="Hyperlink"/>
                </w:rPr>
                <w:t>Go</w:t>
              </w:r>
            </w:hyperlink>
          </w:p>
        </w:tc>
        <w:tc>
          <w:tcPr>
            <w:tcW w:w="5669" w:type="dxa"/>
          </w:tcPr>
          <w:p w14:paraId="73315F01" w14:textId="77777777" w:rsidR="00B14507" w:rsidRDefault="00B14507">
            <w:pPr>
              <w:spacing w:line="240" w:lineRule="auto"/>
              <w:rPr>
                <w:sz w:val="24"/>
                <w:rtl/>
              </w:rPr>
            </w:pPr>
            <w:r>
              <w:rPr>
                <w:sz w:val="24"/>
                <w:rtl/>
              </w:rPr>
              <w:t>פסול כתב הערעור</w:t>
            </w:r>
          </w:p>
        </w:tc>
        <w:tc>
          <w:tcPr>
            <w:tcW w:w="1247" w:type="dxa"/>
          </w:tcPr>
          <w:p w14:paraId="48168DB1" w14:textId="77777777" w:rsidR="00B14507" w:rsidRDefault="00B14507">
            <w:pPr>
              <w:spacing w:line="240" w:lineRule="auto"/>
              <w:rPr>
                <w:sz w:val="24"/>
              </w:rPr>
            </w:pPr>
            <w:r>
              <w:rPr>
                <w:sz w:val="24"/>
                <w:rtl/>
              </w:rPr>
              <w:t xml:space="preserve">סעיף 6 </w:t>
            </w:r>
          </w:p>
        </w:tc>
      </w:tr>
      <w:tr w:rsidR="00B14507" w14:paraId="326370DB" w14:textId="77777777">
        <w:tblPrEx>
          <w:tblCellMar>
            <w:top w:w="0" w:type="dxa"/>
            <w:bottom w:w="0" w:type="dxa"/>
          </w:tblCellMar>
        </w:tblPrEx>
        <w:tc>
          <w:tcPr>
            <w:tcW w:w="850" w:type="dxa"/>
          </w:tcPr>
          <w:p w14:paraId="44AFBD44"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24FCB1E5" w14:textId="77777777" w:rsidR="00B14507" w:rsidRDefault="00B14507">
            <w:pPr>
              <w:spacing w:line="240" w:lineRule="auto"/>
              <w:rPr>
                <w:sz w:val="24"/>
              </w:rPr>
            </w:pPr>
            <w:hyperlink w:anchor="Seif6" w:tooltip="מסירה לפרקליט המדינה ולמשיב" w:history="1">
              <w:r>
                <w:rPr>
                  <w:rStyle w:val="Hyperlink"/>
                </w:rPr>
                <w:t>Go</w:t>
              </w:r>
            </w:hyperlink>
          </w:p>
        </w:tc>
        <w:tc>
          <w:tcPr>
            <w:tcW w:w="5669" w:type="dxa"/>
          </w:tcPr>
          <w:p w14:paraId="0D417004" w14:textId="77777777" w:rsidR="00B14507" w:rsidRDefault="00B14507">
            <w:pPr>
              <w:spacing w:line="240" w:lineRule="auto"/>
              <w:rPr>
                <w:sz w:val="24"/>
                <w:rtl/>
              </w:rPr>
            </w:pPr>
            <w:r>
              <w:rPr>
                <w:sz w:val="24"/>
                <w:rtl/>
              </w:rPr>
              <w:t>מסירה לפרקליט המדינה ולמשיב</w:t>
            </w:r>
          </w:p>
        </w:tc>
        <w:tc>
          <w:tcPr>
            <w:tcW w:w="1247" w:type="dxa"/>
          </w:tcPr>
          <w:p w14:paraId="22730A6B" w14:textId="77777777" w:rsidR="00B14507" w:rsidRDefault="00B14507">
            <w:pPr>
              <w:spacing w:line="240" w:lineRule="auto"/>
              <w:rPr>
                <w:sz w:val="24"/>
              </w:rPr>
            </w:pPr>
            <w:r>
              <w:rPr>
                <w:sz w:val="24"/>
                <w:rtl/>
              </w:rPr>
              <w:t xml:space="preserve">סעיף 7 </w:t>
            </w:r>
          </w:p>
        </w:tc>
      </w:tr>
      <w:tr w:rsidR="00B14507" w14:paraId="10CC374B" w14:textId="77777777">
        <w:tblPrEx>
          <w:tblCellMar>
            <w:top w:w="0" w:type="dxa"/>
            <w:bottom w:w="0" w:type="dxa"/>
          </w:tblCellMar>
        </w:tblPrEx>
        <w:tc>
          <w:tcPr>
            <w:tcW w:w="850" w:type="dxa"/>
          </w:tcPr>
          <w:p w14:paraId="2BED4E10"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49D880BF" w14:textId="77777777" w:rsidR="00B14507" w:rsidRDefault="00B14507">
            <w:pPr>
              <w:spacing w:line="240" w:lineRule="auto"/>
              <w:rPr>
                <w:sz w:val="24"/>
              </w:rPr>
            </w:pPr>
            <w:hyperlink w:anchor="Seif7" w:tooltip="סדרי דין" w:history="1">
              <w:r>
                <w:rPr>
                  <w:rStyle w:val="Hyperlink"/>
                </w:rPr>
                <w:t>Go</w:t>
              </w:r>
            </w:hyperlink>
          </w:p>
        </w:tc>
        <w:tc>
          <w:tcPr>
            <w:tcW w:w="5669" w:type="dxa"/>
          </w:tcPr>
          <w:p w14:paraId="11CFFD6D" w14:textId="77777777" w:rsidR="00B14507" w:rsidRDefault="00B14507">
            <w:pPr>
              <w:spacing w:line="240" w:lineRule="auto"/>
              <w:rPr>
                <w:sz w:val="24"/>
                <w:rtl/>
              </w:rPr>
            </w:pPr>
            <w:r>
              <w:rPr>
                <w:sz w:val="24"/>
                <w:rtl/>
              </w:rPr>
              <w:t>סדרי דין</w:t>
            </w:r>
          </w:p>
        </w:tc>
        <w:tc>
          <w:tcPr>
            <w:tcW w:w="1247" w:type="dxa"/>
          </w:tcPr>
          <w:p w14:paraId="7339F07F" w14:textId="77777777" w:rsidR="00B14507" w:rsidRDefault="00B14507">
            <w:pPr>
              <w:spacing w:line="240" w:lineRule="auto"/>
              <w:rPr>
                <w:sz w:val="24"/>
              </w:rPr>
            </w:pPr>
            <w:r>
              <w:rPr>
                <w:sz w:val="24"/>
                <w:rtl/>
              </w:rPr>
              <w:t xml:space="preserve">סעיף 8 </w:t>
            </w:r>
          </w:p>
        </w:tc>
      </w:tr>
      <w:tr w:rsidR="00B14507" w14:paraId="56FA102C" w14:textId="77777777">
        <w:tblPrEx>
          <w:tblCellMar>
            <w:top w:w="0" w:type="dxa"/>
            <w:bottom w:w="0" w:type="dxa"/>
          </w:tblCellMar>
        </w:tblPrEx>
        <w:tc>
          <w:tcPr>
            <w:tcW w:w="850" w:type="dxa"/>
          </w:tcPr>
          <w:p w14:paraId="0571F52B"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7FD71995" w14:textId="77777777" w:rsidR="00B14507" w:rsidRDefault="00B14507">
            <w:pPr>
              <w:spacing w:line="240" w:lineRule="auto"/>
              <w:rPr>
                <w:sz w:val="24"/>
              </w:rPr>
            </w:pPr>
            <w:hyperlink w:anchor="Seif8" w:tooltip="ביטול ערעור" w:history="1">
              <w:r>
                <w:rPr>
                  <w:rStyle w:val="Hyperlink"/>
                </w:rPr>
                <w:t>Go</w:t>
              </w:r>
            </w:hyperlink>
          </w:p>
        </w:tc>
        <w:tc>
          <w:tcPr>
            <w:tcW w:w="5669" w:type="dxa"/>
          </w:tcPr>
          <w:p w14:paraId="79FD5459" w14:textId="77777777" w:rsidR="00B14507" w:rsidRDefault="00B14507">
            <w:pPr>
              <w:spacing w:line="240" w:lineRule="auto"/>
              <w:rPr>
                <w:sz w:val="24"/>
                <w:rtl/>
              </w:rPr>
            </w:pPr>
            <w:r>
              <w:rPr>
                <w:sz w:val="24"/>
                <w:rtl/>
              </w:rPr>
              <w:t>ביטול ערעור</w:t>
            </w:r>
          </w:p>
        </w:tc>
        <w:tc>
          <w:tcPr>
            <w:tcW w:w="1247" w:type="dxa"/>
          </w:tcPr>
          <w:p w14:paraId="0699D7D7" w14:textId="77777777" w:rsidR="00B14507" w:rsidRDefault="00B14507">
            <w:pPr>
              <w:spacing w:line="240" w:lineRule="auto"/>
              <w:rPr>
                <w:sz w:val="24"/>
              </w:rPr>
            </w:pPr>
            <w:r>
              <w:rPr>
                <w:sz w:val="24"/>
                <w:rtl/>
              </w:rPr>
              <w:t xml:space="preserve">סעיף 9 </w:t>
            </w:r>
          </w:p>
        </w:tc>
      </w:tr>
      <w:tr w:rsidR="00B14507" w14:paraId="0110ED0D" w14:textId="77777777">
        <w:tblPrEx>
          <w:tblCellMar>
            <w:top w:w="0" w:type="dxa"/>
            <w:bottom w:w="0" w:type="dxa"/>
          </w:tblCellMar>
        </w:tblPrEx>
        <w:tc>
          <w:tcPr>
            <w:tcW w:w="850" w:type="dxa"/>
          </w:tcPr>
          <w:p w14:paraId="524B433F"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2C5FAADE" w14:textId="77777777" w:rsidR="00B14507" w:rsidRDefault="00B14507">
            <w:pPr>
              <w:spacing w:line="240" w:lineRule="auto"/>
              <w:rPr>
                <w:sz w:val="24"/>
              </w:rPr>
            </w:pPr>
            <w:hyperlink w:anchor="Seif9" w:tooltip="הוראות מעבר" w:history="1">
              <w:r>
                <w:rPr>
                  <w:rStyle w:val="Hyperlink"/>
                </w:rPr>
                <w:t>Go</w:t>
              </w:r>
            </w:hyperlink>
          </w:p>
        </w:tc>
        <w:tc>
          <w:tcPr>
            <w:tcW w:w="5669" w:type="dxa"/>
          </w:tcPr>
          <w:p w14:paraId="6D2ADE76" w14:textId="77777777" w:rsidR="00B14507" w:rsidRDefault="00B14507">
            <w:pPr>
              <w:spacing w:line="240" w:lineRule="auto"/>
              <w:rPr>
                <w:sz w:val="24"/>
                <w:rtl/>
              </w:rPr>
            </w:pPr>
            <w:r>
              <w:rPr>
                <w:sz w:val="24"/>
                <w:rtl/>
              </w:rPr>
              <w:t>הוראות מעבר</w:t>
            </w:r>
          </w:p>
        </w:tc>
        <w:tc>
          <w:tcPr>
            <w:tcW w:w="1247" w:type="dxa"/>
          </w:tcPr>
          <w:p w14:paraId="20A55093" w14:textId="77777777" w:rsidR="00B14507" w:rsidRDefault="00B14507">
            <w:pPr>
              <w:spacing w:line="240" w:lineRule="auto"/>
              <w:rPr>
                <w:sz w:val="24"/>
              </w:rPr>
            </w:pPr>
            <w:r>
              <w:rPr>
                <w:sz w:val="24"/>
                <w:rtl/>
              </w:rPr>
              <w:t xml:space="preserve">סעיף 10 </w:t>
            </w:r>
          </w:p>
        </w:tc>
      </w:tr>
      <w:tr w:rsidR="00B14507" w14:paraId="46C1A67F" w14:textId="77777777">
        <w:tblPrEx>
          <w:tblCellMar>
            <w:top w:w="0" w:type="dxa"/>
            <w:bottom w:w="0" w:type="dxa"/>
          </w:tblCellMar>
        </w:tblPrEx>
        <w:tc>
          <w:tcPr>
            <w:tcW w:w="850" w:type="dxa"/>
          </w:tcPr>
          <w:p w14:paraId="0162B071"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421792AE" w14:textId="77777777" w:rsidR="00B14507" w:rsidRDefault="00B14507">
            <w:pPr>
              <w:spacing w:line="240" w:lineRule="auto"/>
              <w:rPr>
                <w:sz w:val="24"/>
              </w:rPr>
            </w:pPr>
            <w:hyperlink w:anchor="Seif10" w:tooltip="תחילה" w:history="1">
              <w:r>
                <w:rPr>
                  <w:rStyle w:val="Hyperlink"/>
                </w:rPr>
                <w:t>Go</w:t>
              </w:r>
            </w:hyperlink>
          </w:p>
        </w:tc>
        <w:tc>
          <w:tcPr>
            <w:tcW w:w="5669" w:type="dxa"/>
          </w:tcPr>
          <w:p w14:paraId="1D62E1F5" w14:textId="77777777" w:rsidR="00B14507" w:rsidRDefault="00B14507">
            <w:pPr>
              <w:spacing w:line="240" w:lineRule="auto"/>
              <w:rPr>
                <w:sz w:val="24"/>
                <w:rtl/>
              </w:rPr>
            </w:pPr>
            <w:r>
              <w:rPr>
                <w:sz w:val="24"/>
                <w:rtl/>
              </w:rPr>
              <w:t>תחילה</w:t>
            </w:r>
          </w:p>
        </w:tc>
        <w:tc>
          <w:tcPr>
            <w:tcW w:w="1247" w:type="dxa"/>
          </w:tcPr>
          <w:p w14:paraId="75833CD5" w14:textId="77777777" w:rsidR="00B14507" w:rsidRDefault="00B14507">
            <w:pPr>
              <w:spacing w:line="240" w:lineRule="auto"/>
              <w:rPr>
                <w:sz w:val="24"/>
              </w:rPr>
            </w:pPr>
            <w:r>
              <w:rPr>
                <w:sz w:val="24"/>
                <w:rtl/>
              </w:rPr>
              <w:t xml:space="preserve">סעיף 11 </w:t>
            </w:r>
          </w:p>
        </w:tc>
      </w:tr>
      <w:tr w:rsidR="00B14507" w14:paraId="495796A5" w14:textId="77777777">
        <w:tblPrEx>
          <w:tblCellMar>
            <w:top w:w="0" w:type="dxa"/>
            <w:bottom w:w="0" w:type="dxa"/>
          </w:tblCellMar>
        </w:tblPrEx>
        <w:tc>
          <w:tcPr>
            <w:tcW w:w="850" w:type="dxa"/>
          </w:tcPr>
          <w:p w14:paraId="0E1D3E5E" w14:textId="77777777" w:rsidR="00B14507" w:rsidRDefault="00B14507">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0B4CFA">
              <w:rPr>
                <w:noProof/>
                <w:sz w:val="24"/>
                <w:rtl/>
              </w:rPr>
              <w:t>2</w:t>
            </w:r>
            <w:r>
              <w:rPr>
                <w:sz w:val="24"/>
                <w:rtl/>
              </w:rPr>
              <w:fldChar w:fldCharType="end"/>
            </w:r>
          </w:p>
        </w:tc>
        <w:tc>
          <w:tcPr>
            <w:tcW w:w="567" w:type="dxa"/>
          </w:tcPr>
          <w:p w14:paraId="12EE42AA" w14:textId="77777777" w:rsidR="00B14507" w:rsidRDefault="00B14507">
            <w:pPr>
              <w:spacing w:line="240" w:lineRule="auto"/>
              <w:rPr>
                <w:sz w:val="24"/>
              </w:rPr>
            </w:pPr>
            <w:hyperlink w:anchor="Seif11" w:tooltip="השם" w:history="1">
              <w:r>
                <w:rPr>
                  <w:rStyle w:val="Hyperlink"/>
                </w:rPr>
                <w:t>Go</w:t>
              </w:r>
            </w:hyperlink>
          </w:p>
        </w:tc>
        <w:tc>
          <w:tcPr>
            <w:tcW w:w="5669" w:type="dxa"/>
          </w:tcPr>
          <w:p w14:paraId="5980352B" w14:textId="77777777" w:rsidR="00B14507" w:rsidRDefault="00B14507">
            <w:pPr>
              <w:spacing w:line="240" w:lineRule="auto"/>
              <w:rPr>
                <w:sz w:val="24"/>
                <w:rtl/>
              </w:rPr>
            </w:pPr>
            <w:r>
              <w:rPr>
                <w:sz w:val="24"/>
                <w:rtl/>
              </w:rPr>
              <w:t>השם</w:t>
            </w:r>
          </w:p>
        </w:tc>
        <w:tc>
          <w:tcPr>
            <w:tcW w:w="1247" w:type="dxa"/>
          </w:tcPr>
          <w:p w14:paraId="2684A26A" w14:textId="77777777" w:rsidR="00B14507" w:rsidRDefault="00B14507">
            <w:pPr>
              <w:spacing w:line="240" w:lineRule="auto"/>
              <w:rPr>
                <w:sz w:val="24"/>
              </w:rPr>
            </w:pPr>
            <w:r>
              <w:rPr>
                <w:sz w:val="24"/>
                <w:rtl/>
              </w:rPr>
              <w:t xml:space="preserve">סעיף 12 </w:t>
            </w:r>
          </w:p>
        </w:tc>
      </w:tr>
    </w:tbl>
    <w:p w14:paraId="403B257D" w14:textId="77777777" w:rsidR="00B14507" w:rsidRDefault="00B14507">
      <w:pPr>
        <w:pStyle w:val="big-header"/>
        <w:ind w:left="0" w:right="1134"/>
        <w:rPr>
          <w:rtl/>
        </w:rPr>
      </w:pPr>
    </w:p>
    <w:p w14:paraId="3819F551" w14:textId="77777777" w:rsidR="00B14507" w:rsidRDefault="00B14507" w:rsidP="00BF694C">
      <w:pPr>
        <w:pStyle w:val="big-header"/>
        <w:ind w:left="0" w:right="1134"/>
        <w:rPr>
          <w:rStyle w:val="default"/>
          <w:rFonts w:cs="FrankRuehl" w:hint="cs"/>
          <w:rtl/>
        </w:rPr>
      </w:pPr>
      <w:r>
        <w:rPr>
          <w:rtl/>
        </w:rPr>
        <w:br w:type="page"/>
      </w:r>
      <w:r>
        <w:rPr>
          <w:rtl/>
        </w:rPr>
        <w:lastRenderedPageBreak/>
        <w:t>ת</w:t>
      </w:r>
      <w:r>
        <w:rPr>
          <w:rFonts w:hint="cs"/>
          <w:rtl/>
        </w:rPr>
        <w:t xml:space="preserve">קנות גימלאות לנושאי משרה ברשויות השלטון (סדרי דין בערעור), </w:t>
      </w:r>
      <w:r w:rsidR="000B4CFA">
        <w:rPr>
          <w:rtl/>
        </w:rPr>
        <w:br/>
      </w:r>
      <w:r>
        <w:rPr>
          <w:rFonts w:hint="cs"/>
          <w:rtl/>
        </w:rPr>
        <w:t>תשל"ח</w:t>
      </w:r>
      <w:r w:rsidR="000B4CFA">
        <w:rPr>
          <w:rFonts w:hint="cs"/>
          <w:rtl/>
        </w:rPr>
        <w:t>-</w:t>
      </w:r>
      <w:r>
        <w:rPr>
          <w:rFonts w:hint="cs"/>
          <w:rtl/>
        </w:rPr>
        <w:t>1978</w:t>
      </w:r>
      <w:r w:rsidR="000B4CFA">
        <w:rPr>
          <w:rStyle w:val="a6"/>
          <w:rtl/>
        </w:rPr>
        <w:footnoteReference w:customMarkFollows="1" w:id="1"/>
        <w:t>*</w:t>
      </w:r>
    </w:p>
    <w:p w14:paraId="56E4F426" w14:textId="77777777" w:rsidR="00B14507" w:rsidRDefault="00B14507" w:rsidP="000B4CF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4א(ב) לחוק גימלאות לנושאי משרה ברשויות השלטון, תשכ"ט</w:t>
      </w:r>
      <w:r w:rsidR="000B4CFA">
        <w:rPr>
          <w:rStyle w:val="default"/>
          <w:rFonts w:cs="FrankRuehl" w:hint="cs"/>
          <w:rtl/>
        </w:rPr>
        <w:t>-</w:t>
      </w:r>
      <w:r>
        <w:rPr>
          <w:rStyle w:val="default"/>
          <w:rFonts w:cs="FrankRuehl" w:hint="cs"/>
          <w:rtl/>
        </w:rPr>
        <w:t xml:space="preserve">1969 (להלן </w:t>
      </w:r>
      <w:r w:rsidR="000B4CFA">
        <w:rPr>
          <w:rStyle w:val="default"/>
          <w:rFonts w:cs="FrankRuehl" w:hint="cs"/>
          <w:rtl/>
        </w:rPr>
        <w:t>-</w:t>
      </w:r>
      <w:r>
        <w:rPr>
          <w:rStyle w:val="default"/>
          <w:rFonts w:cs="FrankRuehl" w:hint="cs"/>
          <w:rtl/>
        </w:rPr>
        <w:t xml:space="preserve"> החוק), ושאר הסמכויות הנתונות</w:t>
      </w:r>
      <w:r>
        <w:rPr>
          <w:rStyle w:val="default"/>
          <w:rFonts w:cs="FrankRuehl"/>
          <w:rtl/>
        </w:rPr>
        <w:t xml:space="preserve"> </w:t>
      </w:r>
      <w:r>
        <w:rPr>
          <w:rStyle w:val="default"/>
          <w:rFonts w:cs="FrankRuehl" w:hint="cs"/>
          <w:rtl/>
        </w:rPr>
        <w:t xml:space="preserve">לי לפי כל דין, אני מתקין תקנות אלה: </w:t>
      </w:r>
    </w:p>
    <w:p w14:paraId="287739D6" w14:textId="77777777" w:rsidR="00B14507" w:rsidRDefault="00B14507">
      <w:pPr>
        <w:pStyle w:val="P00"/>
        <w:spacing w:before="72"/>
        <w:ind w:left="0" w:right="1134"/>
        <w:rPr>
          <w:rStyle w:val="default"/>
          <w:rFonts w:cs="FrankRuehl"/>
          <w:rtl/>
        </w:rPr>
      </w:pPr>
      <w:bookmarkStart w:id="0" w:name="Seif0"/>
      <w:bookmarkEnd w:id="0"/>
      <w:r>
        <w:rPr>
          <w:lang w:val="he-IL"/>
        </w:rPr>
        <w:pict w14:anchorId="2DFD4D94">
          <v:rect id="_x0000_s1026" style="position:absolute;left:0;text-align:left;margin-left:464.5pt;margin-top:8.05pt;width:75.05pt;height:16pt;z-index:251652096" o:allowincell="f" filled="f" stroked="f" strokecolor="lime" strokeweight=".25pt">
            <v:textbox style="mso-next-textbox:#_x0000_s1026" inset="0,0,0,0">
              <w:txbxContent>
                <w:p w14:paraId="5BEE415F" w14:textId="77777777" w:rsidR="00B14507" w:rsidRDefault="00B14507" w:rsidP="000B4CFA">
                  <w:pPr>
                    <w:spacing w:line="160" w:lineRule="exact"/>
                    <w:jc w:val="left"/>
                    <w:rPr>
                      <w:rFonts w:cs="Miriam"/>
                      <w:noProof/>
                      <w:szCs w:val="18"/>
                      <w:rtl/>
                    </w:rPr>
                  </w:pPr>
                  <w:r>
                    <w:rPr>
                      <w:rFonts w:cs="Miriam"/>
                      <w:szCs w:val="18"/>
                      <w:rtl/>
                    </w:rPr>
                    <w:t>ה</w:t>
                  </w:r>
                  <w:r>
                    <w:rPr>
                      <w:rFonts w:cs="Miriam" w:hint="cs"/>
                      <w:szCs w:val="18"/>
                      <w:rtl/>
                    </w:rPr>
                    <w:t xml:space="preserve">מועד </w:t>
                  </w:r>
                  <w:r>
                    <w:rPr>
                      <w:rFonts w:cs="Miriam"/>
                      <w:szCs w:val="18"/>
                      <w:rtl/>
                    </w:rPr>
                    <w:t>ל</w:t>
                  </w:r>
                  <w:r>
                    <w:rPr>
                      <w:rFonts w:cs="Miriam" w:hint="cs"/>
                      <w:szCs w:val="18"/>
                      <w:rtl/>
                    </w:rPr>
                    <w:t>הגשת</w:t>
                  </w:r>
                  <w:r w:rsidR="000B4CFA">
                    <w:rPr>
                      <w:rFonts w:cs="Miriam" w:hint="cs"/>
                      <w:szCs w:val="18"/>
                      <w:rtl/>
                    </w:rPr>
                    <w:t xml:space="preserve"> </w:t>
                  </w:r>
                  <w:r>
                    <w:rPr>
                      <w:rFonts w:cs="Miriam"/>
                      <w:szCs w:val="18"/>
                      <w:rtl/>
                    </w:rPr>
                    <w:t>ע</w:t>
                  </w:r>
                  <w:r>
                    <w:rPr>
                      <w:rFonts w:cs="Miriam" w:hint="cs"/>
                      <w:szCs w:val="18"/>
                      <w:rtl/>
                    </w:rPr>
                    <w:t>רעור</w:t>
                  </w:r>
                </w:p>
              </w:txbxContent>
            </v:textbox>
            <w10:anchorlock/>
          </v:rect>
        </w:pict>
      </w:r>
      <w:r>
        <w:rPr>
          <w:rStyle w:val="big-number"/>
          <w:rtl/>
        </w:rPr>
        <w:t>1.</w:t>
      </w:r>
      <w:r>
        <w:rPr>
          <w:rStyle w:val="big-number"/>
          <w:rtl/>
        </w:rPr>
        <w:tab/>
      </w:r>
      <w:r>
        <w:rPr>
          <w:rStyle w:val="default"/>
          <w:rFonts w:cs="FrankRuehl"/>
          <w:rtl/>
        </w:rPr>
        <w:t>ע</w:t>
      </w:r>
      <w:r>
        <w:rPr>
          <w:rStyle w:val="default"/>
          <w:rFonts w:cs="FrankRuehl" w:hint="cs"/>
          <w:rtl/>
        </w:rPr>
        <w:t xml:space="preserve">רעור על החלטתו של הממונה על הגימלאות לפי סעיף 4א(א) לחוק יוגש תוך ארבעים וחמישה יום מיום שהומצא למערער העתק ההחלטה או מיום שנודע לו עליה, הכל לפי המוקדם יותר. </w:t>
      </w:r>
    </w:p>
    <w:p w14:paraId="00F28D07" w14:textId="77777777" w:rsidR="00B14507" w:rsidRDefault="00B14507" w:rsidP="000B4CFA">
      <w:pPr>
        <w:pStyle w:val="P00"/>
        <w:spacing w:before="72"/>
        <w:ind w:left="0" w:right="1134"/>
        <w:rPr>
          <w:rStyle w:val="default"/>
          <w:rFonts w:cs="FrankRuehl"/>
          <w:rtl/>
        </w:rPr>
      </w:pPr>
      <w:bookmarkStart w:id="1" w:name="Seif1"/>
      <w:bookmarkEnd w:id="1"/>
      <w:r>
        <w:rPr>
          <w:lang w:val="he-IL"/>
        </w:rPr>
        <w:pict w14:anchorId="6995E33B">
          <v:rect id="_x0000_s1027" style="position:absolute;left:0;text-align:left;margin-left:464.5pt;margin-top:8.05pt;width:75.05pt;height:18.75pt;z-index:251653120" o:allowincell="f" filled="f" stroked="f" strokecolor="lime" strokeweight=".25pt">
            <v:textbox style="mso-next-textbox:#_x0000_s1027" inset="0,0,0,0">
              <w:txbxContent>
                <w:p w14:paraId="0D79C767" w14:textId="77777777" w:rsidR="00B14507" w:rsidRDefault="00B14507">
                  <w:pPr>
                    <w:spacing w:line="160" w:lineRule="exact"/>
                    <w:jc w:val="left"/>
                    <w:rPr>
                      <w:rFonts w:cs="Miriam"/>
                      <w:noProof/>
                      <w:szCs w:val="18"/>
                      <w:rtl/>
                    </w:rPr>
                  </w:pPr>
                  <w:r>
                    <w:rPr>
                      <w:rFonts w:cs="Miriam"/>
                      <w:szCs w:val="18"/>
                      <w:rtl/>
                    </w:rPr>
                    <w:t>א</w:t>
                  </w:r>
                  <w:r>
                    <w:rPr>
                      <w:rFonts w:cs="Miriam" w:hint="cs"/>
                      <w:szCs w:val="18"/>
                      <w:rtl/>
                    </w:rPr>
                    <w:t>ופן ה</w:t>
                  </w:r>
                  <w:r>
                    <w:rPr>
                      <w:rFonts w:cs="Miriam"/>
                      <w:szCs w:val="18"/>
                      <w:rtl/>
                    </w:rPr>
                    <w:t>ה</w:t>
                  </w:r>
                  <w:r>
                    <w:rPr>
                      <w:rFonts w:cs="Miriam" w:hint="cs"/>
                      <w:szCs w:val="18"/>
                      <w:rtl/>
                    </w:rPr>
                    <w:t>גשה</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ערעור יהיה בכתב</w:t>
      </w:r>
      <w:r>
        <w:rPr>
          <w:rStyle w:val="default"/>
          <w:rFonts w:cs="FrankRuehl"/>
          <w:rtl/>
        </w:rPr>
        <w:t xml:space="preserve"> </w:t>
      </w:r>
      <w:r>
        <w:rPr>
          <w:rStyle w:val="default"/>
          <w:rFonts w:cs="FrankRuehl" w:hint="cs"/>
          <w:rtl/>
        </w:rPr>
        <w:t xml:space="preserve">ויוגש למשרד הרישום של בית המשפט העליון (להלן </w:t>
      </w:r>
      <w:r w:rsidR="000B4CFA">
        <w:rPr>
          <w:rStyle w:val="default"/>
          <w:rFonts w:cs="FrankRuehl" w:hint="cs"/>
          <w:rtl/>
        </w:rPr>
        <w:t>-</w:t>
      </w:r>
      <w:r>
        <w:rPr>
          <w:rStyle w:val="default"/>
          <w:rFonts w:cs="FrankRuehl" w:hint="cs"/>
          <w:rtl/>
        </w:rPr>
        <w:t xml:space="preserve"> משרד הרישום). </w:t>
      </w:r>
    </w:p>
    <w:p w14:paraId="7419078D" w14:textId="77777777" w:rsidR="00B14507" w:rsidRDefault="00B14507">
      <w:pPr>
        <w:pStyle w:val="P00"/>
        <w:spacing w:before="72"/>
        <w:ind w:left="0" w:right="1134"/>
        <w:rPr>
          <w:rStyle w:val="default"/>
          <w:rFonts w:cs="FrankRuehl"/>
          <w:rtl/>
        </w:rPr>
      </w:pPr>
      <w:bookmarkStart w:id="2" w:name="Seif2"/>
      <w:bookmarkEnd w:id="2"/>
      <w:r>
        <w:rPr>
          <w:lang w:val="he-IL"/>
        </w:rPr>
        <w:pict w14:anchorId="363B3EAD">
          <v:rect id="_x0000_s1028" style="position:absolute;left:0;text-align:left;margin-left:464.5pt;margin-top:8.05pt;width:75.05pt;height:16pt;z-index:251654144" o:allowincell="f" filled="f" stroked="f" strokecolor="lime" strokeweight=".25pt">
            <v:textbox style="mso-next-textbox:#_x0000_s1028" inset="0,0,0,0">
              <w:txbxContent>
                <w:p w14:paraId="1934E242" w14:textId="77777777" w:rsidR="00B14507" w:rsidRDefault="00B14507" w:rsidP="000B4CFA">
                  <w:pPr>
                    <w:spacing w:line="160" w:lineRule="exact"/>
                    <w:jc w:val="left"/>
                    <w:rPr>
                      <w:rFonts w:cs="Miriam"/>
                      <w:noProof/>
                      <w:szCs w:val="18"/>
                      <w:rtl/>
                    </w:rPr>
                  </w:pPr>
                  <w:r>
                    <w:rPr>
                      <w:rFonts w:cs="Miriam"/>
                      <w:szCs w:val="18"/>
                      <w:rtl/>
                    </w:rPr>
                    <w:t>ס</w:t>
                  </w:r>
                  <w:r>
                    <w:rPr>
                      <w:rFonts w:cs="Miriam" w:hint="cs"/>
                      <w:szCs w:val="18"/>
                      <w:rtl/>
                    </w:rPr>
                    <w:t>ימון תאריך</w:t>
                  </w:r>
                  <w:r w:rsidR="000B4CFA">
                    <w:rPr>
                      <w:rFonts w:cs="Miriam" w:hint="cs"/>
                      <w:szCs w:val="18"/>
                      <w:rtl/>
                    </w:rPr>
                    <w:t xml:space="preserve"> </w:t>
                  </w:r>
                  <w:r>
                    <w:rPr>
                      <w:rFonts w:cs="Miriam"/>
                      <w:szCs w:val="18"/>
                      <w:rtl/>
                    </w:rPr>
                    <w:t>ה</w:t>
                  </w:r>
                  <w:r>
                    <w:rPr>
                      <w:rFonts w:cs="Miriam" w:hint="cs"/>
                      <w:szCs w:val="18"/>
                      <w:rtl/>
                    </w:rPr>
                    <w:t>הגשה</w:t>
                  </w:r>
                </w:p>
              </w:txbxContent>
            </v:textbox>
            <w10:anchorlock/>
          </v:rect>
        </w:pict>
      </w:r>
      <w:r>
        <w:rPr>
          <w:rStyle w:val="big-number"/>
          <w:rtl/>
        </w:rPr>
        <w:t>3.</w:t>
      </w:r>
      <w:r>
        <w:rPr>
          <w:rStyle w:val="big-number"/>
          <w:rtl/>
        </w:rPr>
        <w:tab/>
      </w:r>
      <w:r>
        <w:rPr>
          <w:rStyle w:val="default"/>
          <w:rFonts w:cs="FrankRuehl"/>
          <w:rtl/>
        </w:rPr>
        <w:t>פ</w:t>
      </w:r>
      <w:r>
        <w:rPr>
          <w:rStyle w:val="default"/>
          <w:rFonts w:cs="FrankRuehl" w:hint="cs"/>
          <w:rtl/>
        </w:rPr>
        <w:t xml:space="preserve">קיד משרד הרישום שהוגש לו כתב הערעור יסמן בגוף הכתב את תאריך ההגשה. </w:t>
      </w:r>
    </w:p>
    <w:p w14:paraId="7F43AD66" w14:textId="77777777" w:rsidR="00B14507" w:rsidRDefault="00B14507">
      <w:pPr>
        <w:pStyle w:val="P00"/>
        <w:spacing w:before="72"/>
        <w:ind w:left="0" w:right="1134"/>
        <w:rPr>
          <w:rStyle w:val="default"/>
          <w:rFonts w:cs="FrankRuehl"/>
          <w:rtl/>
        </w:rPr>
      </w:pPr>
      <w:bookmarkStart w:id="3" w:name="Seif3"/>
      <w:bookmarkEnd w:id="3"/>
      <w:r>
        <w:rPr>
          <w:lang w:val="he-IL"/>
        </w:rPr>
        <w:pict w14:anchorId="19E05070">
          <v:rect id="_x0000_s1029" style="position:absolute;left:0;text-align:left;margin-left:464.5pt;margin-top:8.05pt;width:75.05pt;height:16.3pt;z-index:251655168" o:allowincell="f" filled="f" stroked="f" strokecolor="lime" strokeweight=".25pt">
            <v:textbox style="mso-next-textbox:#_x0000_s1029" inset="0,0,0,0">
              <w:txbxContent>
                <w:p w14:paraId="443E5138" w14:textId="77777777" w:rsidR="00B14507" w:rsidRDefault="00B14507">
                  <w:pPr>
                    <w:spacing w:line="160" w:lineRule="exact"/>
                    <w:jc w:val="left"/>
                    <w:rPr>
                      <w:rFonts w:cs="Miriam"/>
                      <w:noProof/>
                      <w:szCs w:val="18"/>
                      <w:rtl/>
                    </w:rPr>
                  </w:pPr>
                  <w:r>
                    <w:rPr>
                      <w:rFonts w:cs="Miriam"/>
                      <w:szCs w:val="18"/>
                      <w:rtl/>
                    </w:rPr>
                    <w:t>כ</w:t>
                  </w:r>
                  <w:r>
                    <w:rPr>
                      <w:rFonts w:cs="Miriam" w:hint="cs"/>
                      <w:szCs w:val="18"/>
                      <w:rtl/>
                    </w:rPr>
                    <w:t>תב ערעור</w:t>
                  </w:r>
                </w:p>
              </w:txbxContent>
            </v:textbox>
            <w10:anchorlock/>
          </v:rect>
        </w:pict>
      </w:r>
      <w:r>
        <w:rPr>
          <w:rStyle w:val="big-number"/>
          <w:rtl/>
        </w:rPr>
        <w:t>4.</w:t>
      </w:r>
      <w:r>
        <w:rPr>
          <w:rStyle w:val="big-number"/>
          <w:rtl/>
        </w:rPr>
        <w:tab/>
      </w:r>
      <w:r>
        <w:rPr>
          <w:rStyle w:val="default"/>
          <w:rFonts w:cs="FrankRuehl"/>
          <w:rtl/>
        </w:rPr>
        <w:t>ה</w:t>
      </w:r>
      <w:r>
        <w:rPr>
          <w:rStyle w:val="default"/>
          <w:rFonts w:cs="FrankRuehl" w:hint="cs"/>
          <w:rtl/>
        </w:rPr>
        <w:t>ערעור יוגש בארבעה העתקים, ייחתם בידי המערער או בידי בא-כוחו, ויפורטו בו:</w:t>
      </w:r>
    </w:p>
    <w:p w14:paraId="62600D20" w14:textId="77777777" w:rsidR="00B14507" w:rsidRDefault="00B14507">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שמו ומ</w:t>
      </w:r>
      <w:r>
        <w:rPr>
          <w:rStyle w:val="default"/>
          <w:rFonts w:cs="FrankRuehl"/>
          <w:rtl/>
        </w:rPr>
        <w:t>ע</w:t>
      </w:r>
      <w:r>
        <w:rPr>
          <w:rStyle w:val="default"/>
          <w:rFonts w:cs="FrankRuehl" w:hint="cs"/>
          <w:rtl/>
        </w:rPr>
        <w:t>נו של המערער;</w:t>
      </w:r>
    </w:p>
    <w:p w14:paraId="19E47432" w14:textId="77777777" w:rsidR="00B14507" w:rsidRDefault="00B14507">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שמו ומענו של הממונה על הגימלאות, שיצויין כמשיב;</w:t>
      </w:r>
    </w:p>
    <w:p w14:paraId="6C4A6765" w14:textId="77777777" w:rsidR="00B14507" w:rsidRDefault="00B1450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המועד שבו נמסר למערער העתק ההחלטה או המועד שבו נודע לו עליה; </w:t>
      </w:r>
    </w:p>
    <w:p w14:paraId="7D6D8799" w14:textId="77777777" w:rsidR="00B14507" w:rsidRDefault="00B14507">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נימוקי הערעור;</w:t>
      </w:r>
    </w:p>
    <w:p w14:paraId="6DF7E6CD" w14:textId="77777777" w:rsidR="00B14507" w:rsidRDefault="00B14507">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הסעד המבוקש. </w:t>
      </w:r>
    </w:p>
    <w:p w14:paraId="5A5E27CE" w14:textId="77777777" w:rsidR="00B14507" w:rsidRDefault="00B14507">
      <w:pPr>
        <w:pStyle w:val="P00"/>
        <w:spacing w:before="72"/>
        <w:ind w:left="0" w:right="1134"/>
        <w:rPr>
          <w:rStyle w:val="default"/>
          <w:rFonts w:cs="FrankRuehl"/>
          <w:rtl/>
        </w:rPr>
      </w:pPr>
      <w:bookmarkStart w:id="4" w:name="Seif4"/>
      <w:bookmarkEnd w:id="4"/>
      <w:r>
        <w:rPr>
          <w:lang w:val="he-IL"/>
        </w:rPr>
        <w:pict w14:anchorId="4D7A8724">
          <v:rect id="_x0000_s1030" style="position:absolute;left:0;text-align:left;margin-left:464.5pt;margin-top:8.05pt;width:75.05pt;height:19.8pt;z-index:251656192" o:allowincell="f" filled="f" stroked="f" strokecolor="lime" strokeweight=".25pt">
            <v:textbox style="mso-next-textbox:#_x0000_s1030" inset="0,0,0,0">
              <w:txbxContent>
                <w:p w14:paraId="215A9D7C" w14:textId="77777777" w:rsidR="00B14507" w:rsidRDefault="00B14507" w:rsidP="000B4CFA">
                  <w:pPr>
                    <w:spacing w:line="160" w:lineRule="exact"/>
                    <w:jc w:val="left"/>
                    <w:rPr>
                      <w:rFonts w:cs="Miriam"/>
                      <w:noProof/>
                      <w:szCs w:val="18"/>
                      <w:rtl/>
                    </w:rPr>
                  </w:pPr>
                  <w:r>
                    <w:rPr>
                      <w:rFonts w:cs="Miriam"/>
                      <w:szCs w:val="18"/>
                      <w:rtl/>
                    </w:rPr>
                    <w:t>צ</w:t>
                  </w:r>
                  <w:r>
                    <w:rPr>
                      <w:rFonts w:cs="Miriam" w:hint="cs"/>
                      <w:szCs w:val="18"/>
                      <w:rtl/>
                    </w:rPr>
                    <w:t>ירוף העתק</w:t>
                  </w:r>
                  <w:r w:rsidR="000B4CFA">
                    <w:rPr>
                      <w:rFonts w:cs="Miriam" w:hint="cs"/>
                      <w:szCs w:val="18"/>
                      <w:rtl/>
                    </w:rPr>
                    <w:t xml:space="preserve"> </w:t>
                  </w:r>
                  <w:r>
                    <w:rPr>
                      <w:rFonts w:cs="Miriam"/>
                      <w:szCs w:val="18"/>
                      <w:rtl/>
                    </w:rPr>
                    <w:t>ה</w:t>
                  </w:r>
                  <w:r>
                    <w:rPr>
                      <w:rFonts w:cs="Miriam" w:hint="cs"/>
                      <w:szCs w:val="18"/>
                      <w:rtl/>
                    </w:rPr>
                    <w:t>החלטה</w:t>
                  </w:r>
                </w:p>
              </w:txbxContent>
            </v:textbox>
            <w10:anchorlock/>
          </v:rect>
        </w:pict>
      </w:r>
      <w:r>
        <w:rPr>
          <w:rStyle w:val="big-number"/>
          <w:rtl/>
        </w:rPr>
        <w:t>5.</w:t>
      </w:r>
      <w:r>
        <w:rPr>
          <w:rStyle w:val="big-number"/>
          <w:rtl/>
        </w:rPr>
        <w:tab/>
      </w:r>
      <w:r>
        <w:rPr>
          <w:rStyle w:val="default"/>
          <w:rFonts w:cs="FrankRuehl"/>
          <w:rtl/>
        </w:rPr>
        <w:t>ל</w:t>
      </w:r>
      <w:r>
        <w:rPr>
          <w:rStyle w:val="default"/>
          <w:rFonts w:cs="FrankRuehl" w:hint="cs"/>
          <w:rtl/>
        </w:rPr>
        <w:t>כתב הערעור יצורפו ארבעה העתקים של ההחלטה נושא הערעור.</w:t>
      </w:r>
    </w:p>
    <w:p w14:paraId="6929E1E0" w14:textId="77777777" w:rsidR="00B14507" w:rsidRDefault="00B14507">
      <w:pPr>
        <w:pStyle w:val="P00"/>
        <w:spacing w:before="72"/>
        <w:ind w:left="0" w:right="1134"/>
        <w:rPr>
          <w:rStyle w:val="default"/>
          <w:rFonts w:cs="FrankRuehl"/>
          <w:rtl/>
        </w:rPr>
      </w:pPr>
      <w:bookmarkStart w:id="5" w:name="Seif5"/>
      <w:bookmarkEnd w:id="5"/>
      <w:r>
        <w:rPr>
          <w:lang w:val="he-IL"/>
        </w:rPr>
        <w:pict w14:anchorId="709F6198">
          <v:rect id="_x0000_s1031" style="position:absolute;left:0;text-align:left;margin-left:464.5pt;margin-top:8.05pt;width:75.05pt;height:16pt;z-index:251657216" o:allowincell="f" filled="f" stroked="f" strokecolor="lime" strokeweight=".25pt">
            <v:textbox style="mso-next-textbox:#_x0000_s1031" inset="0,0,0,0">
              <w:txbxContent>
                <w:p w14:paraId="58219AF7" w14:textId="77777777" w:rsidR="00B14507" w:rsidRDefault="00B14507" w:rsidP="000B4CFA">
                  <w:pPr>
                    <w:spacing w:line="160" w:lineRule="exact"/>
                    <w:jc w:val="left"/>
                    <w:rPr>
                      <w:rFonts w:cs="Miriam"/>
                      <w:noProof/>
                      <w:szCs w:val="18"/>
                      <w:rtl/>
                    </w:rPr>
                  </w:pPr>
                  <w:r>
                    <w:rPr>
                      <w:rFonts w:cs="Miriam"/>
                      <w:szCs w:val="18"/>
                      <w:rtl/>
                    </w:rPr>
                    <w:t>פ</w:t>
                  </w:r>
                  <w:r>
                    <w:rPr>
                      <w:rFonts w:cs="Miriam" w:hint="cs"/>
                      <w:szCs w:val="18"/>
                      <w:rtl/>
                    </w:rPr>
                    <w:t>סול כת</w:t>
                  </w:r>
                  <w:r>
                    <w:rPr>
                      <w:rFonts w:cs="Miriam"/>
                      <w:szCs w:val="18"/>
                      <w:rtl/>
                    </w:rPr>
                    <w:t>ב</w:t>
                  </w:r>
                  <w:r w:rsidR="000B4CFA">
                    <w:rPr>
                      <w:rFonts w:cs="Miriam" w:hint="cs"/>
                      <w:szCs w:val="18"/>
                      <w:rtl/>
                    </w:rPr>
                    <w:t xml:space="preserve"> </w:t>
                  </w:r>
                  <w:r>
                    <w:rPr>
                      <w:rFonts w:cs="Miriam"/>
                      <w:szCs w:val="18"/>
                      <w:rtl/>
                    </w:rPr>
                    <w:t>ה</w:t>
                  </w:r>
                  <w:r>
                    <w:rPr>
                      <w:rFonts w:cs="Miriam" w:hint="cs"/>
                      <w:szCs w:val="18"/>
                      <w:rtl/>
                    </w:rPr>
                    <w:t>ערעור</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תב ערעור שלא נתקיימה בו הוראה מהוראות תקנות 4 ו-5, לא יתקבל על ידי משרד הרישום; אולם משקיבלו כתב ערעור, לא ייפסל על יסוד אי קיום הוראה כאמור, אלא אם היה באי פסילה כזו משום עיוות דין.</w:t>
      </w:r>
    </w:p>
    <w:p w14:paraId="06CB38A1" w14:textId="77777777" w:rsidR="00B14507" w:rsidRDefault="00B14507">
      <w:pPr>
        <w:pStyle w:val="P00"/>
        <w:spacing w:before="72"/>
        <w:ind w:left="0" w:right="1134"/>
        <w:rPr>
          <w:rStyle w:val="default"/>
          <w:rFonts w:cs="FrankRuehl"/>
          <w:rtl/>
        </w:rPr>
      </w:pPr>
      <w:bookmarkStart w:id="6" w:name="Seif6"/>
      <w:bookmarkEnd w:id="6"/>
      <w:r>
        <w:rPr>
          <w:lang w:val="he-IL"/>
        </w:rPr>
        <w:pict w14:anchorId="2D6FE52D">
          <v:rect id="_x0000_s1032" style="position:absolute;left:0;text-align:left;margin-left:464.5pt;margin-top:8.05pt;width:75.05pt;height:21.15pt;z-index:251658240" o:allowincell="f" filled="f" stroked="f" strokecolor="lime" strokeweight=".25pt">
            <v:textbox style="mso-next-textbox:#_x0000_s1032" inset="0,0,0,0">
              <w:txbxContent>
                <w:p w14:paraId="4B021BA0" w14:textId="77777777" w:rsidR="00B14507" w:rsidRDefault="00B14507" w:rsidP="000B4CFA">
                  <w:pPr>
                    <w:spacing w:line="160" w:lineRule="exact"/>
                    <w:jc w:val="left"/>
                    <w:rPr>
                      <w:rFonts w:cs="Miriam"/>
                      <w:noProof/>
                      <w:szCs w:val="18"/>
                      <w:rtl/>
                    </w:rPr>
                  </w:pPr>
                  <w:r>
                    <w:rPr>
                      <w:rFonts w:cs="Miriam"/>
                      <w:szCs w:val="18"/>
                      <w:rtl/>
                    </w:rPr>
                    <w:t>מ</w:t>
                  </w:r>
                  <w:r>
                    <w:rPr>
                      <w:rFonts w:cs="Miriam" w:hint="cs"/>
                      <w:szCs w:val="18"/>
                      <w:rtl/>
                    </w:rPr>
                    <w:t>סירה לפרקליט</w:t>
                  </w:r>
                  <w:r w:rsidR="000B4CFA">
                    <w:rPr>
                      <w:rFonts w:cs="Miriam" w:hint="cs"/>
                      <w:szCs w:val="18"/>
                      <w:rtl/>
                    </w:rPr>
                    <w:t xml:space="preserve"> </w:t>
                  </w:r>
                  <w:r>
                    <w:rPr>
                      <w:rFonts w:cs="Miriam"/>
                      <w:szCs w:val="18"/>
                      <w:rtl/>
                    </w:rPr>
                    <w:t>ה</w:t>
                  </w:r>
                  <w:r>
                    <w:rPr>
                      <w:rFonts w:cs="Miriam" w:hint="cs"/>
                      <w:szCs w:val="18"/>
                      <w:rtl/>
                    </w:rPr>
                    <w:t>מדינה ולמשיב</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עתק מכתב הערעור על נספ</w:t>
      </w:r>
      <w:r>
        <w:rPr>
          <w:rStyle w:val="default"/>
          <w:rFonts w:cs="FrankRuehl"/>
          <w:rtl/>
        </w:rPr>
        <w:t>ח</w:t>
      </w:r>
      <w:r>
        <w:rPr>
          <w:rStyle w:val="default"/>
          <w:rFonts w:cs="FrankRuehl" w:hint="cs"/>
          <w:rtl/>
        </w:rPr>
        <w:t>יו יומצא לפרקליט המדינה ולמשיב.</w:t>
      </w:r>
    </w:p>
    <w:p w14:paraId="3D481B55" w14:textId="77777777" w:rsidR="00B14507" w:rsidRDefault="00B14507" w:rsidP="000B4CFA">
      <w:pPr>
        <w:pStyle w:val="P00"/>
        <w:spacing w:before="72"/>
        <w:ind w:left="0" w:right="1134"/>
        <w:rPr>
          <w:rStyle w:val="default"/>
          <w:rFonts w:cs="FrankRuehl"/>
          <w:rtl/>
        </w:rPr>
      </w:pPr>
      <w:bookmarkStart w:id="7" w:name="Seif7"/>
      <w:bookmarkEnd w:id="7"/>
      <w:r>
        <w:rPr>
          <w:lang w:val="he-IL"/>
        </w:rPr>
        <w:pict w14:anchorId="38B7CAFC">
          <v:rect id="_x0000_s1033" style="position:absolute;left:0;text-align:left;margin-left:464.5pt;margin-top:8.05pt;width:75.05pt;height:12.4pt;z-index:251659264" o:allowincell="f" filled="f" stroked="f" strokecolor="lime" strokeweight=".25pt">
            <v:textbox style="mso-next-textbox:#_x0000_s1033" inset="0,0,0,0">
              <w:txbxContent>
                <w:p w14:paraId="043BC945" w14:textId="77777777" w:rsidR="00B14507" w:rsidRDefault="00B14507">
                  <w:pPr>
                    <w:spacing w:line="160" w:lineRule="exact"/>
                    <w:jc w:val="left"/>
                    <w:rPr>
                      <w:rFonts w:cs="Miriam"/>
                      <w:noProof/>
                      <w:szCs w:val="18"/>
                      <w:rtl/>
                    </w:rPr>
                  </w:pPr>
                  <w:r>
                    <w:rPr>
                      <w:rFonts w:cs="Miriam"/>
                      <w:szCs w:val="18"/>
                      <w:rtl/>
                    </w:rPr>
                    <w:t>ס</w:t>
                  </w:r>
                  <w:r>
                    <w:rPr>
                      <w:rFonts w:cs="Miriam" w:hint="cs"/>
                      <w:szCs w:val="18"/>
                      <w:rtl/>
                    </w:rPr>
                    <w:t>דרי דין</w:t>
                  </w:r>
                </w:p>
              </w:txbxContent>
            </v:textbox>
            <w10:anchorlock/>
          </v:rect>
        </w:pict>
      </w:r>
      <w:r>
        <w:rPr>
          <w:rStyle w:val="big-number"/>
          <w:rtl/>
        </w:rPr>
        <w:t>8.</w:t>
      </w:r>
      <w:r>
        <w:rPr>
          <w:rStyle w:val="big-number"/>
          <w:rtl/>
        </w:rPr>
        <w:tab/>
      </w:r>
      <w:r>
        <w:rPr>
          <w:rStyle w:val="default"/>
          <w:rFonts w:cs="FrankRuehl"/>
          <w:rtl/>
        </w:rPr>
        <w:t>ע</w:t>
      </w:r>
      <w:r>
        <w:rPr>
          <w:rStyle w:val="default"/>
          <w:rFonts w:cs="FrankRuehl" w:hint="cs"/>
          <w:rtl/>
        </w:rPr>
        <w:t>ל המצאת מסמכים, שמיעת הערעור ועל פסק הדין יחולו הוראות תקנות סדר הדין האזרחי, תשכ"ג</w:t>
      </w:r>
      <w:r w:rsidR="000B4CFA">
        <w:rPr>
          <w:rStyle w:val="default"/>
          <w:rFonts w:cs="FrankRuehl" w:hint="cs"/>
          <w:rtl/>
        </w:rPr>
        <w:t>-</w:t>
      </w:r>
      <w:r>
        <w:rPr>
          <w:rStyle w:val="default"/>
          <w:rFonts w:cs="FrankRuehl" w:hint="cs"/>
          <w:rtl/>
        </w:rPr>
        <w:t xml:space="preserve">1963, בדבר הגשת ערעורים לבית </w:t>
      </w:r>
      <w:r>
        <w:rPr>
          <w:rStyle w:val="default"/>
          <w:rFonts w:cs="FrankRuehl"/>
          <w:rtl/>
        </w:rPr>
        <w:t>ה</w:t>
      </w:r>
      <w:r>
        <w:rPr>
          <w:rStyle w:val="default"/>
          <w:rFonts w:cs="FrankRuehl" w:hint="cs"/>
          <w:rtl/>
        </w:rPr>
        <w:t xml:space="preserve">משפט העליון בענינים אזרחיים, בשינויים המחוייבים לפי הענין, אך למעט ההוראה המחייבת את המערער להפקיד ערבון. </w:t>
      </w:r>
    </w:p>
    <w:p w14:paraId="124D511E" w14:textId="77777777" w:rsidR="00B14507" w:rsidRDefault="00B14507">
      <w:pPr>
        <w:pStyle w:val="P00"/>
        <w:spacing w:before="72"/>
        <w:ind w:left="0" w:right="1134"/>
        <w:rPr>
          <w:rStyle w:val="default"/>
          <w:rFonts w:cs="FrankRuehl"/>
          <w:rtl/>
        </w:rPr>
      </w:pPr>
      <w:bookmarkStart w:id="8" w:name="Seif8"/>
      <w:bookmarkEnd w:id="8"/>
      <w:r>
        <w:rPr>
          <w:lang w:val="he-IL"/>
        </w:rPr>
        <w:pict w14:anchorId="7DF30501">
          <v:rect id="_x0000_s1034" style="position:absolute;left:0;text-align:left;margin-left:464.5pt;margin-top:8.05pt;width:75.05pt;height:11.3pt;z-index:251660288" o:allowincell="f" filled="f" stroked="f" strokecolor="lime" strokeweight=".25pt">
            <v:textbox style="mso-next-textbox:#_x0000_s1034" inset="0,0,0,0">
              <w:txbxContent>
                <w:p w14:paraId="4E09B9DF" w14:textId="77777777" w:rsidR="00B14507" w:rsidRDefault="00B14507">
                  <w:pPr>
                    <w:spacing w:line="160" w:lineRule="exact"/>
                    <w:jc w:val="left"/>
                    <w:rPr>
                      <w:rFonts w:cs="Miriam"/>
                      <w:noProof/>
                      <w:szCs w:val="18"/>
                      <w:rtl/>
                    </w:rPr>
                  </w:pPr>
                  <w:r>
                    <w:rPr>
                      <w:rFonts w:cs="Miriam"/>
                      <w:szCs w:val="18"/>
                      <w:rtl/>
                    </w:rPr>
                    <w:t>ב</w:t>
                  </w:r>
                  <w:r>
                    <w:rPr>
                      <w:rFonts w:cs="Miriam" w:hint="cs"/>
                      <w:szCs w:val="18"/>
                      <w:rtl/>
                    </w:rPr>
                    <w:t>יטול ע</w:t>
                  </w:r>
                  <w:r>
                    <w:rPr>
                      <w:rFonts w:cs="Miriam"/>
                      <w:szCs w:val="18"/>
                      <w:rtl/>
                    </w:rPr>
                    <w:t>ר</w:t>
                  </w:r>
                  <w:r>
                    <w:rPr>
                      <w:rFonts w:cs="Miriam" w:hint="cs"/>
                      <w:szCs w:val="18"/>
                      <w:rtl/>
                    </w:rPr>
                    <w:t>עור</w:t>
                  </w:r>
                </w:p>
              </w:txbxContent>
            </v:textbox>
            <w10:anchorlock/>
          </v:rect>
        </w:pict>
      </w:r>
      <w:r>
        <w:rPr>
          <w:rStyle w:val="big-number"/>
          <w:rtl/>
        </w:rPr>
        <w:t>9.</w:t>
      </w:r>
      <w:r>
        <w:rPr>
          <w:rStyle w:val="big-number"/>
          <w:rtl/>
        </w:rPr>
        <w:tab/>
      </w:r>
      <w:r>
        <w:rPr>
          <w:rStyle w:val="default"/>
          <w:rFonts w:cs="FrankRuehl"/>
          <w:rtl/>
        </w:rPr>
        <w:t>ע</w:t>
      </w:r>
      <w:r>
        <w:rPr>
          <w:rStyle w:val="default"/>
          <w:rFonts w:cs="FrankRuehl" w:hint="cs"/>
          <w:rtl/>
        </w:rPr>
        <w:t xml:space="preserve">ד למתן פסק הדין בערעור רשאי המערער לחזור בו מערעורו על ידי מתן הודעה בכתב לבית המשפט והמצאת העתק ממנה למשיב, או על ידי הודעה בעל </w:t>
      </w:r>
      <w:r>
        <w:rPr>
          <w:rStyle w:val="default"/>
          <w:rFonts w:cs="FrankRuehl"/>
          <w:rtl/>
        </w:rPr>
        <w:t>פ</w:t>
      </w:r>
      <w:r>
        <w:rPr>
          <w:rStyle w:val="default"/>
          <w:rFonts w:cs="FrankRuehl" w:hint="cs"/>
          <w:rtl/>
        </w:rPr>
        <w:t xml:space="preserve">ה בשעת שמיעת הערעור; משעשה כן, בטל הערעור. </w:t>
      </w:r>
    </w:p>
    <w:p w14:paraId="3B2D9915" w14:textId="77777777" w:rsidR="00B14507" w:rsidRDefault="00B14507">
      <w:pPr>
        <w:pStyle w:val="P00"/>
        <w:spacing w:before="72"/>
        <w:ind w:left="0" w:right="1134"/>
        <w:rPr>
          <w:rStyle w:val="default"/>
          <w:rFonts w:cs="FrankRuehl"/>
          <w:rtl/>
        </w:rPr>
      </w:pPr>
      <w:bookmarkStart w:id="9" w:name="Seif9"/>
      <w:bookmarkEnd w:id="9"/>
      <w:r>
        <w:rPr>
          <w:lang w:val="he-IL"/>
        </w:rPr>
        <w:pict w14:anchorId="6F13E0EF">
          <v:rect id="_x0000_s1035" style="position:absolute;left:0;text-align:left;margin-left:464.5pt;margin-top:8.05pt;width:75.05pt;height:15.8pt;z-index:251661312" o:allowincell="f" filled="f" stroked="f" strokecolor="lime" strokeweight=".25pt">
            <v:textbox style="mso-next-textbox:#_x0000_s1035" inset="0,0,0,0">
              <w:txbxContent>
                <w:p w14:paraId="533FF262" w14:textId="77777777" w:rsidR="00B14507" w:rsidRDefault="00B14507">
                  <w:pPr>
                    <w:spacing w:line="160" w:lineRule="exact"/>
                    <w:jc w:val="left"/>
                    <w:rPr>
                      <w:rFonts w:cs="Miriam"/>
                      <w:noProof/>
                      <w:szCs w:val="18"/>
                      <w:rtl/>
                    </w:rPr>
                  </w:pPr>
                  <w:r>
                    <w:rPr>
                      <w:rFonts w:cs="Miriam"/>
                      <w:szCs w:val="18"/>
                      <w:rtl/>
                    </w:rPr>
                    <w:t>ה</w:t>
                  </w:r>
                  <w:r>
                    <w:rPr>
                      <w:rFonts w:cs="Miriam" w:hint="cs"/>
                      <w:szCs w:val="18"/>
                      <w:rtl/>
                    </w:rPr>
                    <w:t>וראו</w:t>
                  </w:r>
                  <w:r>
                    <w:rPr>
                      <w:rFonts w:cs="Miriam"/>
                      <w:szCs w:val="18"/>
                      <w:rtl/>
                    </w:rPr>
                    <w:t>ת</w:t>
                  </w:r>
                  <w:r>
                    <w:rPr>
                      <w:rFonts w:cs="Miriam" w:hint="cs"/>
                      <w:szCs w:val="18"/>
                      <w:rtl/>
                    </w:rPr>
                    <w:t xml:space="preserve"> מעבר</w:t>
                  </w:r>
                </w:p>
              </w:txbxContent>
            </v:textbox>
            <w10:anchorlock/>
          </v:rect>
        </w:pict>
      </w:r>
      <w:r>
        <w:rPr>
          <w:rStyle w:val="big-number"/>
          <w:rtl/>
        </w:rPr>
        <w:t>10.</w:t>
      </w:r>
      <w:r>
        <w:rPr>
          <w:rStyle w:val="big-number"/>
          <w:rtl/>
        </w:rPr>
        <w:tab/>
      </w:r>
      <w:r>
        <w:rPr>
          <w:rStyle w:val="default"/>
          <w:rFonts w:cs="FrankRuehl"/>
          <w:rtl/>
        </w:rPr>
        <w:t>נ</w:t>
      </w:r>
      <w:r>
        <w:rPr>
          <w:rStyle w:val="default"/>
          <w:rFonts w:cs="FrankRuehl" w:hint="cs"/>
          <w:rtl/>
        </w:rPr>
        <w:t xml:space="preserve">יתנה החלטת הממונה על הגימלאות אחרי יום י"ח בשבט תשל"ח (26 בינואר 1978), אך לפני תחילתן של תקנות אלה, מותר להגיש ערעור על אותה החלטה תוך 45 יום מיום תחילתן של תקנות אלה. </w:t>
      </w:r>
    </w:p>
    <w:p w14:paraId="5F568269" w14:textId="77777777" w:rsidR="00B14507" w:rsidRDefault="00B14507">
      <w:pPr>
        <w:pStyle w:val="P00"/>
        <w:spacing w:before="72"/>
        <w:ind w:left="0" w:right="1134"/>
        <w:rPr>
          <w:rStyle w:val="default"/>
          <w:rFonts w:cs="FrankRuehl"/>
          <w:rtl/>
        </w:rPr>
      </w:pPr>
      <w:bookmarkStart w:id="10" w:name="Seif10"/>
      <w:bookmarkEnd w:id="10"/>
      <w:r>
        <w:rPr>
          <w:lang w:val="he-IL"/>
        </w:rPr>
        <w:pict w14:anchorId="68A92E7A">
          <v:rect id="_x0000_s1036" style="position:absolute;left:0;text-align:left;margin-left:464.5pt;margin-top:8.05pt;width:75.05pt;height:14.65pt;z-index:251662336" o:allowincell="f" filled="f" stroked="f" strokecolor="lime" strokeweight=".25pt">
            <v:textbox style="mso-next-textbox:#_x0000_s1036" inset="0,0,0,0">
              <w:txbxContent>
                <w:p w14:paraId="2DBAAC0C" w14:textId="77777777" w:rsidR="00B14507" w:rsidRDefault="00B14507">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11.</w:t>
      </w:r>
      <w:r>
        <w:rPr>
          <w:rStyle w:val="big-number"/>
          <w:rtl/>
        </w:rPr>
        <w:tab/>
      </w:r>
      <w:r>
        <w:rPr>
          <w:rStyle w:val="default"/>
          <w:rFonts w:cs="FrankRuehl"/>
          <w:rtl/>
        </w:rPr>
        <w:t>ת</w:t>
      </w:r>
      <w:r>
        <w:rPr>
          <w:rStyle w:val="default"/>
          <w:rFonts w:cs="FrankRuehl" w:hint="cs"/>
          <w:rtl/>
        </w:rPr>
        <w:t>חילתן ש</w:t>
      </w:r>
      <w:r>
        <w:rPr>
          <w:rStyle w:val="default"/>
          <w:rFonts w:cs="FrankRuehl"/>
          <w:rtl/>
        </w:rPr>
        <w:t>ל</w:t>
      </w:r>
      <w:r>
        <w:rPr>
          <w:rStyle w:val="default"/>
          <w:rFonts w:cs="FrankRuehl" w:hint="cs"/>
          <w:rtl/>
        </w:rPr>
        <w:t xml:space="preserve"> תקנות אלה היא עשרה ימים מיום פרסומן. </w:t>
      </w:r>
    </w:p>
    <w:p w14:paraId="14D5D070" w14:textId="77777777" w:rsidR="00B14507" w:rsidRDefault="00B14507" w:rsidP="000B4CFA">
      <w:pPr>
        <w:pStyle w:val="P00"/>
        <w:spacing w:before="72"/>
        <w:ind w:left="0" w:right="1134"/>
        <w:rPr>
          <w:rStyle w:val="default"/>
          <w:rFonts w:cs="FrankRuehl"/>
          <w:rtl/>
        </w:rPr>
      </w:pPr>
      <w:bookmarkStart w:id="11" w:name="Seif11"/>
      <w:bookmarkEnd w:id="11"/>
      <w:r>
        <w:rPr>
          <w:lang w:val="he-IL"/>
        </w:rPr>
        <w:pict w14:anchorId="3D68EFB0">
          <v:rect id="_x0000_s1037" style="position:absolute;left:0;text-align:left;margin-left:464.5pt;margin-top:8.05pt;width:75.05pt;height:11.55pt;z-index:251663360" o:allowincell="f" filled="f" stroked="f" strokecolor="lime" strokeweight=".25pt">
            <v:textbox style="mso-next-textbox:#_x0000_s1037" inset="0,0,0,0">
              <w:txbxContent>
                <w:p w14:paraId="2897D033" w14:textId="77777777" w:rsidR="00B14507" w:rsidRDefault="00B14507">
                  <w:pPr>
                    <w:spacing w:line="160" w:lineRule="exact"/>
                    <w:jc w:val="left"/>
                    <w:rPr>
                      <w:rFonts w:cs="Miriam"/>
                      <w:noProof/>
                      <w:szCs w:val="18"/>
                      <w:rtl/>
                    </w:rPr>
                  </w:pPr>
                  <w:r>
                    <w:rPr>
                      <w:rFonts w:cs="Miriam"/>
                      <w:szCs w:val="18"/>
                      <w:rtl/>
                    </w:rPr>
                    <w:t>ה</w:t>
                  </w:r>
                  <w:r>
                    <w:rPr>
                      <w:rFonts w:cs="Miriam" w:hint="cs"/>
                      <w:szCs w:val="18"/>
                      <w:rtl/>
                    </w:rPr>
                    <w:t>שם</w:t>
                  </w:r>
                </w:p>
              </w:txbxContent>
            </v:textbox>
            <w10:anchorlock/>
          </v:rect>
        </w:pict>
      </w:r>
      <w:r>
        <w:rPr>
          <w:rStyle w:val="big-number"/>
          <w:rtl/>
        </w:rPr>
        <w:t>12.</w:t>
      </w:r>
      <w:r>
        <w:rPr>
          <w:rStyle w:val="big-number"/>
          <w:rtl/>
        </w:rPr>
        <w:tab/>
      </w:r>
      <w:r>
        <w:rPr>
          <w:rStyle w:val="default"/>
          <w:rFonts w:cs="FrankRuehl"/>
          <w:rtl/>
        </w:rPr>
        <w:t>ל</w:t>
      </w:r>
      <w:r>
        <w:rPr>
          <w:rStyle w:val="default"/>
          <w:rFonts w:cs="FrankRuehl" w:hint="cs"/>
          <w:rtl/>
        </w:rPr>
        <w:t>תקנות אלה ייקרא "תקנות גימלאות לנושאי משרה ברשויות השלטון (סדרי דין בערעור), תשל"ח</w:t>
      </w:r>
      <w:r w:rsidR="000B4CFA">
        <w:rPr>
          <w:rStyle w:val="default"/>
          <w:rFonts w:cs="FrankRuehl" w:hint="cs"/>
          <w:rtl/>
        </w:rPr>
        <w:t>-</w:t>
      </w:r>
      <w:r>
        <w:rPr>
          <w:rStyle w:val="default"/>
          <w:rFonts w:cs="FrankRuehl" w:hint="cs"/>
          <w:rtl/>
        </w:rPr>
        <w:t xml:space="preserve">1978". </w:t>
      </w:r>
    </w:p>
    <w:p w14:paraId="69AA0771" w14:textId="77777777" w:rsidR="00B14507" w:rsidRDefault="00B14507">
      <w:pPr>
        <w:pStyle w:val="P00"/>
        <w:spacing w:before="72"/>
        <w:ind w:left="0" w:right="1134"/>
        <w:rPr>
          <w:rStyle w:val="default"/>
          <w:rFonts w:cs="FrankRuehl"/>
          <w:rtl/>
        </w:rPr>
      </w:pPr>
    </w:p>
    <w:p w14:paraId="3AEC6114" w14:textId="77777777" w:rsidR="00B14507" w:rsidRDefault="00B14507">
      <w:pPr>
        <w:pStyle w:val="P00"/>
        <w:spacing w:before="72"/>
        <w:ind w:left="0" w:right="1134"/>
        <w:rPr>
          <w:rStyle w:val="default"/>
          <w:rFonts w:cs="FrankRuehl"/>
          <w:rtl/>
        </w:rPr>
      </w:pPr>
    </w:p>
    <w:p w14:paraId="19550CBE" w14:textId="77777777" w:rsidR="00B14507" w:rsidRDefault="00B14507">
      <w:pPr>
        <w:pStyle w:val="sig-0"/>
        <w:ind w:left="0" w:right="1134"/>
        <w:rPr>
          <w:rtl/>
        </w:rPr>
      </w:pPr>
      <w:r>
        <w:rPr>
          <w:rtl/>
        </w:rPr>
        <w:t>ט</w:t>
      </w:r>
      <w:r>
        <w:rPr>
          <w:rFonts w:hint="cs"/>
          <w:rtl/>
        </w:rPr>
        <w:t>"ו באייר תשל"ח (22 במאי 1978)</w:t>
      </w:r>
      <w:r>
        <w:rPr>
          <w:rtl/>
        </w:rPr>
        <w:tab/>
      </w:r>
      <w:r>
        <w:rPr>
          <w:rFonts w:hint="cs"/>
          <w:rtl/>
        </w:rPr>
        <w:t>שמואל תמיר</w:t>
      </w:r>
    </w:p>
    <w:p w14:paraId="6ED68BA5" w14:textId="77777777" w:rsidR="00B14507" w:rsidRDefault="00B14507">
      <w:pPr>
        <w:pStyle w:val="sig-1"/>
        <w:widowControl/>
        <w:ind w:left="0" w:right="1134"/>
        <w:rPr>
          <w:rtl/>
        </w:rPr>
      </w:pPr>
      <w:r>
        <w:rPr>
          <w:rtl/>
        </w:rPr>
        <w:tab/>
      </w:r>
      <w:r>
        <w:rPr>
          <w:rtl/>
        </w:rPr>
        <w:tab/>
      </w:r>
      <w:r>
        <w:rPr>
          <w:rtl/>
        </w:rPr>
        <w:tab/>
      </w:r>
      <w:r>
        <w:rPr>
          <w:rFonts w:hint="cs"/>
          <w:rtl/>
        </w:rPr>
        <w:t>שר המשפטים</w:t>
      </w:r>
    </w:p>
    <w:p w14:paraId="37B822BE" w14:textId="77777777" w:rsidR="00B14507" w:rsidRPr="000B4CFA" w:rsidRDefault="00B14507" w:rsidP="000B4CFA">
      <w:pPr>
        <w:pStyle w:val="P00"/>
        <w:spacing w:before="72"/>
        <w:ind w:left="0" w:right="1134"/>
        <w:rPr>
          <w:rStyle w:val="default"/>
          <w:rFonts w:cs="FrankRuehl"/>
          <w:rtl/>
        </w:rPr>
      </w:pPr>
    </w:p>
    <w:p w14:paraId="2E1998C8" w14:textId="77777777" w:rsidR="00B14507" w:rsidRPr="000B4CFA" w:rsidRDefault="00B14507" w:rsidP="000B4CFA">
      <w:pPr>
        <w:pStyle w:val="P00"/>
        <w:spacing w:before="72"/>
        <w:ind w:left="0" w:right="1134"/>
        <w:rPr>
          <w:rStyle w:val="default"/>
          <w:rFonts w:cs="FrankRuehl"/>
          <w:rtl/>
        </w:rPr>
      </w:pPr>
    </w:p>
    <w:p w14:paraId="27070E9E" w14:textId="77777777" w:rsidR="00B14507" w:rsidRPr="000B4CFA" w:rsidRDefault="00B14507" w:rsidP="000B4CFA">
      <w:pPr>
        <w:pStyle w:val="P00"/>
        <w:spacing w:before="72"/>
        <w:ind w:left="0" w:right="1134"/>
        <w:rPr>
          <w:rStyle w:val="default"/>
          <w:rFonts w:cs="FrankRuehl"/>
          <w:rtl/>
        </w:rPr>
      </w:pPr>
      <w:bookmarkStart w:id="12" w:name="LawPartEnd"/>
    </w:p>
    <w:bookmarkEnd w:id="12"/>
    <w:p w14:paraId="54C894B2" w14:textId="77777777" w:rsidR="00B14507" w:rsidRPr="000B4CFA" w:rsidRDefault="00B14507" w:rsidP="000B4CFA">
      <w:pPr>
        <w:pStyle w:val="P00"/>
        <w:spacing w:before="72"/>
        <w:ind w:left="0" w:right="1134"/>
        <w:rPr>
          <w:rStyle w:val="default"/>
          <w:rFonts w:cs="FrankRuehl"/>
          <w:rtl/>
        </w:rPr>
      </w:pPr>
    </w:p>
    <w:sectPr w:rsidR="00B14507" w:rsidRPr="000B4CFA">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CA97A" w14:textId="77777777" w:rsidR="00042651" w:rsidRDefault="00042651">
      <w:r>
        <w:separator/>
      </w:r>
    </w:p>
  </w:endnote>
  <w:endnote w:type="continuationSeparator" w:id="0">
    <w:p w14:paraId="7B9980FD" w14:textId="77777777" w:rsidR="00042651" w:rsidRDefault="000426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E3315" w14:textId="77777777" w:rsidR="00B14507" w:rsidRDefault="00B145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EEAA1D1" w14:textId="77777777" w:rsidR="00B14507" w:rsidRDefault="00B145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A4EAC10" w14:textId="77777777" w:rsidR="00B14507" w:rsidRDefault="00B145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4CFA">
      <w:rPr>
        <w:rFonts w:cs="TopType Jerushalmi"/>
        <w:noProof/>
        <w:color w:val="000000"/>
        <w:sz w:val="14"/>
        <w:szCs w:val="14"/>
      </w:rPr>
      <w:t>D:\Yael\hakika\Revadim\063_009.doc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F5F4" w14:textId="77777777" w:rsidR="00B14507" w:rsidRDefault="00B14507">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F694C">
      <w:rPr>
        <w:rFonts w:hAnsi="FrankRuehl" w:cs="FrankRuehl"/>
        <w:noProof/>
        <w:sz w:val="24"/>
        <w:szCs w:val="24"/>
        <w:rtl/>
      </w:rPr>
      <w:t>1</w:t>
    </w:r>
    <w:r>
      <w:rPr>
        <w:rFonts w:hAnsi="FrankRuehl" w:cs="FrankRuehl"/>
        <w:sz w:val="24"/>
        <w:szCs w:val="24"/>
        <w:rtl/>
      </w:rPr>
      <w:fldChar w:fldCharType="end"/>
    </w:r>
  </w:p>
  <w:p w14:paraId="2839705A" w14:textId="77777777" w:rsidR="00B14507" w:rsidRDefault="00B14507">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E97F6F3" w14:textId="77777777" w:rsidR="00B14507" w:rsidRDefault="00B14507">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4CFA">
      <w:rPr>
        <w:rFonts w:cs="TopType Jerushalmi"/>
        <w:noProof/>
        <w:color w:val="000000"/>
        <w:sz w:val="14"/>
        <w:szCs w:val="14"/>
      </w:rPr>
      <w:t>D:\Yael\hakika\Revadim\063_009.doc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005F4" w14:textId="77777777" w:rsidR="00042651" w:rsidRDefault="00042651" w:rsidP="000B4CFA">
      <w:pPr>
        <w:spacing w:before="60" w:line="240" w:lineRule="auto"/>
        <w:ind w:right="1134"/>
      </w:pPr>
      <w:r>
        <w:separator/>
      </w:r>
    </w:p>
  </w:footnote>
  <w:footnote w:type="continuationSeparator" w:id="0">
    <w:p w14:paraId="137EDC26" w14:textId="77777777" w:rsidR="00042651" w:rsidRDefault="00042651">
      <w:r>
        <w:continuationSeparator/>
      </w:r>
    </w:p>
  </w:footnote>
  <w:footnote w:id="1">
    <w:p w14:paraId="752A3A19" w14:textId="77777777" w:rsidR="000B4CFA" w:rsidRPr="000B4CFA" w:rsidRDefault="000B4CFA" w:rsidP="000B4CF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0B4CFA">
        <w:rPr>
          <w:sz w:val="20"/>
          <w:rtl/>
        </w:rPr>
        <w:t xml:space="preserve">* </w:t>
      </w:r>
      <w:r>
        <w:rPr>
          <w:sz w:val="20"/>
          <w:rtl/>
        </w:rPr>
        <w:t>פ</w:t>
      </w:r>
      <w:r>
        <w:rPr>
          <w:rFonts w:hint="cs"/>
          <w:sz w:val="20"/>
          <w:rtl/>
        </w:rPr>
        <w:t xml:space="preserve">ורסמו </w:t>
      </w:r>
      <w:hyperlink r:id="rId1" w:history="1">
        <w:r w:rsidRPr="00C30C27">
          <w:rPr>
            <w:rStyle w:val="Hyperlink"/>
            <w:rFonts w:hint="cs"/>
            <w:sz w:val="20"/>
            <w:rtl/>
          </w:rPr>
          <w:t>ק"ת תשל"ח מס' 3858</w:t>
        </w:r>
      </w:hyperlink>
      <w:r>
        <w:rPr>
          <w:rFonts w:hint="cs"/>
          <w:sz w:val="20"/>
          <w:rtl/>
        </w:rPr>
        <w:t xml:space="preserve"> מיום 13.6.1978 עמ' 1474.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C647" w14:textId="77777777" w:rsidR="00B14507" w:rsidRDefault="00B14507">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גימלאות לנושאי משרה ברשויות השלטון (סדרי דין בערעור), תשל"ח–1978</w:t>
    </w:r>
  </w:p>
  <w:p w14:paraId="193B7740" w14:textId="77777777" w:rsidR="00B14507" w:rsidRDefault="00B145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95A83A1" w14:textId="77777777" w:rsidR="00B14507" w:rsidRDefault="00B14507">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448F9" w14:textId="77777777" w:rsidR="00B14507" w:rsidRDefault="00B14507" w:rsidP="000B4CF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גימלאות לנושאי משרה ברשויות השלטון (סדרי דין בערעור), תשל"ח</w:t>
    </w:r>
    <w:r w:rsidR="000B4CFA">
      <w:rPr>
        <w:rFonts w:hAnsi="FrankRuehl" w:cs="FrankRuehl" w:hint="cs"/>
        <w:color w:val="000000"/>
        <w:sz w:val="28"/>
        <w:szCs w:val="28"/>
        <w:rtl/>
      </w:rPr>
      <w:t>-</w:t>
    </w:r>
    <w:r>
      <w:rPr>
        <w:rFonts w:hAnsi="FrankRuehl" w:cs="FrankRuehl"/>
        <w:color w:val="000000"/>
        <w:sz w:val="28"/>
        <w:szCs w:val="28"/>
        <w:rtl/>
      </w:rPr>
      <w:t>1978</w:t>
    </w:r>
  </w:p>
  <w:p w14:paraId="2160628F" w14:textId="77777777" w:rsidR="00B14507" w:rsidRDefault="00B14507">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B1C339" w14:textId="77777777" w:rsidR="00B14507" w:rsidRDefault="00B14507">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30C27"/>
    <w:rsid w:val="00042651"/>
    <w:rsid w:val="000B4CFA"/>
    <w:rsid w:val="00293FE0"/>
    <w:rsid w:val="0074212D"/>
    <w:rsid w:val="00B14507"/>
    <w:rsid w:val="00B7636B"/>
    <w:rsid w:val="00BF694C"/>
    <w:rsid w:val="00C20B00"/>
    <w:rsid w:val="00C30C27"/>
    <w:rsid w:val="00D3007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B36B2A1"/>
  <w15:chartTrackingRefBased/>
  <w15:docId w15:val="{43A879B7-E45A-4B1E-BCE3-E915DF55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0B4CFA"/>
    <w:rPr>
      <w:sz w:val="20"/>
      <w:szCs w:val="20"/>
    </w:rPr>
  </w:style>
  <w:style w:type="character" w:styleId="a6">
    <w:name w:val="footnote reference"/>
    <w:basedOn w:val="a0"/>
    <w:semiHidden/>
    <w:rsid w:val="000B4CF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38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פרק 63</vt:lpstr>
    </vt:vector>
  </TitlesOfParts>
  <Company/>
  <LinksUpToDate>false</LinksUpToDate>
  <CharactersWithSpaces>3128</CharactersWithSpaces>
  <SharedDoc>false</SharedDoc>
  <HLinks>
    <vt:vector size="78" baseType="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8323080</vt:i4>
      </vt:variant>
      <vt:variant>
        <vt:i4>0</vt:i4>
      </vt:variant>
      <vt:variant>
        <vt:i4>0</vt:i4>
      </vt:variant>
      <vt:variant>
        <vt:i4>5</vt:i4>
      </vt:variant>
      <vt:variant>
        <vt:lpwstr>http://www.nevo.co.il/Law_word/law06/TAK-3858.pdf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63</dc:title>
  <dc:subject/>
  <dc:creator>eli</dc:creator>
  <cp:keywords/>
  <dc:description/>
  <cp:lastModifiedBy>Shimon Doodkin</cp:lastModifiedBy>
  <cp:revision>2</cp:revision>
  <dcterms:created xsi:type="dcterms:W3CDTF">2023-06-05T20:16:00Z</dcterms:created>
  <dcterms:modified xsi:type="dcterms:W3CDTF">2023-06-05T20:16:00Z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0063</vt:lpwstr>
  </property>
  <property fmtid="{D5CDD505-2E9C-101B-9397-08002B2CF9AE}" pid="3" name="CHNAME">
    <vt:lpwstr>גמלאות לנושאי משרה ברשויות השלטון</vt:lpwstr>
  </property>
  <property fmtid="{D5CDD505-2E9C-101B-9397-08002B2CF9AE}" pid="4" name="LAWNAME">
    <vt:lpwstr>תקנות גימלאות לנושאי משרה ברשויות השלטון (סדרי דין בערעור), תשל"ח-1978</vt:lpwstr>
  </property>
  <property fmtid="{D5CDD505-2E9C-101B-9397-08002B2CF9AE}" pid="5" name="LAWNUMBER">
    <vt:lpwstr>0009</vt:lpwstr>
  </property>
  <property fmtid="{D5CDD505-2E9C-101B-9397-08002B2CF9AE}" pid="6" name="TYPE">
    <vt:lpwstr>01</vt:lpwstr>
  </property>
  <property fmtid="{D5CDD505-2E9C-101B-9397-08002B2CF9AE}" pid="7" name="MEKOR_NAME1">
    <vt:lpwstr>חוק גימלאות לנושאי משרה ברשויות השלטון</vt:lpwstr>
  </property>
  <property fmtid="{D5CDD505-2E9C-101B-9397-08002B2CF9AE}" pid="8" name="MEKOR_SAIF1">
    <vt:lpwstr>4אXבX</vt:lpwstr>
  </property>
  <property fmtid="{D5CDD505-2E9C-101B-9397-08002B2CF9AE}" pid="9" name="NOSE11">
    <vt:lpwstr>רשויות ומשפט מנהלי</vt:lpwstr>
  </property>
  <property fmtid="{D5CDD505-2E9C-101B-9397-08002B2CF9AE}" pid="10" name="NOSE21">
    <vt:lpwstr>גימלאות נושאי משרה</vt:lpwstr>
  </property>
  <property fmtid="{D5CDD505-2E9C-101B-9397-08002B2CF9AE}" pid="11" name="NOSE31">
    <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