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AD88" w14:textId="77777777" w:rsidR="00EE372A" w:rsidRDefault="00EE372A">
      <w:pPr>
        <w:pStyle w:val="big-header"/>
        <w:ind w:left="0" w:right="1134"/>
        <w:rPr>
          <w:rFonts w:cs="FrankRuehl" w:hint="cs"/>
          <w:sz w:val="32"/>
          <w:rtl/>
        </w:rPr>
      </w:pPr>
      <w:r>
        <w:rPr>
          <w:rFonts w:cs="FrankRuehl"/>
          <w:sz w:val="32"/>
          <w:rtl/>
        </w:rPr>
        <w:t>תקנות האגודות השיתופיות (בוררות בסכסוכים), תשל"ב</w:t>
      </w:r>
      <w:r>
        <w:rPr>
          <w:rFonts w:cs="FrankRuehl" w:hint="cs"/>
          <w:sz w:val="32"/>
          <w:rtl/>
        </w:rPr>
        <w:t>-</w:t>
      </w:r>
      <w:r>
        <w:rPr>
          <w:rFonts w:cs="FrankRuehl"/>
          <w:sz w:val="32"/>
          <w:rtl/>
        </w:rPr>
        <w:t>1972</w:t>
      </w:r>
    </w:p>
    <w:p w14:paraId="488D0AA7" w14:textId="77777777" w:rsidR="00A1054C" w:rsidRDefault="00A1054C" w:rsidP="00A1054C">
      <w:pPr>
        <w:spacing w:line="320" w:lineRule="auto"/>
        <w:jc w:val="left"/>
        <w:rPr>
          <w:rFonts w:cs="FrankRuehl" w:hint="cs"/>
          <w:szCs w:val="26"/>
          <w:rtl/>
        </w:rPr>
      </w:pPr>
    </w:p>
    <w:p w14:paraId="65DE971C" w14:textId="77777777" w:rsidR="006E1B05" w:rsidRPr="00A1054C" w:rsidRDefault="006E1B05" w:rsidP="00A1054C">
      <w:pPr>
        <w:spacing w:line="320" w:lineRule="auto"/>
        <w:jc w:val="left"/>
        <w:rPr>
          <w:rFonts w:cs="FrankRuehl" w:hint="cs"/>
          <w:szCs w:val="26"/>
          <w:rtl/>
        </w:rPr>
      </w:pPr>
    </w:p>
    <w:p w14:paraId="27580356" w14:textId="77777777" w:rsidR="00A1054C" w:rsidRDefault="00A1054C" w:rsidP="00A1054C">
      <w:pPr>
        <w:spacing w:line="320" w:lineRule="auto"/>
        <w:jc w:val="left"/>
        <w:rPr>
          <w:rFonts w:cs="Miriam"/>
          <w:szCs w:val="22"/>
          <w:rtl/>
        </w:rPr>
      </w:pPr>
      <w:r w:rsidRPr="00A1054C">
        <w:rPr>
          <w:rFonts w:cs="Miriam"/>
          <w:szCs w:val="22"/>
          <w:rtl/>
        </w:rPr>
        <w:t>משפט פרטי וכלכלה</w:t>
      </w:r>
      <w:r w:rsidRPr="00A1054C">
        <w:rPr>
          <w:rFonts w:cs="FrankRuehl"/>
          <w:szCs w:val="26"/>
          <w:rtl/>
        </w:rPr>
        <w:t xml:space="preserve"> – תאגידים וניירות ערך – אגודות שיתופיות</w:t>
      </w:r>
    </w:p>
    <w:p w14:paraId="7684BEE0" w14:textId="77777777" w:rsidR="00A1054C" w:rsidRPr="00A1054C" w:rsidRDefault="00A1054C" w:rsidP="00A1054C">
      <w:pPr>
        <w:spacing w:line="320" w:lineRule="auto"/>
        <w:jc w:val="left"/>
        <w:rPr>
          <w:rFonts w:cs="Miriam" w:hint="cs"/>
          <w:szCs w:val="22"/>
          <w:rtl/>
        </w:rPr>
      </w:pPr>
      <w:r w:rsidRPr="00A1054C">
        <w:rPr>
          <w:rFonts w:cs="Miriam"/>
          <w:szCs w:val="22"/>
          <w:rtl/>
        </w:rPr>
        <w:t>בתי משפט וסדרי דין</w:t>
      </w:r>
      <w:r w:rsidRPr="00A1054C">
        <w:rPr>
          <w:rFonts w:cs="FrankRuehl"/>
          <w:szCs w:val="26"/>
          <w:rtl/>
        </w:rPr>
        <w:t xml:space="preserve"> – בוררות וגישור</w:t>
      </w:r>
    </w:p>
    <w:p w14:paraId="5D9B7FE6" w14:textId="77777777" w:rsidR="00EE372A" w:rsidRDefault="00EE372A">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E372A" w14:paraId="0CB639F5" w14:textId="77777777">
        <w:tblPrEx>
          <w:tblCellMar>
            <w:top w:w="0" w:type="dxa"/>
            <w:bottom w:w="0" w:type="dxa"/>
          </w:tblCellMar>
        </w:tblPrEx>
        <w:trPr>
          <w:jc w:val="right"/>
        </w:trPr>
        <w:tc>
          <w:tcPr>
            <w:tcW w:w="850" w:type="dxa"/>
          </w:tcPr>
          <w:p w14:paraId="31868361"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106AFE80" w14:textId="77777777" w:rsidR="00EE372A" w:rsidRDefault="00EE372A">
            <w:pPr>
              <w:spacing w:line="240" w:lineRule="auto"/>
              <w:jc w:val="left"/>
              <w:rPr>
                <w:sz w:val="24"/>
              </w:rPr>
            </w:pPr>
            <w:hyperlink w:anchor="Seif0" w:tooltip="העברת הסכסוך לרשם" w:history="1">
              <w:r>
                <w:rPr>
                  <w:rStyle w:val="Hyperlink"/>
                </w:rPr>
                <w:t>Go</w:t>
              </w:r>
            </w:hyperlink>
          </w:p>
        </w:tc>
        <w:tc>
          <w:tcPr>
            <w:tcW w:w="5669" w:type="dxa"/>
          </w:tcPr>
          <w:p w14:paraId="73B23B4E" w14:textId="77777777" w:rsidR="00EE372A" w:rsidRDefault="00EE372A">
            <w:pPr>
              <w:spacing w:line="240" w:lineRule="auto"/>
              <w:jc w:val="left"/>
              <w:rPr>
                <w:sz w:val="24"/>
                <w:rtl/>
              </w:rPr>
            </w:pPr>
            <w:r>
              <w:rPr>
                <w:sz w:val="24"/>
                <w:rtl/>
              </w:rPr>
              <w:t>העברת הסכסוך לרשם</w:t>
            </w:r>
          </w:p>
        </w:tc>
        <w:tc>
          <w:tcPr>
            <w:tcW w:w="1247" w:type="dxa"/>
          </w:tcPr>
          <w:p w14:paraId="179A1221" w14:textId="77777777" w:rsidR="00EE372A" w:rsidRDefault="00EE372A">
            <w:pPr>
              <w:spacing w:line="240" w:lineRule="auto"/>
              <w:jc w:val="left"/>
              <w:rPr>
                <w:sz w:val="24"/>
              </w:rPr>
            </w:pPr>
            <w:r>
              <w:rPr>
                <w:sz w:val="24"/>
                <w:rtl/>
              </w:rPr>
              <w:t xml:space="preserve">סעיף 1 </w:t>
            </w:r>
          </w:p>
        </w:tc>
      </w:tr>
      <w:tr w:rsidR="00EE372A" w14:paraId="7EAFE125" w14:textId="77777777">
        <w:tblPrEx>
          <w:tblCellMar>
            <w:top w:w="0" w:type="dxa"/>
            <w:bottom w:w="0" w:type="dxa"/>
          </w:tblCellMar>
        </w:tblPrEx>
        <w:trPr>
          <w:jc w:val="right"/>
        </w:trPr>
        <w:tc>
          <w:tcPr>
            <w:tcW w:w="850" w:type="dxa"/>
          </w:tcPr>
          <w:p w14:paraId="45DA27CC"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5D359500" w14:textId="77777777" w:rsidR="00EE372A" w:rsidRDefault="00EE372A">
            <w:pPr>
              <w:spacing w:line="240" w:lineRule="auto"/>
              <w:jc w:val="left"/>
              <w:rPr>
                <w:sz w:val="24"/>
              </w:rPr>
            </w:pPr>
            <w:hyperlink w:anchor="Seif1" w:tooltip="סמכויות הרשם" w:history="1">
              <w:r>
                <w:rPr>
                  <w:rStyle w:val="Hyperlink"/>
                </w:rPr>
                <w:t>Go</w:t>
              </w:r>
            </w:hyperlink>
          </w:p>
        </w:tc>
        <w:tc>
          <w:tcPr>
            <w:tcW w:w="5669" w:type="dxa"/>
          </w:tcPr>
          <w:p w14:paraId="6BA1FD4F" w14:textId="77777777" w:rsidR="00EE372A" w:rsidRDefault="00EE372A">
            <w:pPr>
              <w:spacing w:line="240" w:lineRule="auto"/>
              <w:jc w:val="left"/>
              <w:rPr>
                <w:sz w:val="24"/>
                <w:rtl/>
              </w:rPr>
            </w:pPr>
            <w:r>
              <w:rPr>
                <w:sz w:val="24"/>
                <w:rtl/>
              </w:rPr>
              <w:t>סמכויות הרשם</w:t>
            </w:r>
          </w:p>
        </w:tc>
        <w:tc>
          <w:tcPr>
            <w:tcW w:w="1247" w:type="dxa"/>
          </w:tcPr>
          <w:p w14:paraId="407FB783" w14:textId="77777777" w:rsidR="00EE372A" w:rsidRDefault="00EE372A">
            <w:pPr>
              <w:spacing w:line="240" w:lineRule="auto"/>
              <w:jc w:val="left"/>
              <w:rPr>
                <w:sz w:val="24"/>
              </w:rPr>
            </w:pPr>
            <w:r>
              <w:rPr>
                <w:sz w:val="24"/>
                <w:rtl/>
              </w:rPr>
              <w:t xml:space="preserve">סעיף 2 </w:t>
            </w:r>
          </w:p>
        </w:tc>
      </w:tr>
      <w:tr w:rsidR="00EE372A" w14:paraId="012647D2" w14:textId="77777777">
        <w:tblPrEx>
          <w:tblCellMar>
            <w:top w:w="0" w:type="dxa"/>
            <w:bottom w:w="0" w:type="dxa"/>
          </w:tblCellMar>
        </w:tblPrEx>
        <w:trPr>
          <w:jc w:val="right"/>
        </w:trPr>
        <w:tc>
          <w:tcPr>
            <w:tcW w:w="850" w:type="dxa"/>
          </w:tcPr>
          <w:p w14:paraId="3C5D505D"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62E0C671" w14:textId="77777777" w:rsidR="00EE372A" w:rsidRDefault="00EE372A">
            <w:pPr>
              <w:spacing w:line="240" w:lineRule="auto"/>
              <w:jc w:val="left"/>
              <w:rPr>
                <w:sz w:val="24"/>
              </w:rPr>
            </w:pPr>
            <w:hyperlink w:anchor="Seif2" w:tooltip="מינוי בורר בידי ברית סיוע או הרשם" w:history="1">
              <w:r>
                <w:rPr>
                  <w:rStyle w:val="Hyperlink"/>
                </w:rPr>
                <w:t>Go</w:t>
              </w:r>
            </w:hyperlink>
          </w:p>
        </w:tc>
        <w:tc>
          <w:tcPr>
            <w:tcW w:w="5669" w:type="dxa"/>
          </w:tcPr>
          <w:p w14:paraId="6429C1E7" w14:textId="77777777" w:rsidR="00EE372A" w:rsidRDefault="00EE372A">
            <w:pPr>
              <w:spacing w:line="240" w:lineRule="auto"/>
              <w:jc w:val="left"/>
              <w:rPr>
                <w:sz w:val="24"/>
                <w:rtl/>
              </w:rPr>
            </w:pPr>
            <w:r>
              <w:rPr>
                <w:sz w:val="24"/>
                <w:rtl/>
              </w:rPr>
              <w:t>מינוי בורר בידי ברית סיוע או הרשם</w:t>
            </w:r>
          </w:p>
        </w:tc>
        <w:tc>
          <w:tcPr>
            <w:tcW w:w="1247" w:type="dxa"/>
          </w:tcPr>
          <w:p w14:paraId="3100A77E" w14:textId="77777777" w:rsidR="00EE372A" w:rsidRDefault="00EE372A">
            <w:pPr>
              <w:spacing w:line="240" w:lineRule="auto"/>
              <w:jc w:val="left"/>
              <w:rPr>
                <w:sz w:val="24"/>
              </w:rPr>
            </w:pPr>
            <w:r>
              <w:rPr>
                <w:sz w:val="24"/>
                <w:rtl/>
              </w:rPr>
              <w:t xml:space="preserve">סעיף 2א </w:t>
            </w:r>
          </w:p>
        </w:tc>
      </w:tr>
      <w:tr w:rsidR="00EE372A" w14:paraId="20055410" w14:textId="77777777">
        <w:tblPrEx>
          <w:tblCellMar>
            <w:top w:w="0" w:type="dxa"/>
            <w:bottom w:w="0" w:type="dxa"/>
          </w:tblCellMar>
        </w:tblPrEx>
        <w:trPr>
          <w:jc w:val="right"/>
        </w:trPr>
        <w:tc>
          <w:tcPr>
            <w:tcW w:w="850" w:type="dxa"/>
          </w:tcPr>
          <w:p w14:paraId="349DFBDC"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2BD40615" w14:textId="77777777" w:rsidR="00EE372A" w:rsidRDefault="00EE372A">
            <w:pPr>
              <w:spacing w:line="240" w:lineRule="auto"/>
              <w:jc w:val="left"/>
              <w:rPr>
                <w:sz w:val="24"/>
              </w:rPr>
            </w:pPr>
            <w:hyperlink w:anchor="Seif3" w:tooltip="העברת בוררים מתפקידם" w:history="1">
              <w:r>
                <w:rPr>
                  <w:rStyle w:val="Hyperlink"/>
                </w:rPr>
                <w:t>Go</w:t>
              </w:r>
            </w:hyperlink>
          </w:p>
        </w:tc>
        <w:tc>
          <w:tcPr>
            <w:tcW w:w="5669" w:type="dxa"/>
          </w:tcPr>
          <w:p w14:paraId="7FFA2CD4" w14:textId="77777777" w:rsidR="00EE372A" w:rsidRDefault="00EE372A">
            <w:pPr>
              <w:spacing w:line="240" w:lineRule="auto"/>
              <w:jc w:val="left"/>
              <w:rPr>
                <w:sz w:val="24"/>
                <w:rtl/>
              </w:rPr>
            </w:pPr>
            <w:r>
              <w:rPr>
                <w:sz w:val="24"/>
                <w:rtl/>
              </w:rPr>
              <w:t>העברת בוררים מתפקידם</w:t>
            </w:r>
          </w:p>
        </w:tc>
        <w:tc>
          <w:tcPr>
            <w:tcW w:w="1247" w:type="dxa"/>
          </w:tcPr>
          <w:p w14:paraId="3B96B75E" w14:textId="77777777" w:rsidR="00EE372A" w:rsidRDefault="00EE372A">
            <w:pPr>
              <w:spacing w:line="240" w:lineRule="auto"/>
              <w:jc w:val="left"/>
              <w:rPr>
                <w:sz w:val="24"/>
              </w:rPr>
            </w:pPr>
            <w:r>
              <w:rPr>
                <w:sz w:val="24"/>
                <w:rtl/>
              </w:rPr>
              <w:t xml:space="preserve">סעיף 3 </w:t>
            </w:r>
          </w:p>
        </w:tc>
      </w:tr>
      <w:tr w:rsidR="00EE372A" w14:paraId="67B19398" w14:textId="77777777">
        <w:tblPrEx>
          <w:tblCellMar>
            <w:top w:w="0" w:type="dxa"/>
            <w:bottom w:w="0" w:type="dxa"/>
          </w:tblCellMar>
        </w:tblPrEx>
        <w:trPr>
          <w:jc w:val="right"/>
        </w:trPr>
        <w:tc>
          <w:tcPr>
            <w:tcW w:w="850" w:type="dxa"/>
          </w:tcPr>
          <w:p w14:paraId="0776A529"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6DAAC3F9" w14:textId="77777777" w:rsidR="00EE372A" w:rsidRDefault="00EE372A">
            <w:pPr>
              <w:spacing w:line="240" w:lineRule="auto"/>
              <w:jc w:val="left"/>
              <w:rPr>
                <w:sz w:val="24"/>
              </w:rPr>
            </w:pPr>
            <w:hyperlink w:anchor="Seif4" w:tooltip="הזמנת צדדים ועדים" w:history="1">
              <w:r>
                <w:rPr>
                  <w:rStyle w:val="Hyperlink"/>
                </w:rPr>
                <w:t>Go</w:t>
              </w:r>
            </w:hyperlink>
          </w:p>
        </w:tc>
        <w:tc>
          <w:tcPr>
            <w:tcW w:w="5669" w:type="dxa"/>
          </w:tcPr>
          <w:p w14:paraId="4B2D1C7F" w14:textId="77777777" w:rsidR="00EE372A" w:rsidRDefault="00EE372A">
            <w:pPr>
              <w:spacing w:line="240" w:lineRule="auto"/>
              <w:jc w:val="left"/>
              <w:rPr>
                <w:sz w:val="24"/>
                <w:rtl/>
              </w:rPr>
            </w:pPr>
            <w:r>
              <w:rPr>
                <w:sz w:val="24"/>
                <w:rtl/>
              </w:rPr>
              <w:t>הזמנת צדדים ועדים</w:t>
            </w:r>
          </w:p>
        </w:tc>
        <w:tc>
          <w:tcPr>
            <w:tcW w:w="1247" w:type="dxa"/>
          </w:tcPr>
          <w:p w14:paraId="1CAB037D" w14:textId="77777777" w:rsidR="00EE372A" w:rsidRDefault="00EE372A">
            <w:pPr>
              <w:spacing w:line="240" w:lineRule="auto"/>
              <w:jc w:val="left"/>
              <w:rPr>
                <w:sz w:val="24"/>
              </w:rPr>
            </w:pPr>
            <w:r>
              <w:rPr>
                <w:sz w:val="24"/>
                <w:rtl/>
              </w:rPr>
              <w:t xml:space="preserve">סעיף 4 </w:t>
            </w:r>
          </w:p>
        </w:tc>
      </w:tr>
      <w:tr w:rsidR="00EE372A" w14:paraId="1F6E4FE9" w14:textId="77777777">
        <w:tblPrEx>
          <w:tblCellMar>
            <w:top w:w="0" w:type="dxa"/>
            <w:bottom w:w="0" w:type="dxa"/>
          </w:tblCellMar>
        </w:tblPrEx>
        <w:trPr>
          <w:jc w:val="right"/>
        </w:trPr>
        <w:tc>
          <w:tcPr>
            <w:tcW w:w="850" w:type="dxa"/>
          </w:tcPr>
          <w:p w14:paraId="22782F79"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77C1F518" w14:textId="77777777" w:rsidR="00EE372A" w:rsidRDefault="00EE372A">
            <w:pPr>
              <w:spacing w:line="240" w:lineRule="auto"/>
              <w:jc w:val="left"/>
              <w:rPr>
                <w:sz w:val="24"/>
              </w:rPr>
            </w:pPr>
            <w:hyperlink w:anchor="Seif5" w:tooltip="המצאת הזמנה ומסירת מסמכים" w:history="1">
              <w:r>
                <w:rPr>
                  <w:rStyle w:val="Hyperlink"/>
                </w:rPr>
                <w:t>Go</w:t>
              </w:r>
            </w:hyperlink>
          </w:p>
        </w:tc>
        <w:tc>
          <w:tcPr>
            <w:tcW w:w="5669" w:type="dxa"/>
          </w:tcPr>
          <w:p w14:paraId="66E48623" w14:textId="77777777" w:rsidR="00EE372A" w:rsidRDefault="00EE372A">
            <w:pPr>
              <w:spacing w:line="240" w:lineRule="auto"/>
              <w:jc w:val="left"/>
              <w:rPr>
                <w:sz w:val="24"/>
                <w:rtl/>
              </w:rPr>
            </w:pPr>
            <w:r>
              <w:rPr>
                <w:sz w:val="24"/>
                <w:rtl/>
              </w:rPr>
              <w:t>המצאת הזמנה ומסירת מסמכים</w:t>
            </w:r>
          </w:p>
        </w:tc>
        <w:tc>
          <w:tcPr>
            <w:tcW w:w="1247" w:type="dxa"/>
          </w:tcPr>
          <w:p w14:paraId="67FAE69F" w14:textId="77777777" w:rsidR="00EE372A" w:rsidRDefault="00EE372A">
            <w:pPr>
              <w:spacing w:line="240" w:lineRule="auto"/>
              <w:jc w:val="left"/>
              <w:rPr>
                <w:sz w:val="24"/>
              </w:rPr>
            </w:pPr>
            <w:r>
              <w:rPr>
                <w:sz w:val="24"/>
                <w:rtl/>
              </w:rPr>
              <w:t xml:space="preserve">סעיף 5 </w:t>
            </w:r>
          </w:p>
        </w:tc>
      </w:tr>
      <w:tr w:rsidR="00EE372A" w14:paraId="2B1B0E39" w14:textId="77777777">
        <w:tblPrEx>
          <w:tblCellMar>
            <w:top w:w="0" w:type="dxa"/>
            <w:bottom w:w="0" w:type="dxa"/>
          </w:tblCellMar>
        </w:tblPrEx>
        <w:trPr>
          <w:jc w:val="right"/>
        </w:trPr>
        <w:tc>
          <w:tcPr>
            <w:tcW w:w="850" w:type="dxa"/>
          </w:tcPr>
          <w:p w14:paraId="65FC5191"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1BD22329" w14:textId="77777777" w:rsidR="00EE372A" w:rsidRDefault="00EE372A">
            <w:pPr>
              <w:spacing w:line="240" w:lineRule="auto"/>
              <w:jc w:val="left"/>
              <w:rPr>
                <w:sz w:val="24"/>
              </w:rPr>
            </w:pPr>
            <w:hyperlink w:anchor="Seif6" w:tooltip="הזמנה להציג מסמך" w:history="1">
              <w:r>
                <w:rPr>
                  <w:rStyle w:val="Hyperlink"/>
                </w:rPr>
                <w:t>Go</w:t>
              </w:r>
            </w:hyperlink>
          </w:p>
        </w:tc>
        <w:tc>
          <w:tcPr>
            <w:tcW w:w="5669" w:type="dxa"/>
          </w:tcPr>
          <w:p w14:paraId="679B9C8E" w14:textId="77777777" w:rsidR="00EE372A" w:rsidRDefault="00EE372A">
            <w:pPr>
              <w:spacing w:line="240" w:lineRule="auto"/>
              <w:jc w:val="left"/>
              <w:rPr>
                <w:sz w:val="24"/>
                <w:rtl/>
              </w:rPr>
            </w:pPr>
            <w:r>
              <w:rPr>
                <w:sz w:val="24"/>
                <w:rtl/>
              </w:rPr>
              <w:t>הזמנה להציג מסמך</w:t>
            </w:r>
          </w:p>
        </w:tc>
        <w:tc>
          <w:tcPr>
            <w:tcW w:w="1247" w:type="dxa"/>
          </w:tcPr>
          <w:p w14:paraId="57D1EA6C" w14:textId="77777777" w:rsidR="00EE372A" w:rsidRDefault="00EE372A">
            <w:pPr>
              <w:spacing w:line="240" w:lineRule="auto"/>
              <w:jc w:val="left"/>
              <w:rPr>
                <w:sz w:val="24"/>
              </w:rPr>
            </w:pPr>
            <w:r>
              <w:rPr>
                <w:sz w:val="24"/>
                <w:rtl/>
              </w:rPr>
              <w:t xml:space="preserve">סעיף 6 </w:t>
            </w:r>
          </w:p>
        </w:tc>
      </w:tr>
      <w:tr w:rsidR="00EE372A" w14:paraId="5C3823AA" w14:textId="77777777">
        <w:tblPrEx>
          <w:tblCellMar>
            <w:top w:w="0" w:type="dxa"/>
            <w:bottom w:w="0" w:type="dxa"/>
          </w:tblCellMar>
        </w:tblPrEx>
        <w:trPr>
          <w:jc w:val="right"/>
        </w:trPr>
        <w:tc>
          <w:tcPr>
            <w:tcW w:w="850" w:type="dxa"/>
          </w:tcPr>
          <w:p w14:paraId="47FD6424"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5EF7A533" w14:textId="77777777" w:rsidR="00EE372A" w:rsidRDefault="00EE372A">
            <w:pPr>
              <w:spacing w:line="240" w:lineRule="auto"/>
              <w:jc w:val="left"/>
              <w:rPr>
                <w:sz w:val="24"/>
              </w:rPr>
            </w:pPr>
            <w:hyperlink w:anchor="Seif7" w:tooltip="זכויותיו וחובותיו של עד" w:history="1">
              <w:r>
                <w:rPr>
                  <w:rStyle w:val="Hyperlink"/>
                </w:rPr>
                <w:t>Go</w:t>
              </w:r>
            </w:hyperlink>
          </w:p>
        </w:tc>
        <w:tc>
          <w:tcPr>
            <w:tcW w:w="5669" w:type="dxa"/>
          </w:tcPr>
          <w:p w14:paraId="5D89737C" w14:textId="77777777" w:rsidR="00EE372A" w:rsidRDefault="00EE372A">
            <w:pPr>
              <w:spacing w:line="240" w:lineRule="auto"/>
              <w:jc w:val="left"/>
              <w:rPr>
                <w:sz w:val="24"/>
                <w:rtl/>
              </w:rPr>
            </w:pPr>
            <w:r>
              <w:rPr>
                <w:sz w:val="24"/>
                <w:rtl/>
              </w:rPr>
              <w:t>זכויותיו וחובותיו של עד</w:t>
            </w:r>
          </w:p>
        </w:tc>
        <w:tc>
          <w:tcPr>
            <w:tcW w:w="1247" w:type="dxa"/>
          </w:tcPr>
          <w:p w14:paraId="7D2053B4" w14:textId="77777777" w:rsidR="00EE372A" w:rsidRDefault="00EE372A">
            <w:pPr>
              <w:spacing w:line="240" w:lineRule="auto"/>
              <w:jc w:val="left"/>
              <w:rPr>
                <w:sz w:val="24"/>
              </w:rPr>
            </w:pPr>
            <w:r>
              <w:rPr>
                <w:sz w:val="24"/>
                <w:rtl/>
              </w:rPr>
              <w:t xml:space="preserve">סעיף 7 </w:t>
            </w:r>
          </w:p>
        </w:tc>
      </w:tr>
      <w:tr w:rsidR="00EE372A" w14:paraId="297F4CAC" w14:textId="77777777">
        <w:tblPrEx>
          <w:tblCellMar>
            <w:top w:w="0" w:type="dxa"/>
            <w:bottom w:w="0" w:type="dxa"/>
          </w:tblCellMar>
        </w:tblPrEx>
        <w:trPr>
          <w:jc w:val="right"/>
        </w:trPr>
        <w:tc>
          <w:tcPr>
            <w:tcW w:w="850" w:type="dxa"/>
          </w:tcPr>
          <w:p w14:paraId="70BD1396"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20A551BD" w14:textId="77777777" w:rsidR="00EE372A" w:rsidRDefault="00EE372A">
            <w:pPr>
              <w:spacing w:line="240" w:lineRule="auto"/>
              <w:jc w:val="left"/>
              <w:rPr>
                <w:sz w:val="24"/>
              </w:rPr>
            </w:pPr>
            <w:hyperlink w:anchor="Seif8" w:tooltip="ביטול ההזמנה" w:history="1">
              <w:r>
                <w:rPr>
                  <w:rStyle w:val="Hyperlink"/>
                </w:rPr>
                <w:t>Go</w:t>
              </w:r>
            </w:hyperlink>
          </w:p>
        </w:tc>
        <w:tc>
          <w:tcPr>
            <w:tcW w:w="5669" w:type="dxa"/>
          </w:tcPr>
          <w:p w14:paraId="013D7709" w14:textId="77777777" w:rsidR="00EE372A" w:rsidRDefault="00EE372A">
            <w:pPr>
              <w:spacing w:line="240" w:lineRule="auto"/>
              <w:jc w:val="left"/>
              <w:rPr>
                <w:sz w:val="24"/>
                <w:rtl/>
              </w:rPr>
            </w:pPr>
            <w:r>
              <w:rPr>
                <w:sz w:val="24"/>
                <w:rtl/>
              </w:rPr>
              <w:t>ביטול ההזמנה</w:t>
            </w:r>
          </w:p>
        </w:tc>
        <w:tc>
          <w:tcPr>
            <w:tcW w:w="1247" w:type="dxa"/>
          </w:tcPr>
          <w:p w14:paraId="2E0C50AA" w14:textId="77777777" w:rsidR="00EE372A" w:rsidRDefault="00EE372A">
            <w:pPr>
              <w:spacing w:line="240" w:lineRule="auto"/>
              <w:jc w:val="left"/>
              <w:rPr>
                <w:sz w:val="24"/>
              </w:rPr>
            </w:pPr>
            <w:r>
              <w:rPr>
                <w:sz w:val="24"/>
                <w:rtl/>
              </w:rPr>
              <w:t xml:space="preserve">סעיף 8 </w:t>
            </w:r>
          </w:p>
        </w:tc>
      </w:tr>
      <w:tr w:rsidR="00EE372A" w14:paraId="4FA41F5B" w14:textId="77777777">
        <w:tblPrEx>
          <w:tblCellMar>
            <w:top w:w="0" w:type="dxa"/>
            <w:bottom w:w="0" w:type="dxa"/>
          </w:tblCellMar>
        </w:tblPrEx>
        <w:trPr>
          <w:jc w:val="right"/>
        </w:trPr>
        <w:tc>
          <w:tcPr>
            <w:tcW w:w="850" w:type="dxa"/>
          </w:tcPr>
          <w:p w14:paraId="13AD2955"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75175E9B" w14:textId="77777777" w:rsidR="00EE372A" w:rsidRDefault="00EE372A">
            <w:pPr>
              <w:spacing w:line="240" w:lineRule="auto"/>
              <w:jc w:val="left"/>
              <w:rPr>
                <w:sz w:val="24"/>
              </w:rPr>
            </w:pPr>
            <w:hyperlink w:anchor="Seif9" w:tooltip="דרכי גביית עדות" w:history="1">
              <w:r>
                <w:rPr>
                  <w:rStyle w:val="Hyperlink"/>
                </w:rPr>
                <w:t>Go</w:t>
              </w:r>
            </w:hyperlink>
          </w:p>
        </w:tc>
        <w:tc>
          <w:tcPr>
            <w:tcW w:w="5669" w:type="dxa"/>
          </w:tcPr>
          <w:p w14:paraId="1C9555C3" w14:textId="77777777" w:rsidR="00EE372A" w:rsidRDefault="00EE372A">
            <w:pPr>
              <w:spacing w:line="240" w:lineRule="auto"/>
              <w:jc w:val="left"/>
              <w:rPr>
                <w:sz w:val="24"/>
                <w:rtl/>
              </w:rPr>
            </w:pPr>
            <w:r>
              <w:rPr>
                <w:sz w:val="24"/>
                <w:rtl/>
              </w:rPr>
              <w:t>דרכי גביית עדות</w:t>
            </w:r>
          </w:p>
        </w:tc>
        <w:tc>
          <w:tcPr>
            <w:tcW w:w="1247" w:type="dxa"/>
          </w:tcPr>
          <w:p w14:paraId="2807D5DC" w14:textId="77777777" w:rsidR="00EE372A" w:rsidRDefault="00EE372A">
            <w:pPr>
              <w:spacing w:line="240" w:lineRule="auto"/>
              <w:jc w:val="left"/>
              <w:rPr>
                <w:sz w:val="24"/>
              </w:rPr>
            </w:pPr>
            <w:r>
              <w:rPr>
                <w:sz w:val="24"/>
                <w:rtl/>
              </w:rPr>
              <w:t xml:space="preserve">סעיף 9 </w:t>
            </w:r>
          </w:p>
        </w:tc>
      </w:tr>
      <w:tr w:rsidR="00EE372A" w14:paraId="71BA76C3" w14:textId="77777777">
        <w:tblPrEx>
          <w:tblCellMar>
            <w:top w:w="0" w:type="dxa"/>
            <w:bottom w:w="0" w:type="dxa"/>
          </w:tblCellMar>
        </w:tblPrEx>
        <w:trPr>
          <w:jc w:val="right"/>
        </w:trPr>
        <w:tc>
          <w:tcPr>
            <w:tcW w:w="850" w:type="dxa"/>
          </w:tcPr>
          <w:p w14:paraId="6653B601"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347A3D4C" w14:textId="77777777" w:rsidR="00EE372A" w:rsidRDefault="00EE372A">
            <w:pPr>
              <w:spacing w:line="240" w:lineRule="auto"/>
              <w:jc w:val="left"/>
              <w:rPr>
                <w:sz w:val="24"/>
              </w:rPr>
            </w:pPr>
            <w:hyperlink w:anchor="Seif10" w:tooltip="דיון בהעדר צד" w:history="1">
              <w:r>
                <w:rPr>
                  <w:rStyle w:val="Hyperlink"/>
                </w:rPr>
                <w:t>Go</w:t>
              </w:r>
            </w:hyperlink>
          </w:p>
        </w:tc>
        <w:tc>
          <w:tcPr>
            <w:tcW w:w="5669" w:type="dxa"/>
          </w:tcPr>
          <w:p w14:paraId="508E6CE4" w14:textId="77777777" w:rsidR="00EE372A" w:rsidRDefault="00EE372A">
            <w:pPr>
              <w:spacing w:line="240" w:lineRule="auto"/>
              <w:jc w:val="left"/>
              <w:rPr>
                <w:sz w:val="24"/>
                <w:rtl/>
              </w:rPr>
            </w:pPr>
            <w:r>
              <w:rPr>
                <w:sz w:val="24"/>
                <w:rtl/>
              </w:rPr>
              <w:t>דיון בהעדר צד</w:t>
            </w:r>
          </w:p>
        </w:tc>
        <w:tc>
          <w:tcPr>
            <w:tcW w:w="1247" w:type="dxa"/>
          </w:tcPr>
          <w:p w14:paraId="02F45055" w14:textId="77777777" w:rsidR="00EE372A" w:rsidRDefault="00EE372A">
            <w:pPr>
              <w:spacing w:line="240" w:lineRule="auto"/>
              <w:jc w:val="left"/>
              <w:rPr>
                <w:sz w:val="24"/>
              </w:rPr>
            </w:pPr>
            <w:r>
              <w:rPr>
                <w:sz w:val="24"/>
                <w:rtl/>
              </w:rPr>
              <w:t xml:space="preserve">סעיף 10 </w:t>
            </w:r>
          </w:p>
        </w:tc>
      </w:tr>
      <w:tr w:rsidR="00EE372A" w14:paraId="3AD0A7AE" w14:textId="77777777">
        <w:tblPrEx>
          <w:tblCellMar>
            <w:top w:w="0" w:type="dxa"/>
            <w:bottom w:w="0" w:type="dxa"/>
          </w:tblCellMar>
        </w:tblPrEx>
        <w:trPr>
          <w:jc w:val="right"/>
        </w:trPr>
        <w:tc>
          <w:tcPr>
            <w:tcW w:w="850" w:type="dxa"/>
          </w:tcPr>
          <w:p w14:paraId="196B054A"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39B6A866" w14:textId="77777777" w:rsidR="00EE372A" w:rsidRDefault="00EE372A">
            <w:pPr>
              <w:spacing w:line="240" w:lineRule="auto"/>
              <w:jc w:val="left"/>
              <w:rPr>
                <w:sz w:val="24"/>
              </w:rPr>
            </w:pPr>
            <w:hyperlink w:anchor="Seif11" w:tooltip="חוות דעת של מומחה" w:history="1">
              <w:r>
                <w:rPr>
                  <w:rStyle w:val="Hyperlink"/>
                </w:rPr>
                <w:t>Go</w:t>
              </w:r>
            </w:hyperlink>
          </w:p>
        </w:tc>
        <w:tc>
          <w:tcPr>
            <w:tcW w:w="5669" w:type="dxa"/>
          </w:tcPr>
          <w:p w14:paraId="2F671398" w14:textId="77777777" w:rsidR="00EE372A" w:rsidRDefault="00EE372A">
            <w:pPr>
              <w:spacing w:line="240" w:lineRule="auto"/>
              <w:jc w:val="left"/>
              <w:rPr>
                <w:sz w:val="24"/>
                <w:rtl/>
              </w:rPr>
            </w:pPr>
            <w:r>
              <w:rPr>
                <w:sz w:val="24"/>
                <w:rtl/>
              </w:rPr>
              <w:t>חוות דעת של מומחה</w:t>
            </w:r>
          </w:p>
        </w:tc>
        <w:tc>
          <w:tcPr>
            <w:tcW w:w="1247" w:type="dxa"/>
          </w:tcPr>
          <w:p w14:paraId="20676D16" w14:textId="77777777" w:rsidR="00EE372A" w:rsidRDefault="00EE372A">
            <w:pPr>
              <w:spacing w:line="240" w:lineRule="auto"/>
              <w:jc w:val="left"/>
              <w:rPr>
                <w:sz w:val="24"/>
              </w:rPr>
            </w:pPr>
            <w:r>
              <w:rPr>
                <w:sz w:val="24"/>
                <w:rtl/>
              </w:rPr>
              <w:t xml:space="preserve">סעיף 11 </w:t>
            </w:r>
          </w:p>
        </w:tc>
      </w:tr>
      <w:tr w:rsidR="00EE372A" w14:paraId="03184A1C" w14:textId="77777777">
        <w:tblPrEx>
          <w:tblCellMar>
            <w:top w:w="0" w:type="dxa"/>
            <w:bottom w:w="0" w:type="dxa"/>
          </w:tblCellMar>
        </w:tblPrEx>
        <w:trPr>
          <w:jc w:val="right"/>
        </w:trPr>
        <w:tc>
          <w:tcPr>
            <w:tcW w:w="850" w:type="dxa"/>
          </w:tcPr>
          <w:p w14:paraId="71BD8B02"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0F8AD2E7" w14:textId="77777777" w:rsidR="00EE372A" w:rsidRDefault="00EE372A">
            <w:pPr>
              <w:spacing w:line="240" w:lineRule="auto"/>
              <w:jc w:val="left"/>
              <w:rPr>
                <w:sz w:val="24"/>
              </w:rPr>
            </w:pPr>
            <w:hyperlink w:anchor="Seif12" w:tooltip="אחריות הבורר" w:history="1">
              <w:r>
                <w:rPr>
                  <w:rStyle w:val="Hyperlink"/>
                </w:rPr>
                <w:t>Go</w:t>
              </w:r>
            </w:hyperlink>
          </w:p>
        </w:tc>
        <w:tc>
          <w:tcPr>
            <w:tcW w:w="5669" w:type="dxa"/>
          </w:tcPr>
          <w:p w14:paraId="5BC98F1B" w14:textId="77777777" w:rsidR="00EE372A" w:rsidRDefault="00EE372A">
            <w:pPr>
              <w:spacing w:line="240" w:lineRule="auto"/>
              <w:jc w:val="left"/>
              <w:rPr>
                <w:sz w:val="24"/>
                <w:rtl/>
              </w:rPr>
            </w:pPr>
            <w:r>
              <w:rPr>
                <w:sz w:val="24"/>
                <w:rtl/>
              </w:rPr>
              <w:t>אחריות הבורר</w:t>
            </w:r>
          </w:p>
        </w:tc>
        <w:tc>
          <w:tcPr>
            <w:tcW w:w="1247" w:type="dxa"/>
          </w:tcPr>
          <w:p w14:paraId="5E83D892" w14:textId="77777777" w:rsidR="00EE372A" w:rsidRDefault="00EE372A">
            <w:pPr>
              <w:spacing w:line="240" w:lineRule="auto"/>
              <w:jc w:val="left"/>
              <w:rPr>
                <w:sz w:val="24"/>
              </w:rPr>
            </w:pPr>
            <w:r>
              <w:rPr>
                <w:sz w:val="24"/>
                <w:rtl/>
              </w:rPr>
              <w:t xml:space="preserve">סעיף 12 </w:t>
            </w:r>
          </w:p>
        </w:tc>
      </w:tr>
      <w:tr w:rsidR="00EE372A" w14:paraId="20544CBD" w14:textId="77777777">
        <w:tblPrEx>
          <w:tblCellMar>
            <w:top w:w="0" w:type="dxa"/>
            <w:bottom w:w="0" w:type="dxa"/>
          </w:tblCellMar>
        </w:tblPrEx>
        <w:trPr>
          <w:jc w:val="right"/>
        </w:trPr>
        <w:tc>
          <w:tcPr>
            <w:tcW w:w="850" w:type="dxa"/>
          </w:tcPr>
          <w:p w14:paraId="55DFCB51"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0587D6A5" w14:textId="77777777" w:rsidR="00EE372A" w:rsidRDefault="00EE372A">
            <w:pPr>
              <w:spacing w:line="240" w:lineRule="auto"/>
              <w:jc w:val="left"/>
              <w:rPr>
                <w:sz w:val="24"/>
              </w:rPr>
            </w:pPr>
            <w:hyperlink w:anchor="Seif13" w:tooltip="סמכויות הבורר" w:history="1">
              <w:r>
                <w:rPr>
                  <w:rStyle w:val="Hyperlink"/>
                </w:rPr>
                <w:t>Go</w:t>
              </w:r>
            </w:hyperlink>
          </w:p>
        </w:tc>
        <w:tc>
          <w:tcPr>
            <w:tcW w:w="5669" w:type="dxa"/>
          </w:tcPr>
          <w:p w14:paraId="474237DB" w14:textId="77777777" w:rsidR="00EE372A" w:rsidRDefault="00EE372A">
            <w:pPr>
              <w:spacing w:line="240" w:lineRule="auto"/>
              <w:jc w:val="left"/>
              <w:rPr>
                <w:sz w:val="24"/>
                <w:rtl/>
              </w:rPr>
            </w:pPr>
            <w:r>
              <w:rPr>
                <w:sz w:val="24"/>
                <w:rtl/>
              </w:rPr>
              <w:t>סמכויות הבורר</w:t>
            </w:r>
          </w:p>
        </w:tc>
        <w:tc>
          <w:tcPr>
            <w:tcW w:w="1247" w:type="dxa"/>
          </w:tcPr>
          <w:p w14:paraId="5265A413" w14:textId="77777777" w:rsidR="00EE372A" w:rsidRDefault="00EE372A">
            <w:pPr>
              <w:spacing w:line="240" w:lineRule="auto"/>
              <w:jc w:val="left"/>
              <w:rPr>
                <w:sz w:val="24"/>
              </w:rPr>
            </w:pPr>
            <w:r>
              <w:rPr>
                <w:sz w:val="24"/>
                <w:rtl/>
              </w:rPr>
              <w:t xml:space="preserve">סעיף 13 </w:t>
            </w:r>
          </w:p>
        </w:tc>
      </w:tr>
      <w:tr w:rsidR="00EE372A" w14:paraId="226DE36C" w14:textId="77777777">
        <w:tblPrEx>
          <w:tblCellMar>
            <w:top w:w="0" w:type="dxa"/>
            <w:bottom w:w="0" w:type="dxa"/>
          </w:tblCellMar>
        </w:tblPrEx>
        <w:trPr>
          <w:jc w:val="right"/>
        </w:trPr>
        <w:tc>
          <w:tcPr>
            <w:tcW w:w="850" w:type="dxa"/>
          </w:tcPr>
          <w:p w14:paraId="5D10AE59"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63FD754E" w14:textId="77777777" w:rsidR="00EE372A" w:rsidRDefault="00EE372A">
            <w:pPr>
              <w:spacing w:line="240" w:lineRule="auto"/>
              <w:jc w:val="left"/>
              <w:rPr>
                <w:sz w:val="24"/>
              </w:rPr>
            </w:pPr>
            <w:hyperlink w:anchor="Seif14" w:tooltip="שכר הבורר" w:history="1">
              <w:r>
                <w:rPr>
                  <w:rStyle w:val="Hyperlink"/>
                </w:rPr>
                <w:t>Go</w:t>
              </w:r>
            </w:hyperlink>
          </w:p>
        </w:tc>
        <w:tc>
          <w:tcPr>
            <w:tcW w:w="5669" w:type="dxa"/>
          </w:tcPr>
          <w:p w14:paraId="0D8A1D89" w14:textId="77777777" w:rsidR="00EE372A" w:rsidRDefault="00EE372A">
            <w:pPr>
              <w:spacing w:line="240" w:lineRule="auto"/>
              <w:jc w:val="left"/>
              <w:rPr>
                <w:sz w:val="24"/>
                <w:rtl/>
              </w:rPr>
            </w:pPr>
            <w:r>
              <w:rPr>
                <w:sz w:val="24"/>
                <w:rtl/>
              </w:rPr>
              <w:t>שכר הבורר</w:t>
            </w:r>
          </w:p>
        </w:tc>
        <w:tc>
          <w:tcPr>
            <w:tcW w:w="1247" w:type="dxa"/>
          </w:tcPr>
          <w:p w14:paraId="069BCF57" w14:textId="77777777" w:rsidR="00EE372A" w:rsidRDefault="00EE372A">
            <w:pPr>
              <w:spacing w:line="240" w:lineRule="auto"/>
              <w:jc w:val="left"/>
              <w:rPr>
                <w:sz w:val="24"/>
              </w:rPr>
            </w:pPr>
            <w:r>
              <w:rPr>
                <w:sz w:val="24"/>
                <w:rtl/>
              </w:rPr>
              <w:t xml:space="preserve">סעיף 14 </w:t>
            </w:r>
          </w:p>
        </w:tc>
      </w:tr>
      <w:tr w:rsidR="00EE372A" w14:paraId="31367942" w14:textId="77777777">
        <w:tblPrEx>
          <w:tblCellMar>
            <w:top w:w="0" w:type="dxa"/>
            <w:bottom w:w="0" w:type="dxa"/>
          </w:tblCellMar>
        </w:tblPrEx>
        <w:trPr>
          <w:jc w:val="right"/>
        </w:trPr>
        <w:tc>
          <w:tcPr>
            <w:tcW w:w="850" w:type="dxa"/>
          </w:tcPr>
          <w:p w14:paraId="6CBA5D28"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4494A6D7" w14:textId="77777777" w:rsidR="00EE372A" w:rsidRDefault="00EE372A">
            <w:pPr>
              <w:spacing w:line="240" w:lineRule="auto"/>
              <w:jc w:val="left"/>
              <w:rPr>
                <w:sz w:val="24"/>
              </w:rPr>
            </w:pPr>
            <w:hyperlink w:anchor="Seif15" w:tooltip="הפחתת שכר והוצאות" w:history="1">
              <w:r>
                <w:rPr>
                  <w:rStyle w:val="Hyperlink"/>
                </w:rPr>
                <w:t>Go</w:t>
              </w:r>
            </w:hyperlink>
          </w:p>
        </w:tc>
        <w:tc>
          <w:tcPr>
            <w:tcW w:w="5669" w:type="dxa"/>
          </w:tcPr>
          <w:p w14:paraId="15D161BF" w14:textId="77777777" w:rsidR="00EE372A" w:rsidRDefault="00EE372A">
            <w:pPr>
              <w:spacing w:line="240" w:lineRule="auto"/>
              <w:jc w:val="left"/>
              <w:rPr>
                <w:sz w:val="24"/>
                <w:rtl/>
              </w:rPr>
            </w:pPr>
            <w:r>
              <w:rPr>
                <w:sz w:val="24"/>
                <w:rtl/>
              </w:rPr>
              <w:t>הפחתת שכר והוצאות</w:t>
            </w:r>
          </w:p>
        </w:tc>
        <w:tc>
          <w:tcPr>
            <w:tcW w:w="1247" w:type="dxa"/>
          </w:tcPr>
          <w:p w14:paraId="1C9F957C" w14:textId="77777777" w:rsidR="00EE372A" w:rsidRDefault="00EE372A">
            <w:pPr>
              <w:spacing w:line="240" w:lineRule="auto"/>
              <w:jc w:val="left"/>
              <w:rPr>
                <w:sz w:val="24"/>
              </w:rPr>
            </w:pPr>
            <w:r>
              <w:rPr>
                <w:sz w:val="24"/>
                <w:rtl/>
              </w:rPr>
              <w:t xml:space="preserve">סעיף 15 </w:t>
            </w:r>
          </w:p>
        </w:tc>
      </w:tr>
      <w:tr w:rsidR="00EE372A" w14:paraId="0536B028" w14:textId="77777777">
        <w:tblPrEx>
          <w:tblCellMar>
            <w:top w:w="0" w:type="dxa"/>
            <w:bottom w:w="0" w:type="dxa"/>
          </w:tblCellMar>
        </w:tblPrEx>
        <w:trPr>
          <w:jc w:val="right"/>
        </w:trPr>
        <w:tc>
          <w:tcPr>
            <w:tcW w:w="850" w:type="dxa"/>
          </w:tcPr>
          <w:p w14:paraId="11D6B032"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7432321F" w14:textId="77777777" w:rsidR="00EE372A" w:rsidRDefault="00EE372A">
            <w:pPr>
              <w:spacing w:line="240" w:lineRule="auto"/>
              <w:jc w:val="left"/>
              <w:rPr>
                <w:sz w:val="24"/>
              </w:rPr>
            </w:pPr>
            <w:hyperlink w:anchor="Seif16" w:tooltip="זכות עיכוב" w:history="1">
              <w:r>
                <w:rPr>
                  <w:rStyle w:val="Hyperlink"/>
                </w:rPr>
                <w:t>Go</w:t>
              </w:r>
            </w:hyperlink>
          </w:p>
        </w:tc>
        <w:tc>
          <w:tcPr>
            <w:tcW w:w="5669" w:type="dxa"/>
          </w:tcPr>
          <w:p w14:paraId="44B9C5CC" w14:textId="77777777" w:rsidR="00EE372A" w:rsidRDefault="00EE372A">
            <w:pPr>
              <w:spacing w:line="240" w:lineRule="auto"/>
              <w:jc w:val="left"/>
              <w:rPr>
                <w:sz w:val="24"/>
                <w:rtl/>
              </w:rPr>
            </w:pPr>
            <w:r>
              <w:rPr>
                <w:sz w:val="24"/>
                <w:rtl/>
              </w:rPr>
              <w:t>זכות עיכוב</w:t>
            </w:r>
          </w:p>
        </w:tc>
        <w:tc>
          <w:tcPr>
            <w:tcW w:w="1247" w:type="dxa"/>
          </w:tcPr>
          <w:p w14:paraId="25E60ABD" w14:textId="77777777" w:rsidR="00EE372A" w:rsidRDefault="00EE372A">
            <w:pPr>
              <w:spacing w:line="240" w:lineRule="auto"/>
              <w:jc w:val="left"/>
              <w:rPr>
                <w:sz w:val="24"/>
              </w:rPr>
            </w:pPr>
            <w:r>
              <w:rPr>
                <w:sz w:val="24"/>
                <w:rtl/>
              </w:rPr>
              <w:t xml:space="preserve">סעיף 16 </w:t>
            </w:r>
          </w:p>
        </w:tc>
      </w:tr>
      <w:tr w:rsidR="00EE372A" w14:paraId="41F753DC" w14:textId="77777777">
        <w:tblPrEx>
          <w:tblCellMar>
            <w:top w:w="0" w:type="dxa"/>
            <w:bottom w:w="0" w:type="dxa"/>
          </w:tblCellMar>
        </w:tblPrEx>
        <w:trPr>
          <w:jc w:val="right"/>
        </w:trPr>
        <w:tc>
          <w:tcPr>
            <w:tcW w:w="850" w:type="dxa"/>
          </w:tcPr>
          <w:p w14:paraId="1E10AA8D"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006BA9A9" w14:textId="77777777" w:rsidR="00EE372A" w:rsidRDefault="00EE372A">
            <w:pPr>
              <w:spacing w:line="240" w:lineRule="auto"/>
              <w:jc w:val="left"/>
              <w:rPr>
                <w:sz w:val="24"/>
              </w:rPr>
            </w:pPr>
            <w:hyperlink w:anchor="Seif17" w:tooltip="שכרו של בורר שהועבר מתפקידו" w:history="1">
              <w:r>
                <w:rPr>
                  <w:rStyle w:val="Hyperlink"/>
                </w:rPr>
                <w:t>Go</w:t>
              </w:r>
            </w:hyperlink>
          </w:p>
        </w:tc>
        <w:tc>
          <w:tcPr>
            <w:tcW w:w="5669" w:type="dxa"/>
          </w:tcPr>
          <w:p w14:paraId="3D5861FB" w14:textId="77777777" w:rsidR="00EE372A" w:rsidRDefault="00EE372A">
            <w:pPr>
              <w:spacing w:line="240" w:lineRule="auto"/>
              <w:jc w:val="left"/>
              <w:rPr>
                <w:sz w:val="24"/>
                <w:rtl/>
              </w:rPr>
            </w:pPr>
            <w:r>
              <w:rPr>
                <w:sz w:val="24"/>
                <w:rtl/>
              </w:rPr>
              <w:t>שכרו של בורר שהועבר מתפקידו</w:t>
            </w:r>
          </w:p>
        </w:tc>
        <w:tc>
          <w:tcPr>
            <w:tcW w:w="1247" w:type="dxa"/>
          </w:tcPr>
          <w:p w14:paraId="02B3ACC3" w14:textId="77777777" w:rsidR="00EE372A" w:rsidRDefault="00EE372A">
            <w:pPr>
              <w:spacing w:line="240" w:lineRule="auto"/>
              <w:jc w:val="left"/>
              <w:rPr>
                <w:sz w:val="24"/>
              </w:rPr>
            </w:pPr>
            <w:r>
              <w:rPr>
                <w:sz w:val="24"/>
                <w:rtl/>
              </w:rPr>
              <w:t xml:space="preserve">סעיף 17 </w:t>
            </w:r>
          </w:p>
        </w:tc>
      </w:tr>
      <w:tr w:rsidR="00EE372A" w14:paraId="5787D8C8" w14:textId="77777777">
        <w:tblPrEx>
          <w:tblCellMar>
            <w:top w:w="0" w:type="dxa"/>
            <w:bottom w:w="0" w:type="dxa"/>
          </w:tblCellMar>
        </w:tblPrEx>
        <w:trPr>
          <w:jc w:val="right"/>
        </w:trPr>
        <w:tc>
          <w:tcPr>
            <w:tcW w:w="850" w:type="dxa"/>
          </w:tcPr>
          <w:p w14:paraId="48590068"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19716C53" w14:textId="77777777" w:rsidR="00EE372A" w:rsidRDefault="00EE372A">
            <w:pPr>
              <w:spacing w:line="240" w:lineRule="auto"/>
              <w:jc w:val="left"/>
              <w:rPr>
                <w:sz w:val="24"/>
              </w:rPr>
            </w:pPr>
            <w:hyperlink w:anchor="Seif18" w:tooltip="סיום הדיון ומתן פסק בבוררות" w:history="1">
              <w:r>
                <w:rPr>
                  <w:rStyle w:val="Hyperlink"/>
                </w:rPr>
                <w:t>Go</w:t>
              </w:r>
            </w:hyperlink>
          </w:p>
        </w:tc>
        <w:tc>
          <w:tcPr>
            <w:tcW w:w="5669" w:type="dxa"/>
          </w:tcPr>
          <w:p w14:paraId="2F557E20" w14:textId="77777777" w:rsidR="00EE372A" w:rsidRDefault="00EE372A">
            <w:pPr>
              <w:spacing w:line="240" w:lineRule="auto"/>
              <w:jc w:val="left"/>
              <w:rPr>
                <w:sz w:val="24"/>
                <w:rtl/>
              </w:rPr>
            </w:pPr>
            <w:r>
              <w:rPr>
                <w:sz w:val="24"/>
                <w:rtl/>
              </w:rPr>
              <w:t>סיום הדיון ומתן פסק בבוררות</w:t>
            </w:r>
          </w:p>
        </w:tc>
        <w:tc>
          <w:tcPr>
            <w:tcW w:w="1247" w:type="dxa"/>
          </w:tcPr>
          <w:p w14:paraId="7DD46085" w14:textId="77777777" w:rsidR="00EE372A" w:rsidRDefault="00EE372A">
            <w:pPr>
              <w:spacing w:line="240" w:lineRule="auto"/>
              <w:jc w:val="left"/>
              <w:rPr>
                <w:sz w:val="24"/>
              </w:rPr>
            </w:pPr>
            <w:r>
              <w:rPr>
                <w:sz w:val="24"/>
                <w:rtl/>
              </w:rPr>
              <w:t xml:space="preserve">סעיף 18 </w:t>
            </w:r>
          </w:p>
        </w:tc>
      </w:tr>
      <w:tr w:rsidR="00EE372A" w14:paraId="03DFA052" w14:textId="77777777">
        <w:tblPrEx>
          <w:tblCellMar>
            <w:top w:w="0" w:type="dxa"/>
            <w:bottom w:w="0" w:type="dxa"/>
          </w:tblCellMar>
        </w:tblPrEx>
        <w:trPr>
          <w:jc w:val="right"/>
        </w:trPr>
        <w:tc>
          <w:tcPr>
            <w:tcW w:w="850" w:type="dxa"/>
          </w:tcPr>
          <w:p w14:paraId="11946446"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04D78F53" w14:textId="77777777" w:rsidR="00EE372A" w:rsidRDefault="00EE372A">
            <w:pPr>
              <w:spacing w:line="240" w:lineRule="auto"/>
              <w:jc w:val="left"/>
              <w:rPr>
                <w:sz w:val="24"/>
              </w:rPr>
            </w:pPr>
            <w:hyperlink w:anchor="Seif19" w:tooltip="פסק הבוררות" w:history="1">
              <w:r>
                <w:rPr>
                  <w:rStyle w:val="Hyperlink"/>
                </w:rPr>
                <w:t>Go</w:t>
              </w:r>
            </w:hyperlink>
          </w:p>
        </w:tc>
        <w:tc>
          <w:tcPr>
            <w:tcW w:w="5669" w:type="dxa"/>
          </w:tcPr>
          <w:p w14:paraId="5CA217FA" w14:textId="77777777" w:rsidR="00EE372A" w:rsidRDefault="00EE372A">
            <w:pPr>
              <w:spacing w:line="240" w:lineRule="auto"/>
              <w:jc w:val="left"/>
              <w:rPr>
                <w:sz w:val="24"/>
                <w:rtl/>
              </w:rPr>
            </w:pPr>
            <w:r>
              <w:rPr>
                <w:sz w:val="24"/>
                <w:rtl/>
              </w:rPr>
              <w:t>פסק הבוררות</w:t>
            </w:r>
          </w:p>
        </w:tc>
        <w:tc>
          <w:tcPr>
            <w:tcW w:w="1247" w:type="dxa"/>
          </w:tcPr>
          <w:p w14:paraId="517EADD5" w14:textId="77777777" w:rsidR="00EE372A" w:rsidRDefault="00EE372A">
            <w:pPr>
              <w:spacing w:line="240" w:lineRule="auto"/>
              <w:jc w:val="left"/>
              <w:rPr>
                <w:sz w:val="24"/>
              </w:rPr>
            </w:pPr>
            <w:r>
              <w:rPr>
                <w:sz w:val="24"/>
                <w:rtl/>
              </w:rPr>
              <w:t xml:space="preserve">סעיף 19 </w:t>
            </w:r>
          </w:p>
        </w:tc>
      </w:tr>
      <w:tr w:rsidR="00EE372A" w14:paraId="58D1E03B" w14:textId="77777777">
        <w:tblPrEx>
          <w:tblCellMar>
            <w:top w:w="0" w:type="dxa"/>
            <w:bottom w:w="0" w:type="dxa"/>
          </w:tblCellMar>
        </w:tblPrEx>
        <w:trPr>
          <w:jc w:val="right"/>
        </w:trPr>
        <w:tc>
          <w:tcPr>
            <w:tcW w:w="850" w:type="dxa"/>
          </w:tcPr>
          <w:p w14:paraId="35161865"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2BB2B3C8" w14:textId="77777777" w:rsidR="00EE372A" w:rsidRDefault="00EE372A">
            <w:pPr>
              <w:spacing w:line="240" w:lineRule="auto"/>
              <w:jc w:val="left"/>
              <w:rPr>
                <w:sz w:val="24"/>
              </w:rPr>
            </w:pPr>
            <w:hyperlink w:anchor="Seif20" w:tooltip="זכות עיון בתיק הבוררות" w:history="1">
              <w:r>
                <w:rPr>
                  <w:rStyle w:val="Hyperlink"/>
                </w:rPr>
                <w:t>Go</w:t>
              </w:r>
            </w:hyperlink>
          </w:p>
        </w:tc>
        <w:tc>
          <w:tcPr>
            <w:tcW w:w="5669" w:type="dxa"/>
          </w:tcPr>
          <w:p w14:paraId="01A7D860" w14:textId="77777777" w:rsidR="00EE372A" w:rsidRDefault="00EE372A">
            <w:pPr>
              <w:spacing w:line="240" w:lineRule="auto"/>
              <w:jc w:val="left"/>
              <w:rPr>
                <w:sz w:val="24"/>
                <w:rtl/>
              </w:rPr>
            </w:pPr>
            <w:r>
              <w:rPr>
                <w:sz w:val="24"/>
                <w:rtl/>
              </w:rPr>
              <w:t>זכות עיון בתיק הבוררות</w:t>
            </w:r>
          </w:p>
        </w:tc>
        <w:tc>
          <w:tcPr>
            <w:tcW w:w="1247" w:type="dxa"/>
          </w:tcPr>
          <w:p w14:paraId="1F2490C0" w14:textId="77777777" w:rsidR="00EE372A" w:rsidRDefault="00EE372A">
            <w:pPr>
              <w:spacing w:line="240" w:lineRule="auto"/>
              <w:jc w:val="left"/>
              <w:rPr>
                <w:sz w:val="24"/>
              </w:rPr>
            </w:pPr>
            <w:r>
              <w:rPr>
                <w:sz w:val="24"/>
                <w:rtl/>
              </w:rPr>
              <w:t xml:space="preserve">סעיף 20 </w:t>
            </w:r>
          </w:p>
        </w:tc>
      </w:tr>
      <w:tr w:rsidR="00EE372A" w14:paraId="34823F17" w14:textId="77777777">
        <w:tblPrEx>
          <w:tblCellMar>
            <w:top w:w="0" w:type="dxa"/>
            <w:bottom w:w="0" w:type="dxa"/>
          </w:tblCellMar>
        </w:tblPrEx>
        <w:trPr>
          <w:jc w:val="right"/>
        </w:trPr>
        <w:tc>
          <w:tcPr>
            <w:tcW w:w="850" w:type="dxa"/>
          </w:tcPr>
          <w:p w14:paraId="06940B8B"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788B9607" w14:textId="77777777" w:rsidR="00EE372A" w:rsidRDefault="00EE372A">
            <w:pPr>
              <w:spacing w:line="240" w:lineRule="auto"/>
              <w:jc w:val="left"/>
              <w:rPr>
                <w:sz w:val="24"/>
              </w:rPr>
            </w:pPr>
            <w:hyperlink w:anchor="Seif21" w:tooltip="שמירת תיק הבוררות" w:history="1">
              <w:r>
                <w:rPr>
                  <w:rStyle w:val="Hyperlink"/>
                </w:rPr>
                <w:t>Go</w:t>
              </w:r>
            </w:hyperlink>
          </w:p>
        </w:tc>
        <w:tc>
          <w:tcPr>
            <w:tcW w:w="5669" w:type="dxa"/>
          </w:tcPr>
          <w:p w14:paraId="1E079623" w14:textId="77777777" w:rsidR="00EE372A" w:rsidRDefault="00EE372A">
            <w:pPr>
              <w:spacing w:line="240" w:lineRule="auto"/>
              <w:jc w:val="left"/>
              <w:rPr>
                <w:sz w:val="24"/>
                <w:rtl/>
              </w:rPr>
            </w:pPr>
            <w:r>
              <w:rPr>
                <w:sz w:val="24"/>
                <w:rtl/>
              </w:rPr>
              <w:t>שמירת תיק הבוררות</w:t>
            </w:r>
          </w:p>
        </w:tc>
        <w:tc>
          <w:tcPr>
            <w:tcW w:w="1247" w:type="dxa"/>
          </w:tcPr>
          <w:p w14:paraId="24177F7A" w14:textId="77777777" w:rsidR="00EE372A" w:rsidRDefault="00EE372A">
            <w:pPr>
              <w:spacing w:line="240" w:lineRule="auto"/>
              <w:jc w:val="left"/>
              <w:rPr>
                <w:sz w:val="24"/>
              </w:rPr>
            </w:pPr>
            <w:r>
              <w:rPr>
                <w:sz w:val="24"/>
                <w:rtl/>
              </w:rPr>
              <w:t xml:space="preserve">סעיף 21 </w:t>
            </w:r>
          </w:p>
        </w:tc>
      </w:tr>
      <w:tr w:rsidR="00EE372A" w14:paraId="2742EC8B" w14:textId="77777777">
        <w:tblPrEx>
          <w:tblCellMar>
            <w:top w:w="0" w:type="dxa"/>
            <w:bottom w:w="0" w:type="dxa"/>
          </w:tblCellMar>
        </w:tblPrEx>
        <w:trPr>
          <w:jc w:val="right"/>
        </w:trPr>
        <w:tc>
          <w:tcPr>
            <w:tcW w:w="850" w:type="dxa"/>
          </w:tcPr>
          <w:p w14:paraId="03BB320C"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3F7B9DEC" w14:textId="77777777" w:rsidR="00EE372A" w:rsidRDefault="00EE372A">
            <w:pPr>
              <w:spacing w:line="240" w:lineRule="auto"/>
              <w:jc w:val="left"/>
              <w:rPr>
                <w:sz w:val="24"/>
              </w:rPr>
            </w:pPr>
            <w:hyperlink w:anchor="Seif22" w:tooltip="עונשין" w:history="1">
              <w:r>
                <w:rPr>
                  <w:rStyle w:val="Hyperlink"/>
                </w:rPr>
                <w:t>Go</w:t>
              </w:r>
            </w:hyperlink>
          </w:p>
        </w:tc>
        <w:tc>
          <w:tcPr>
            <w:tcW w:w="5669" w:type="dxa"/>
          </w:tcPr>
          <w:p w14:paraId="04663CFB" w14:textId="77777777" w:rsidR="00EE372A" w:rsidRDefault="00EE372A">
            <w:pPr>
              <w:spacing w:line="240" w:lineRule="auto"/>
              <w:jc w:val="left"/>
              <w:rPr>
                <w:sz w:val="24"/>
                <w:rtl/>
              </w:rPr>
            </w:pPr>
            <w:r>
              <w:rPr>
                <w:sz w:val="24"/>
                <w:rtl/>
              </w:rPr>
              <w:t>עונשין</w:t>
            </w:r>
          </w:p>
        </w:tc>
        <w:tc>
          <w:tcPr>
            <w:tcW w:w="1247" w:type="dxa"/>
          </w:tcPr>
          <w:p w14:paraId="613E1F48" w14:textId="77777777" w:rsidR="00EE372A" w:rsidRDefault="00EE372A">
            <w:pPr>
              <w:spacing w:line="240" w:lineRule="auto"/>
              <w:jc w:val="left"/>
              <w:rPr>
                <w:sz w:val="24"/>
              </w:rPr>
            </w:pPr>
            <w:r>
              <w:rPr>
                <w:sz w:val="24"/>
                <w:rtl/>
              </w:rPr>
              <w:t xml:space="preserve">סעיף 22 </w:t>
            </w:r>
          </w:p>
        </w:tc>
      </w:tr>
      <w:tr w:rsidR="00EE372A" w14:paraId="05D06A29" w14:textId="77777777">
        <w:tblPrEx>
          <w:tblCellMar>
            <w:top w:w="0" w:type="dxa"/>
            <w:bottom w:w="0" w:type="dxa"/>
          </w:tblCellMar>
        </w:tblPrEx>
        <w:trPr>
          <w:jc w:val="right"/>
        </w:trPr>
        <w:tc>
          <w:tcPr>
            <w:tcW w:w="850" w:type="dxa"/>
          </w:tcPr>
          <w:p w14:paraId="4D794CBD"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4181C9FF" w14:textId="77777777" w:rsidR="00EE372A" w:rsidRDefault="00EE372A">
            <w:pPr>
              <w:spacing w:line="240" w:lineRule="auto"/>
              <w:jc w:val="left"/>
              <w:rPr>
                <w:sz w:val="24"/>
              </w:rPr>
            </w:pPr>
            <w:hyperlink w:anchor="Seif23" w:tooltip="ביטול" w:history="1">
              <w:r>
                <w:rPr>
                  <w:rStyle w:val="Hyperlink"/>
                </w:rPr>
                <w:t>Go</w:t>
              </w:r>
            </w:hyperlink>
          </w:p>
        </w:tc>
        <w:tc>
          <w:tcPr>
            <w:tcW w:w="5669" w:type="dxa"/>
          </w:tcPr>
          <w:p w14:paraId="2B2F2596" w14:textId="77777777" w:rsidR="00EE372A" w:rsidRDefault="00EE372A">
            <w:pPr>
              <w:spacing w:line="240" w:lineRule="auto"/>
              <w:jc w:val="left"/>
              <w:rPr>
                <w:sz w:val="24"/>
                <w:rtl/>
              </w:rPr>
            </w:pPr>
            <w:r>
              <w:rPr>
                <w:sz w:val="24"/>
                <w:rtl/>
              </w:rPr>
              <w:t>ביטול</w:t>
            </w:r>
          </w:p>
        </w:tc>
        <w:tc>
          <w:tcPr>
            <w:tcW w:w="1247" w:type="dxa"/>
          </w:tcPr>
          <w:p w14:paraId="4AC1BF30" w14:textId="77777777" w:rsidR="00EE372A" w:rsidRDefault="00EE372A">
            <w:pPr>
              <w:spacing w:line="240" w:lineRule="auto"/>
              <w:jc w:val="left"/>
              <w:rPr>
                <w:sz w:val="24"/>
              </w:rPr>
            </w:pPr>
            <w:r>
              <w:rPr>
                <w:sz w:val="24"/>
                <w:rtl/>
              </w:rPr>
              <w:t xml:space="preserve">סעיף 23 </w:t>
            </w:r>
          </w:p>
        </w:tc>
      </w:tr>
      <w:tr w:rsidR="00EE372A" w14:paraId="3D97D0E2" w14:textId="77777777">
        <w:tblPrEx>
          <w:tblCellMar>
            <w:top w:w="0" w:type="dxa"/>
            <w:bottom w:w="0" w:type="dxa"/>
          </w:tblCellMar>
        </w:tblPrEx>
        <w:trPr>
          <w:jc w:val="right"/>
        </w:trPr>
        <w:tc>
          <w:tcPr>
            <w:tcW w:w="850" w:type="dxa"/>
          </w:tcPr>
          <w:p w14:paraId="27855294" w14:textId="77777777" w:rsidR="00EE372A" w:rsidRDefault="00EE372A">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40BDCDA2" w14:textId="77777777" w:rsidR="00EE372A" w:rsidRDefault="00EE372A">
            <w:pPr>
              <w:spacing w:line="240" w:lineRule="auto"/>
              <w:jc w:val="left"/>
              <w:rPr>
                <w:sz w:val="24"/>
              </w:rPr>
            </w:pPr>
            <w:hyperlink w:anchor="Seif24" w:tooltip="השם" w:history="1">
              <w:r>
                <w:rPr>
                  <w:rStyle w:val="Hyperlink"/>
                </w:rPr>
                <w:t>Go</w:t>
              </w:r>
            </w:hyperlink>
          </w:p>
        </w:tc>
        <w:tc>
          <w:tcPr>
            <w:tcW w:w="5669" w:type="dxa"/>
          </w:tcPr>
          <w:p w14:paraId="4C869FD6" w14:textId="77777777" w:rsidR="00EE372A" w:rsidRDefault="00EE372A">
            <w:pPr>
              <w:spacing w:line="240" w:lineRule="auto"/>
              <w:jc w:val="left"/>
              <w:rPr>
                <w:sz w:val="24"/>
                <w:rtl/>
              </w:rPr>
            </w:pPr>
            <w:r>
              <w:rPr>
                <w:sz w:val="24"/>
                <w:rtl/>
              </w:rPr>
              <w:t>השם</w:t>
            </w:r>
          </w:p>
        </w:tc>
        <w:tc>
          <w:tcPr>
            <w:tcW w:w="1247" w:type="dxa"/>
          </w:tcPr>
          <w:p w14:paraId="63AEA25E" w14:textId="77777777" w:rsidR="00EE372A" w:rsidRDefault="00EE372A">
            <w:pPr>
              <w:spacing w:line="240" w:lineRule="auto"/>
              <w:jc w:val="left"/>
              <w:rPr>
                <w:sz w:val="24"/>
              </w:rPr>
            </w:pPr>
            <w:r>
              <w:rPr>
                <w:sz w:val="24"/>
                <w:rtl/>
              </w:rPr>
              <w:t xml:space="preserve">סעיף 24 </w:t>
            </w:r>
          </w:p>
        </w:tc>
      </w:tr>
    </w:tbl>
    <w:p w14:paraId="043534B0" w14:textId="77777777" w:rsidR="00EE372A" w:rsidRDefault="00EE372A">
      <w:pPr>
        <w:pStyle w:val="big-header"/>
        <w:ind w:left="0" w:right="1134"/>
        <w:rPr>
          <w:rFonts w:cs="FrankRuehl"/>
          <w:sz w:val="32"/>
          <w:rtl/>
        </w:rPr>
      </w:pPr>
    </w:p>
    <w:p w14:paraId="0832FB77" w14:textId="77777777" w:rsidR="00EE372A" w:rsidRDefault="00EE372A" w:rsidP="00A1054C">
      <w:pPr>
        <w:pStyle w:val="big-header"/>
        <w:ind w:left="0" w:right="1134"/>
        <w:rPr>
          <w:rStyle w:val="default"/>
          <w:rFonts w:cs="FrankRuehl" w:hint="cs"/>
          <w:rtl/>
        </w:rPr>
      </w:pPr>
      <w:r>
        <w:rPr>
          <w:rFonts w:cs="FrankRuehl"/>
          <w:sz w:val="32"/>
          <w:rtl/>
        </w:rPr>
        <w:br w:type="page"/>
      </w:r>
      <w:r w:rsidR="00A1054C">
        <w:rPr>
          <w:rFonts w:cs="FrankRuehl"/>
          <w:sz w:val="32"/>
          <w:rtl/>
        </w:rPr>
        <w:lastRenderedPageBreak/>
        <w:t xml:space="preserve"> </w:t>
      </w:r>
      <w:r>
        <w:rPr>
          <w:rFonts w:cs="FrankRuehl"/>
          <w:sz w:val="32"/>
          <w:rtl/>
        </w:rPr>
        <w:t>תק</w:t>
      </w:r>
      <w:r>
        <w:rPr>
          <w:rFonts w:cs="FrankRuehl" w:hint="cs"/>
          <w:sz w:val="32"/>
          <w:rtl/>
        </w:rPr>
        <w:t>נות האגודות השיתופיות (בוררות בסכסוכים), תשל"ב-</w:t>
      </w:r>
      <w:r>
        <w:rPr>
          <w:rFonts w:cs="FrankRuehl"/>
          <w:sz w:val="32"/>
          <w:rtl/>
        </w:rPr>
        <w:t>1972</w:t>
      </w:r>
      <w:r>
        <w:rPr>
          <w:rStyle w:val="default"/>
          <w:rtl/>
        </w:rPr>
        <w:footnoteReference w:customMarkFollows="1" w:id="1"/>
        <w:t>*</w:t>
      </w:r>
    </w:p>
    <w:p w14:paraId="26E5A833"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 לפקודת האגודות השיתופיות, אנ</w:t>
      </w:r>
      <w:r>
        <w:rPr>
          <w:rStyle w:val="default"/>
          <w:rFonts w:cs="FrankRuehl"/>
          <w:rtl/>
        </w:rPr>
        <w:t>י</w:t>
      </w:r>
      <w:r>
        <w:rPr>
          <w:rStyle w:val="default"/>
          <w:rFonts w:cs="FrankRuehl" w:hint="cs"/>
          <w:rtl/>
        </w:rPr>
        <w:t xml:space="preserve"> מתקין תקנות אלה:</w:t>
      </w:r>
    </w:p>
    <w:p w14:paraId="53726732" w14:textId="77777777" w:rsidR="00EE372A" w:rsidRDefault="00EE372A">
      <w:pPr>
        <w:pStyle w:val="P00"/>
        <w:spacing w:before="72"/>
        <w:ind w:left="0" w:right="1134"/>
        <w:rPr>
          <w:rStyle w:val="default"/>
          <w:rFonts w:cs="FrankRuehl"/>
          <w:rtl/>
        </w:rPr>
      </w:pPr>
      <w:bookmarkStart w:id="0" w:name="Seif0"/>
      <w:bookmarkEnd w:id="0"/>
      <w:r>
        <w:rPr>
          <w:lang w:val="he-IL"/>
        </w:rPr>
        <w:pict w14:anchorId="2BF50F92">
          <v:rect id="_x0000_s1026" style="position:absolute;left:0;text-align:left;margin-left:464.5pt;margin-top:8.05pt;width:75.05pt;height:24pt;z-index:251644416" o:allowincell="f" filled="f" stroked="f" strokecolor="lime" strokeweight=".25pt">
            <v:textbox inset="0,0,0,0">
              <w:txbxContent>
                <w:p w14:paraId="0FE9ECE5" w14:textId="77777777" w:rsidR="00EE372A" w:rsidRDefault="00EE372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ברת-הסכסוך </w:t>
                  </w:r>
                  <w:r>
                    <w:rPr>
                      <w:rFonts w:cs="Miriam"/>
                      <w:sz w:val="18"/>
                      <w:szCs w:val="18"/>
                      <w:rtl/>
                    </w:rPr>
                    <w:t>לר</w:t>
                  </w:r>
                  <w:r>
                    <w:rPr>
                      <w:rFonts w:cs="Miriam" w:hint="cs"/>
                      <w:sz w:val="18"/>
                      <w:szCs w:val="18"/>
                      <w:rtl/>
                    </w:rPr>
                    <w:t>שם</w:t>
                  </w:r>
                </w:p>
              </w:txbxContent>
            </v:textbox>
            <w10:anchorlock/>
          </v:rect>
        </w:pict>
      </w:r>
      <w:r>
        <w:rPr>
          <w:rStyle w:val="big-number"/>
          <w:rFonts w:cs="Miriam"/>
          <w:rtl/>
        </w:rPr>
        <w:t>1.</w:t>
      </w:r>
      <w:r>
        <w:rPr>
          <w:rStyle w:val="big-number"/>
          <w:rFonts w:cs="Miriam"/>
          <w:rtl/>
        </w:rPr>
        <w:tab/>
      </w:r>
      <w:r>
        <w:rPr>
          <w:rStyle w:val="default"/>
          <w:rFonts w:cs="FrankRuehl"/>
          <w:rtl/>
        </w:rPr>
        <w:t>כל</w:t>
      </w:r>
      <w:r>
        <w:rPr>
          <w:rStyle w:val="default"/>
          <w:rFonts w:cs="FrankRuehl" w:hint="cs"/>
          <w:rtl/>
        </w:rPr>
        <w:t>לו תקנות האגודה הוראה המסמיכה את הרשם ליישב סכסוכים על פי סעיף 52 לפקודה, יועבר הסכסוך לרשם על י</w:t>
      </w:r>
      <w:r>
        <w:rPr>
          <w:rStyle w:val="default"/>
          <w:rFonts w:cs="FrankRuehl"/>
          <w:rtl/>
        </w:rPr>
        <w:t>די</w:t>
      </w:r>
      <w:r>
        <w:rPr>
          <w:rStyle w:val="default"/>
          <w:rFonts w:cs="FrankRuehl" w:hint="cs"/>
          <w:rtl/>
        </w:rPr>
        <w:t xml:space="preserve"> אחד הצדדים לסכסוך; היתה האגודה התובעת </w:t>
      </w:r>
      <w:r w:rsidR="006E1B05">
        <w:rPr>
          <w:rStyle w:val="default"/>
          <w:rFonts w:cs="FrankRuehl"/>
          <w:rtl/>
        </w:rPr>
        <w:t>–</w:t>
      </w:r>
      <w:r>
        <w:rPr>
          <w:rStyle w:val="default"/>
          <w:rFonts w:cs="FrankRuehl"/>
          <w:rtl/>
        </w:rPr>
        <w:t xml:space="preserve"> </w:t>
      </w:r>
      <w:r>
        <w:rPr>
          <w:rStyle w:val="default"/>
          <w:rFonts w:cs="FrankRuehl" w:hint="cs"/>
          <w:rtl/>
        </w:rPr>
        <w:t xml:space="preserve">יועבר הסכסוך על פי החלטת רשויות האגודה בהתאם לתקנותיה; היו אחד מחברי הרשויות הנבחרות של האגודה או פקיד האגודה שהנו חבר בה צד לסכסוך </w:t>
      </w:r>
      <w:r w:rsidR="006E1B05">
        <w:rPr>
          <w:rStyle w:val="default"/>
          <w:rFonts w:cs="FrankRuehl"/>
          <w:rtl/>
        </w:rPr>
        <w:t>–</w:t>
      </w:r>
      <w:r>
        <w:rPr>
          <w:rStyle w:val="default"/>
          <w:rFonts w:cs="FrankRuehl"/>
          <w:rtl/>
        </w:rPr>
        <w:t xml:space="preserve"> </w:t>
      </w:r>
      <w:r>
        <w:rPr>
          <w:rStyle w:val="default"/>
          <w:rFonts w:cs="FrankRuehl" w:hint="cs"/>
          <w:rtl/>
        </w:rPr>
        <w:t>יועבר הסכסוך על ידי חבר מחברי האגודה.</w:t>
      </w:r>
    </w:p>
    <w:p w14:paraId="66EDCB9E" w14:textId="77777777" w:rsidR="00EE372A" w:rsidRDefault="00EE372A">
      <w:pPr>
        <w:pStyle w:val="P00"/>
        <w:spacing w:before="72"/>
        <w:ind w:left="0" w:right="1134"/>
        <w:rPr>
          <w:rStyle w:val="default"/>
          <w:rFonts w:cs="FrankRuehl"/>
          <w:rtl/>
        </w:rPr>
      </w:pPr>
      <w:bookmarkStart w:id="1" w:name="Seif1"/>
      <w:bookmarkEnd w:id="1"/>
      <w:r>
        <w:rPr>
          <w:lang w:val="he-IL"/>
        </w:rPr>
        <w:pict w14:anchorId="736327F5">
          <v:rect id="_x0000_s1027" style="position:absolute;left:0;text-align:left;margin-left:464.5pt;margin-top:8.05pt;width:75.05pt;height:16pt;z-index:251645440" o:allowincell="f" filled="f" stroked="f" strokecolor="lime" strokeweight=".25pt">
            <v:textbox inset="0,0,0,0">
              <w:txbxContent>
                <w:p w14:paraId="3A8B5F5F" w14:textId="77777777" w:rsidR="00EE372A" w:rsidRDefault="00EE372A">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הרשם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ליישב את הסכסוך בעצמו א</w:t>
      </w:r>
      <w:r>
        <w:rPr>
          <w:rStyle w:val="default"/>
          <w:rFonts w:cs="FrankRuehl"/>
          <w:rtl/>
        </w:rPr>
        <w:t xml:space="preserve">ו </w:t>
      </w:r>
      <w:r>
        <w:rPr>
          <w:rStyle w:val="default"/>
          <w:rFonts w:cs="FrankRuehl" w:hint="cs"/>
          <w:rtl/>
        </w:rPr>
        <w:t>להעבירו לבורר יחיד או לבוררים שמינה, או לשלושה בוררים שאחד מהם מינה הרשם והשנים האחרים מונו על ידי הצדדים לסכסוך, כל צד בורר אחד; לבורר שמינה הרשם תהיה דעה מכרעת.</w:t>
      </w:r>
    </w:p>
    <w:p w14:paraId="4BA9602A"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הרשם או נקבע בתקנות האגודה שיש להעביר את הסכסוך לבוררים שמינו הצדדים והרשם כאמור</w:t>
      </w:r>
      <w:r>
        <w:rPr>
          <w:rStyle w:val="default"/>
          <w:rFonts w:cs="FrankRuehl"/>
          <w:rtl/>
        </w:rPr>
        <w:t xml:space="preserve"> ב</w:t>
      </w:r>
      <w:r>
        <w:rPr>
          <w:rStyle w:val="default"/>
          <w:rFonts w:cs="FrankRuehl" w:hint="cs"/>
          <w:rtl/>
        </w:rPr>
        <w:t>תקנת משנה (א), רשאי הרשם לדרוש מכל צד לסכסוך לנקוב בשמו של הבורר שייצג אותו בסכסוך, תוך 15 יום מ</w:t>
      </w:r>
      <w:r>
        <w:rPr>
          <w:rStyle w:val="default"/>
          <w:rFonts w:cs="FrankRuehl"/>
          <w:rtl/>
        </w:rPr>
        <w:t>י</w:t>
      </w:r>
      <w:r>
        <w:rPr>
          <w:rStyle w:val="default"/>
          <w:rFonts w:cs="FrankRuehl" w:hint="cs"/>
          <w:rtl/>
        </w:rPr>
        <w:t>ום הדרישה; לא מילא אחד הצדדים לסכסוך אחר דרישת הרשם, רשאי הרשם על דעת עצמו למנות את הבורר, ודין בורר זה כדין בורר שמינה הצד שלא פעל לפי הדרישה.</w:t>
      </w:r>
    </w:p>
    <w:p w14:paraId="3BDAF716"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תפטר או</w:t>
      </w:r>
      <w:r>
        <w:rPr>
          <w:rStyle w:val="default"/>
          <w:rFonts w:cs="FrankRuehl"/>
          <w:rtl/>
        </w:rPr>
        <w:t xml:space="preserve"> מ</w:t>
      </w:r>
      <w:r>
        <w:rPr>
          <w:rStyle w:val="default"/>
          <w:rFonts w:cs="FrankRuehl" w:hint="cs"/>
          <w:rtl/>
        </w:rPr>
        <w:t>ת הבורר או אחד הבוררים שמינה הרשם או נבצר ממנו מכל סיבה שהיא לשבת בבוררות, ימנה הרשם בורר אחר במ</w:t>
      </w:r>
      <w:r>
        <w:rPr>
          <w:rStyle w:val="default"/>
          <w:rFonts w:cs="FrankRuehl"/>
          <w:rtl/>
        </w:rPr>
        <w:t>ק</w:t>
      </w:r>
      <w:r>
        <w:rPr>
          <w:rStyle w:val="default"/>
          <w:rFonts w:cs="FrankRuehl" w:hint="cs"/>
          <w:rtl/>
        </w:rPr>
        <w:t>ומו.</w:t>
      </w:r>
    </w:p>
    <w:p w14:paraId="5A45D9F0" w14:textId="77777777" w:rsidR="00EE372A" w:rsidRDefault="00EE372A">
      <w:pPr>
        <w:pStyle w:val="P00"/>
        <w:spacing w:before="72"/>
        <w:ind w:left="0" w:right="1134"/>
        <w:rPr>
          <w:rStyle w:val="default"/>
          <w:rFonts w:cs="FrankRuehl"/>
          <w:rtl/>
        </w:rPr>
      </w:pPr>
      <w:bookmarkStart w:id="2" w:name="Seif2"/>
      <w:bookmarkEnd w:id="2"/>
      <w:r>
        <w:rPr>
          <w:lang w:val="he-IL"/>
        </w:rPr>
        <w:pict w14:anchorId="3E00CCA1">
          <v:rect id="_x0000_s1028" style="position:absolute;left:0;text-align:left;margin-left:464.5pt;margin-top:8.05pt;width:75.05pt;height:26pt;z-index:251646464" o:allowincell="f" filled="f" stroked="f" strokecolor="lime" strokeweight=".25pt">
            <v:textbox inset="0,0,0,0">
              <w:txbxContent>
                <w:p w14:paraId="384FB1A6" w14:textId="77777777" w:rsidR="00EE372A" w:rsidRDefault="00EE372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בורר בידי </w:t>
                  </w:r>
                  <w:r>
                    <w:rPr>
                      <w:rFonts w:cs="Miriam"/>
                      <w:sz w:val="18"/>
                      <w:szCs w:val="18"/>
                      <w:rtl/>
                    </w:rPr>
                    <w:t>בר</w:t>
                  </w:r>
                  <w:r>
                    <w:rPr>
                      <w:rFonts w:cs="Miriam" w:hint="cs"/>
                      <w:sz w:val="18"/>
                      <w:szCs w:val="18"/>
                      <w:rtl/>
                    </w:rPr>
                    <w:t xml:space="preserve">ית סיוע </w:t>
                  </w:r>
                  <w:r>
                    <w:rPr>
                      <w:rFonts w:cs="Miriam"/>
                      <w:sz w:val="18"/>
                      <w:szCs w:val="18"/>
                      <w:rtl/>
                    </w:rPr>
                    <w:t>או</w:t>
                  </w:r>
                  <w:r>
                    <w:rPr>
                      <w:rFonts w:cs="Miriam" w:hint="cs"/>
                      <w:sz w:val="18"/>
                      <w:szCs w:val="18"/>
                      <w:rtl/>
                    </w:rPr>
                    <w:t xml:space="preserve"> הרשם</w:t>
                  </w:r>
                </w:p>
                <w:p w14:paraId="645F118F" w14:textId="77777777" w:rsidR="00EE372A" w:rsidRDefault="00EE372A">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גודה שעל פי תקנונה יש ליישב סכסוכים הנוגעים לעסקיה בדרך של בוררות לפי סעיף 52(1) לפקודה, ולא נתמנה בורר בדרך האמורה בתקנות האגודה, תוך 30 ימים</w:t>
      </w:r>
      <w:r>
        <w:rPr>
          <w:rStyle w:val="default"/>
          <w:rFonts w:cs="FrankRuehl"/>
          <w:rtl/>
        </w:rPr>
        <w:t xml:space="preserve"> מ</w:t>
      </w:r>
      <w:r>
        <w:rPr>
          <w:rStyle w:val="default"/>
          <w:rFonts w:cs="FrankRuehl" w:hint="cs"/>
          <w:rtl/>
        </w:rPr>
        <w:t>היום הקובע, תמנה את הבורר ברית הסיוע שהאגודה חברה בה.</w:t>
      </w:r>
    </w:p>
    <w:p w14:paraId="44C6A8F3"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מינתה ברית הסיוע בורר כאמור בתקנת משנה (א) תוך 30 ימים מיום שנדרשה לכך מאת צד לבוררות, או שצד כאמור התנגד לבורר שמינתה ברית הסיוע, או שאין האגודה חברה</w:t>
      </w:r>
      <w:r>
        <w:rPr>
          <w:rStyle w:val="default"/>
          <w:rFonts w:cs="FrankRuehl"/>
          <w:rtl/>
        </w:rPr>
        <w:t xml:space="preserve"> ב</w:t>
      </w:r>
      <w:r>
        <w:rPr>
          <w:rStyle w:val="default"/>
          <w:rFonts w:cs="FrankRuehl" w:hint="cs"/>
          <w:rtl/>
        </w:rPr>
        <w:t>ברית סיוע, ימנה הרשם את הבורר.</w:t>
      </w:r>
    </w:p>
    <w:p w14:paraId="144C472D"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רית סיוע שלפי תקנונה עליה למנות בורר לאגודה החברה בה ולא נתמנה בורר כאמור תוך 30 ימים מיום שנדרשה לכך מאת צד לבוררות, ימנה הרשם את הבורר.</w:t>
      </w:r>
    </w:p>
    <w:p w14:paraId="4D53351B"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בע תקנון אגודה מינוי אדם מסוים או תאגיד מסוים כבורר בסכסוכים ונפטר אותו א</w:t>
      </w:r>
      <w:r>
        <w:rPr>
          <w:rStyle w:val="default"/>
          <w:rFonts w:cs="FrankRuehl"/>
          <w:rtl/>
        </w:rPr>
        <w:t>דם</w:t>
      </w:r>
      <w:r>
        <w:rPr>
          <w:rStyle w:val="default"/>
          <w:rFonts w:cs="FrankRuehl" w:hint="cs"/>
          <w:rtl/>
        </w:rPr>
        <w:t xml:space="preserve"> או שאינו כשיר לפעולה משפטית, או שהתאגיד חדל</w:t>
      </w:r>
      <w:r>
        <w:rPr>
          <w:rStyle w:val="default"/>
          <w:rFonts w:cs="FrankRuehl"/>
          <w:rtl/>
        </w:rPr>
        <w:t xml:space="preserve"> </w:t>
      </w:r>
      <w:r>
        <w:rPr>
          <w:rStyle w:val="default"/>
          <w:rFonts w:cs="FrankRuehl" w:hint="cs"/>
          <w:rtl/>
        </w:rPr>
        <w:t>להתקיים, ימנה הרשם את הבורר.</w:t>
      </w:r>
    </w:p>
    <w:p w14:paraId="0C2929A6" w14:textId="77777777" w:rsidR="00EE372A" w:rsidRDefault="00EE372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תקנה זו, "היום הקובע" </w:t>
      </w:r>
      <w:r>
        <w:rPr>
          <w:rStyle w:val="default"/>
          <w:rFonts w:cs="FrankRuehl"/>
          <w:rtl/>
        </w:rPr>
        <w:t>–</w:t>
      </w:r>
    </w:p>
    <w:p w14:paraId="222F7ACE" w14:textId="77777777" w:rsidR="00EE372A" w:rsidRDefault="00EE372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מינוי בורר בידי הצדדים לסכסוך </w:t>
      </w:r>
      <w:r w:rsidR="006E1B05">
        <w:rPr>
          <w:rStyle w:val="default"/>
          <w:rFonts w:cs="FrankRuehl"/>
          <w:rtl/>
        </w:rPr>
        <w:t>–</w:t>
      </w:r>
      <w:r>
        <w:rPr>
          <w:rStyle w:val="default"/>
          <w:rFonts w:cs="FrankRuehl"/>
          <w:rtl/>
        </w:rPr>
        <w:t xml:space="preserve"> </w:t>
      </w:r>
      <w:r>
        <w:rPr>
          <w:rStyle w:val="default"/>
          <w:rFonts w:cs="FrankRuehl" w:hint="cs"/>
          <w:rtl/>
        </w:rPr>
        <w:t>תאריך מסירת דרישה בכתב לצד השני;</w:t>
      </w:r>
    </w:p>
    <w:p w14:paraId="1286FED7" w14:textId="77777777" w:rsidR="00EE372A" w:rsidRDefault="00EE372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מינוי בורר בידי אדם או גוף אחרים </w:t>
      </w:r>
      <w:r w:rsidR="006E1B05">
        <w:rPr>
          <w:rStyle w:val="default"/>
          <w:rFonts w:cs="FrankRuehl"/>
          <w:rtl/>
        </w:rPr>
        <w:t>–</w:t>
      </w:r>
      <w:r>
        <w:rPr>
          <w:rStyle w:val="default"/>
          <w:rFonts w:cs="FrankRuehl"/>
          <w:rtl/>
        </w:rPr>
        <w:t xml:space="preserve"> </w:t>
      </w:r>
      <w:r>
        <w:rPr>
          <w:rStyle w:val="default"/>
          <w:rFonts w:cs="FrankRuehl" w:hint="cs"/>
          <w:rtl/>
        </w:rPr>
        <w:t xml:space="preserve">תאריך מסירת דרישה בכתב לאותו אדם </w:t>
      </w:r>
      <w:r>
        <w:rPr>
          <w:rStyle w:val="default"/>
          <w:rFonts w:cs="FrankRuehl"/>
          <w:rtl/>
        </w:rPr>
        <w:t>או</w:t>
      </w:r>
      <w:r>
        <w:rPr>
          <w:rStyle w:val="default"/>
          <w:rFonts w:cs="FrankRuehl" w:hint="cs"/>
          <w:rtl/>
        </w:rPr>
        <w:t xml:space="preserve"> גוף;</w:t>
      </w:r>
    </w:p>
    <w:p w14:paraId="5FEB34F4" w14:textId="77777777" w:rsidR="00EE372A" w:rsidRDefault="00EE372A">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גבי מינוי בורר בידי הרשם לפי תקנת</w:t>
      </w:r>
      <w:r>
        <w:rPr>
          <w:rStyle w:val="default"/>
          <w:rFonts w:cs="FrankRuehl"/>
          <w:rtl/>
        </w:rPr>
        <w:t xml:space="preserve"> </w:t>
      </w:r>
      <w:r>
        <w:rPr>
          <w:rStyle w:val="default"/>
          <w:rFonts w:cs="FrankRuehl" w:hint="cs"/>
          <w:rtl/>
        </w:rPr>
        <w:t xml:space="preserve">משנה (ד) </w:t>
      </w:r>
      <w:r w:rsidR="006E1B05">
        <w:rPr>
          <w:rStyle w:val="default"/>
          <w:rFonts w:cs="FrankRuehl"/>
          <w:rtl/>
        </w:rPr>
        <w:t>–</w:t>
      </w:r>
      <w:r>
        <w:rPr>
          <w:rStyle w:val="default"/>
          <w:rFonts w:cs="FrankRuehl"/>
          <w:rtl/>
        </w:rPr>
        <w:t xml:space="preserve"> </w:t>
      </w:r>
      <w:r>
        <w:rPr>
          <w:rStyle w:val="default"/>
          <w:rFonts w:cs="FrankRuehl" w:hint="cs"/>
          <w:rtl/>
        </w:rPr>
        <w:t>יום מסירת דרישה לרשם למינוי הבורר;</w:t>
      </w:r>
    </w:p>
    <w:p w14:paraId="5D5B4CFB"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רית סיוע" </w:t>
      </w:r>
      <w:r w:rsidR="006E1B05">
        <w:rPr>
          <w:rStyle w:val="default"/>
          <w:rFonts w:cs="FrankRuehl"/>
          <w:rtl/>
        </w:rPr>
        <w:t>–</w:t>
      </w:r>
      <w:r>
        <w:rPr>
          <w:rStyle w:val="default"/>
          <w:rFonts w:cs="FrankRuehl"/>
          <w:rtl/>
        </w:rPr>
        <w:t xml:space="preserve"> </w:t>
      </w:r>
      <w:r>
        <w:rPr>
          <w:rStyle w:val="default"/>
          <w:rFonts w:cs="FrankRuehl" w:hint="cs"/>
          <w:rtl/>
        </w:rPr>
        <w:t>אגודה מרכזית שמטרתה העיקרית היא טיפול בייסוד אגודות ורישומן, הדרכתן, סיוע לפעולתן, שיתוף פעולה בין חבריה וחינוכן ברוח עקרונות האיגוד השיתופי;</w:t>
      </w:r>
    </w:p>
    <w:p w14:paraId="12A518F2"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ורר</w:t>
      </w:r>
      <w:r>
        <w:rPr>
          <w:rStyle w:val="default"/>
          <w:rFonts w:cs="FrankRuehl"/>
          <w:rtl/>
        </w:rPr>
        <w:t xml:space="preserve">" </w:t>
      </w:r>
      <w:r w:rsidR="006E1B05">
        <w:rPr>
          <w:rStyle w:val="default"/>
          <w:rFonts w:cs="FrankRuehl"/>
          <w:rtl/>
        </w:rPr>
        <w:t>–</w:t>
      </w:r>
      <w:r>
        <w:rPr>
          <w:rStyle w:val="default"/>
          <w:rFonts w:cs="FrankRuehl"/>
          <w:rtl/>
        </w:rPr>
        <w:t xml:space="preserve"> </w:t>
      </w:r>
      <w:r>
        <w:rPr>
          <w:rStyle w:val="default"/>
          <w:rFonts w:cs="FrankRuehl" w:hint="cs"/>
          <w:rtl/>
        </w:rPr>
        <w:t>לרבות בורר מכריע כמשמעותו בחוק הבוררות, תשכ"ח-</w:t>
      </w:r>
      <w:r>
        <w:rPr>
          <w:rStyle w:val="default"/>
          <w:rFonts w:cs="FrankRuehl"/>
          <w:rtl/>
        </w:rPr>
        <w:t>1968.</w:t>
      </w:r>
    </w:p>
    <w:p w14:paraId="62BAB4A2" w14:textId="77777777" w:rsidR="00EE372A" w:rsidRDefault="00EE372A">
      <w:pPr>
        <w:pStyle w:val="P00"/>
        <w:spacing w:before="72"/>
        <w:ind w:left="0" w:right="1134"/>
        <w:rPr>
          <w:rStyle w:val="default"/>
          <w:rFonts w:cs="FrankRuehl" w:hint="cs"/>
          <w:rtl/>
        </w:rPr>
      </w:pPr>
      <w:r>
        <w:rPr>
          <w:lang w:val="he-IL"/>
        </w:rPr>
        <w:pict w14:anchorId="3FB7023F">
          <v:rect id="_x0000_s1029" style="position:absolute;left:0;text-align:left;margin-left:464.5pt;margin-top:8.05pt;width:75.05pt;height:16pt;z-index:251647488" o:allowincell="f" filled="f" stroked="f" strokecolor="lime" strokeweight=".25pt">
            <v:textbox inset="0,0,0,0">
              <w:txbxContent>
                <w:p w14:paraId="3A8DF8BA" w14:textId="77777777" w:rsidR="00EE372A" w:rsidRDefault="00EE372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1988</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 xml:space="preserve">גודה שסווגה כמושב עובדים ונקבעה בתקנותיה הוראה שלפיה ייושבו סכסוכים הנוגעים לעסקי האגודה על ידי רשות או מוסד של תאגיד אחר בדרך של בוררות, ואותם רשות או מוסד חדלו מלהתקיים </w:t>
      </w:r>
      <w:r w:rsidR="006E1B05">
        <w:rPr>
          <w:rStyle w:val="default"/>
          <w:rFonts w:cs="FrankRuehl"/>
          <w:rtl/>
        </w:rPr>
        <w:t>–</w:t>
      </w:r>
      <w:r>
        <w:rPr>
          <w:rStyle w:val="default"/>
          <w:rFonts w:cs="FrankRuehl"/>
          <w:rtl/>
        </w:rPr>
        <w:t xml:space="preserve"> </w:t>
      </w:r>
      <w:r>
        <w:rPr>
          <w:rStyle w:val="default"/>
          <w:rFonts w:cs="FrankRuehl" w:hint="cs"/>
          <w:rtl/>
        </w:rPr>
        <w:t>בין אם אותו תאגיד הק</w:t>
      </w:r>
      <w:r>
        <w:rPr>
          <w:rStyle w:val="default"/>
          <w:rFonts w:cs="FrankRuehl"/>
          <w:rtl/>
        </w:rPr>
        <w:t>ים</w:t>
      </w:r>
      <w:r>
        <w:rPr>
          <w:rStyle w:val="default"/>
          <w:rFonts w:cs="FrankRuehl" w:hint="cs"/>
          <w:rtl/>
        </w:rPr>
        <w:t xml:space="preserve"> גוף אחר במקום אותם רשות א</w:t>
      </w:r>
      <w:r>
        <w:rPr>
          <w:rStyle w:val="default"/>
          <w:rFonts w:cs="FrankRuehl"/>
          <w:rtl/>
        </w:rPr>
        <w:t>ו</w:t>
      </w:r>
      <w:r>
        <w:rPr>
          <w:rStyle w:val="default"/>
          <w:rFonts w:cs="FrankRuehl" w:hint="cs"/>
          <w:rtl/>
        </w:rPr>
        <w:t xml:space="preserve"> מוסד ובין אם </w:t>
      </w:r>
      <w:r>
        <w:rPr>
          <w:rStyle w:val="default"/>
          <w:rFonts w:cs="FrankRuehl" w:hint="cs"/>
          <w:rtl/>
        </w:rPr>
        <w:lastRenderedPageBreak/>
        <w:t xml:space="preserve">לאו </w:t>
      </w:r>
      <w:r w:rsidR="006E1B05">
        <w:rPr>
          <w:rStyle w:val="default"/>
          <w:rFonts w:cs="FrankRuehl"/>
          <w:rtl/>
        </w:rPr>
        <w:t>–</w:t>
      </w:r>
      <w:r>
        <w:rPr>
          <w:rStyle w:val="default"/>
          <w:rFonts w:cs="FrankRuehl"/>
          <w:rtl/>
        </w:rPr>
        <w:t xml:space="preserve"> </w:t>
      </w:r>
      <w:r>
        <w:rPr>
          <w:rStyle w:val="default"/>
          <w:rFonts w:cs="FrankRuehl" w:hint="cs"/>
          <w:rtl/>
        </w:rPr>
        <w:t>ייושב הסכסוך על ידי בורר שהוסכם על ידי הצדדים. לא הגיעו הצדדים לידי הסכמה לגבי הבורר תוך חמישה עשר ימים מהיום שבו הגיש התובע את התביעה לנתבע ייושב הסכסוך על ידי בורר שנתמנה על ידי בית המשפט המוסמך על פי חוק</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וררות, תשכ"ח-</w:t>
      </w:r>
      <w:r>
        <w:rPr>
          <w:rStyle w:val="default"/>
          <w:rFonts w:cs="FrankRuehl"/>
          <w:rtl/>
        </w:rPr>
        <w:t xml:space="preserve">1968, </w:t>
      </w:r>
      <w:r>
        <w:rPr>
          <w:rStyle w:val="default"/>
          <w:rFonts w:cs="FrankRuehl" w:hint="cs"/>
          <w:rtl/>
        </w:rPr>
        <w:t>או על י</w:t>
      </w:r>
      <w:r>
        <w:rPr>
          <w:rStyle w:val="default"/>
          <w:rFonts w:cs="FrankRuehl"/>
          <w:rtl/>
        </w:rPr>
        <w:t>ד</w:t>
      </w:r>
      <w:r>
        <w:rPr>
          <w:rStyle w:val="default"/>
          <w:rFonts w:cs="FrankRuehl" w:hint="cs"/>
          <w:rtl/>
        </w:rPr>
        <w:t>י בורר שנתמנה על ידי הרשם, הכל לפי בחירת התובע.</w:t>
      </w:r>
    </w:p>
    <w:p w14:paraId="2FB097F3" w14:textId="77777777" w:rsidR="00EE372A" w:rsidRPr="001C5C5A" w:rsidRDefault="00EE372A">
      <w:pPr>
        <w:pStyle w:val="P00"/>
        <w:spacing w:before="0"/>
        <w:ind w:left="0" w:right="1134"/>
        <w:rPr>
          <w:rFonts w:cs="FrankRuehl" w:hint="cs"/>
          <w:b/>
          <w:bCs/>
          <w:vanish/>
          <w:szCs w:val="20"/>
          <w:shd w:val="clear" w:color="auto" w:fill="FFFF99"/>
          <w:rtl/>
        </w:rPr>
      </w:pPr>
      <w:bookmarkStart w:id="3" w:name="Rov27"/>
      <w:r w:rsidRPr="001C5C5A">
        <w:rPr>
          <w:rFonts w:cs="FrankRuehl" w:hint="cs"/>
          <w:vanish/>
          <w:color w:val="FF0000"/>
          <w:szCs w:val="20"/>
          <w:shd w:val="clear" w:color="auto" w:fill="FFFF99"/>
          <w:rtl/>
        </w:rPr>
        <w:t>מיום 7.7.1981</w:t>
      </w:r>
    </w:p>
    <w:p w14:paraId="24C20ABD" w14:textId="77777777" w:rsidR="00EE372A" w:rsidRPr="001C5C5A" w:rsidRDefault="00EE372A">
      <w:pPr>
        <w:pStyle w:val="P00"/>
        <w:spacing w:before="0"/>
        <w:ind w:left="0" w:right="1134"/>
        <w:rPr>
          <w:rFonts w:cs="FrankRuehl" w:hint="cs"/>
          <w:b/>
          <w:bCs/>
          <w:vanish/>
          <w:szCs w:val="20"/>
          <w:shd w:val="clear" w:color="auto" w:fill="FFFF99"/>
          <w:rtl/>
        </w:rPr>
      </w:pPr>
      <w:r w:rsidRPr="001C5C5A">
        <w:rPr>
          <w:rFonts w:cs="FrankRuehl" w:hint="cs"/>
          <w:b/>
          <w:bCs/>
          <w:vanish/>
          <w:szCs w:val="20"/>
          <w:shd w:val="clear" w:color="auto" w:fill="FFFF99"/>
          <w:rtl/>
        </w:rPr>
        <w:t>תק' תשמ"א-1981</w:t>
      </w:r>
    </w:p>
    <w:p w14:paraId="4322B6BF" w14:textId="77777777" w:rsidR="00EE372A" w:rsidRPr="001C5C5A" w:rsidRDefault="00EE372A">
      <w:pPr>
        <w:pStyle w:val="P00"/>
        <w:tabs>
          <w:tab w:val="clear" w:pos="6259"/>
        </w:tabs>
        <w:spacing w:before="0"/>
        <w:ind w:left="0" w:right="1134"/>
        <w:rPr>
          <w:rFonts w:cs="FrankRuehl" w:hint="cs"/>
          <w:vanish/>
          <w:szCs w:val="20"/>
          <w:shd w:val="clear" w:color="auto" w:fill="FFFF99"/>
          <w:rtl/>
        </w:rPr>
      </w:pPr>
      <w:hyperlink r:id="rId6" w:history="1">
        <w:r w:rsidRPr="001C5C5A">
          <w:rPr>
            <w:rStyle w:val="Hyperlink"/>
            <w:rFonts w:cs="FrankRuehl" w:hint="cs"/>
            <w:vanish/>
            <w:szCs w:val="20"/>
            <w:shd w:val="clear" w:color="auto" w:fill="FFFF99"/>
            <w:rtl/>
          </w:rPr>
          <w:t>ק"ת תשמ"א מס' 4249</w:t>
        </w:r>
      </w:hyperlink>
      <w:r w:rsidRPr="001C5C5A">
        <w:rPr>
          <w:rFonts w:cs="FrankRuehl" w:hint="cs"/>
          <w:vanish/>
          <w:szCs w:val="20"/>
          <w:shd w:val="clear" w:color="auto" w:fill="FFFF99"/>
          <w:rtl/>
        </w:rPr>
        <w:t xml:space="preserve"> מיום 7.7.1981 עמ' 1182</w:t>
      </w:r>
    </w:p>
    <w:p w14:paraId="25C99F2C" w14:textId="77777777" w:rsidR="00EE372A" w:rsidRPr="001C5C5A" w:rsidRDefault="00EE372A">
      <w:pPr>
        <w:pStyle w:val="P00"/>
        <w:tabs>
          <w:tab w:val="clear" w:pos="6259"/>
        </w:tabs>
        <w:spacing w:before="0"/>
        <w:ind w:left="0" w:right="1134"/>
        <w:rPr>
          <w:rFonts w:cs="FrankRuehl" w:hint="cs"/>
          <w:b/>
          <w:bCs/>
          <w:vanish/>
          <w:szCs w:val="20"/>
          <w:shd w:val="clear" w:color="auto" w:fill="FFFF99"/>
          <w:rtl/>
        </w:rPr>
      </w:pPr>
      <w:r w:rsidRPr="001C5C5A">
        <w:rPr>
          <w:rFonts w:cs="FrankRuehl" w:hint="cs"/>
          <w:b/>
          <w:bCs/>
          <w:vanish/>
          <w:szCs w:val="20"/>
          <w:shd w:val="clear" w:color="auto" w:fill="FFFF99"/>
          <w:rtl/>
        </w:rPr>
        <w:t>הוספת תקנה 2א</w:t>
      </w:r>
    </w:p>
    <w:p w14:paraId="42EC1009" w14:textId="77777777" w:rsidR="00EE372A" w:rsidRPr="001C5C5A" w:rsidRDefault="00EE372A">
      <w:pPr>
        <w:pStyle w:val="P00"/>
        <w:spacing w:before="0"/>
        <w:ind w:left="0" w:right="1134"/>
        <w:rPr>
          <w:rFonts w:cs="FrankRuehl" w:hint="cs"/>
          <w:vanish/>
          <w:color w:val="FF0000"/>
          <w:szCs w:val="20"/>
          <w:shd w:val="clear" w:color="auto" w:fill="FFFF99"/>
          <w:rtl/>
        </w:rPr>
      </w:pPr>
    </w:p>
    <w:p w14:paraId="752FF3D2" w14:textId="77777777" w:rsidR="00EE372A" w:rsidRPr="001C5C5A" w:rsidRDefault="00EE372A">
      <w:pPr>
        <w:pStyle w:val="P00"/>
        <w:spacing w:before="0"/>
        <w:ind w:left="0" w:right="1134"/>
        <w:rPr>
          <w:rFonts w:cs="FrankRuehl" w:hint="cs"/>
          <w:b/>
          <w:bCs/>
          <w:vanish/>
          <w:szCs w:val="20"/>
          <w:shd w:val="clear" w:color="auto" w:fill="FFFF99"/>
          <w:rtl/>
        </w:rPr>
      </w:pPr>
      <w:r w:rsidRPr="001C5C5A">
        <w:rPr>
          <w:rFonts w:cs="FrankRuehl" w:hint="cs"/>
          <w:vanish/>
          <w:color w:val="FF0000"/>
          <w:szCs w:val="20"/>
          <w:shd w:val="clear" w:color="auto" w:fill="FFFF99"/>
          <w:rtl/>
        </w:rPr>
        <w:t>מיום 13.11.1988</w:t>
      </w:r>
    </w:p>
    <w:p w14:paraId="4BA9B53A" w14:textId="77777777" w:rsidR="00EE372A" w:rsidRPr="001C5C5A" w:rsidRDefault="00EE372A">
      <w:pPr>
        <w:pStyle w:val="P00"/>
        <w:spacing w:before="0"/>
        <w:ind w:left="0" w:right="1134"/>
        <w:rPr>
          <w:rFonts w:cs="FrankRuehl" w:hint="cs"/>
          <w:b/>
          <w:bCs/>
          <w:vanish/>
          <w:szCs w:val="20"/>
          <w:shd w:val="clear" w:color="auto" w:fill="FFFF99"/>
          <w:rtl/>
        </w:rPr>
      </w:pPr>
      <w:r w:rsidRPr="001C5C5A">
        <w:rPr>
          <w:rFonts w:cs="FrankRuehl" w:hint="cs"/>
          <w:b/>
          <w:bCs/>
          <w:vanish/>
          <w:szCs w:val="20"/>
          <w:shd w:val="clear" w:color="auto" w:fill="FFFF99"/>
          <w:rtl/>
        </w:rPr>
        <w:t>תק' תשמ"ט-1988</w:t>
      </w:r>
    </w:p>
    <w:p w14:paraId="489A4850" w14:textId="77777777" w:rsidR="00EE372A" w:rsidRPr="001C5C5A" w:rsidRDefault="00EE372A">
      <w:pPr>
        <w:pStyle w:val="P00"/>
        <w:tabs>
          <w:tab w:val="clear" w:pos="6259"/>
        </w:tabs>
        <w:spacing w:before="0"/>
        <w:ind w:left="0" w:right="1134"/>
        <w:rPr>
          <w:rFonts w:cs="FrankRuehl" w:hint="cs"/>
          <w:vanish/>
          <w:szCs w:val="20"/>
          <w:shd w:val="clear" w:color="auto" w:fill="FFFF99"/>
          <w:rtl/>
        </w:rPr>
      </w:pPr>
      <w:hyperlink r:id="rId7" w:history="1">
        <w:r w:rsidRPr="001C5C5A">
          <w:rPr>
            <w:rStyle w:val="Hyperlink"/>
            <w:rFonts w:cs="FrankRuehl" w:hint="cs"/>
            <w:vanish/>
            <w:szCs w:val="20"/>
            <w:shd w:val="clear" w:color="auto" w:fill="FFFF99"/>
            <w:rtl/>
          </w:rPr>
          <w:t>ק"ת תשמ"ט מס' 5145</w:t>
        </w:r>
      </w:hyperlink>
      <w:r w:rsidRPr="001C5C5A">
        <w:rPr>
          <w:rFonts w:cs="FrankRuehl" w:hint="cs"/>
          <w:vanish/>
          <w:szCs w:val="20"/>
          <w:shd w:val="clear" w:color="auto" w:fill="FFFF99"/>
          <w:rtl/>
        </w:rPr>
        <w:t xml:space="preserve"> מיום 13.11.1988 עמ' 146</w:t>
      </w:r>
    </w:p>
    <w:p w14:paraId="61D50186" w14:textId="77777777" w:rsidR="00EE372A" w:rsidRDefault="00EE372A">
      <w:pPr>
        <w:pStyle w:val="P00"/>
        <w:tabs>
          <w:tab w:val="clear" w:pos="6259"/>
        </w:tabs>
        <w:spacing w:before="0"/>
        <w:ind w:left="0" w:right="1134"/>
        <w:rPr>
          <w:rFonts w:cs="FrankRuehl" w:hint="cs"/>
          <w:b/>
          <w:bCs/>
          <w:sz w:val="2"/>
          <w:szCs w:val="2"/>
          <w:rtl/>
        </w:rPr>
      </w:pPr>
      <w:r w:rsidRPr="001C5C5A">
        <w:rPr>
          <w:rFonts w:cs="FrankRuehl" w:hint="cs"/>
          <w:b/>
          <w:bCs/>
          <w:vanish/>
          <w:szCs w:val="20"/>
          <w:shd w:val="clear" w:color="auto" w:fill="FFFF99"/>
          <w:rtl/>
        </w:rPr>
        <w:t>הוספת תקנת משנה 2א(ו)</w:t>
      </w:r>
      <w:bookmarkEnd w:id="3"/>
    </w:p>
    <w:p w14:paraId="43A85110" w14:textId="77777777" w:rsidR="00EE372A" w:rsidRDefault="00EE372A">
      <w:pPr>
        <w:pStyle w:val="P00"/>
        <w:spacing w:before="72"/>
        <w:ind w:left="0" w:right="1134"/>
        <w:rPr>
          <w:rStyle w:val="default"/>
          <w:rFonts w:cs="FrankRuehl"/>
          <w:rtl/>
        </w:rPr>
      </w:pPr>
      <w:bookmarkStart w:id="4" w:name="Seif3"/>
      <w:bookmarkEnd w:id="4"/>
      <w:r>
        <w:rPr>
          <w:lang w:val="he-IL"/>
        </w:rPr>
        <w:pict w14:anchorId="6ADE08D8">
          <v:rect id="_x0000_s1030" style="position:absolute;left:0;text-align:left;margin-left:464.5pt;margin-top:8.05pt;width:75.05pt;height:24pt;z-index:251648512" o:allowincell="f" filled="f" stroked="f" strokecolor="lime" strokeweight=".25pt">
            <v:textbox style="mso-next-textbox:#_x0000_s1030" inset="0,0,0,0">
              <w:txbxContent>
                <w:p w14:paraId="563DF732" w14:textId="77777777" w:rsidR="00EE372A" w:rsidRDefault="00EE372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בוררים </w:t>
                  </w:r>
                  <w:r>
                    <w:rPr>
                      <w:rFonts w:cs="Miriam"/>
                      <w:sz w:val="18"/>
                      <w:szCs w:val="18"/>
                      <w:rtl/>
                    </w:rPr>
                    <w:t>מת</w:t>
                  </w:r>
                  <w:r>
                    <w:rPr>
                      <w:rFonts w:cs="Miriam" w:hint="cs"/>
                      <w:sz w:val="18"/>
                      <w:szCs w:val="18"/>
                      <w:rtl/>
                    </w:rPr>
                    <w:t>פקידם</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אי הרשם להעביר בורר מתפקידו, בין שמינהו צד לסכסוך ובין שמינהו הרשם, אם נתגלה שהבורר אינו ראוי לאמון הצדדים, או אם התנהגותו של הבורר במהלך הבוררות גורמת לעינוי דין.</w:t>
      </w:r>
    </w:p>
    <w:p w14:paraId="2B3AB56B" w14:textId="77777777" w:rsidR="00EE372A" w:rsidRDefault="00EE372A">
      <w:pPr>
        <w:pStyle w:val="P00"/>
        <w:spacing w:before="72"/>
        <w:ind w:left="0" w:right="1134"/>
        <w:rPr>
          <w:rStyle w:val="default"/>
          <w:rFonts w:cs="FrankRuehl"/>
          <w:rtl/>
        </w:rPr>
      </w:pPr>
      <w:bookmarkStart w:id="5" w:name="Seif4"/>
      <w:bookmarkEnd w:id="5"/>
      <w:r>
        <w:rPr>
          <w:lang w:val="he-IL"/>
        </w:rPr>
        <w:pict w14:anchorId="63063E21">
          <v:rect id="_x0000_s1031" style="position:absolute;left:0;text-align:left;margin-left:464.5pt;margin-top:8.05pt;width:75.05pt;height:24pt;z-index:251649536" o:allowincell="f" filled="f" stroked="f" strokecolor="lime" strokeweight=".25pt">
            <v:textbox inset="0,0,0,0">
              <w:txbxContent>
                <w:p w14:paraId="356BE012" w14:textId="77777777" w:rsidR="00EE372A" w:rsidRDefault="00EE372A">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מנת צדדים </w:t>
                  </w:r>
                  <w:r>
                    <w:rPr>
                      <w:rFonts w:cs="Miriam"/>
                      <w:sz w:val="18"/>
                      <w:szCs w:val="18"/>
                      <w:rtl/>
                    </w:rPr>
                    <w:t>וע</w:t>
                  </w:r>
                  <w:r>
                    <w:rPr>
                      <w:rFonts w:cs="Miriam" w:hint="cs"/>
                      <w:sz w:val="18"/>
                      <w:szCs w:val="18"/>
                      <w:rtl/>
                    </w:rPr>
                    <w:t>דים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בוררים רשאים להזמין צד לסכסוך או עדים למתן עדות או להמצאת מסמכים, כפי שרשאי בית המשפט בתובענה שהוגשה לפניו; באישור הרשם רשאים הם לפסוק לעדים שכר והוצאות ולהטילם על צד לסכסוך.</w:t>
      </w:r>
    </w:p>
    <w:p w14:paraId="064EA536"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תאריך לדיון בבוררות, ישלח הבורר הזמנה לצדדים ול</w:t>
      </w:r>
      <w:r>
        <w:rPr>
          <w:rStyle w:val="default"/>
          <w:rFonts w:cs="FrankRuehl"/>
          <w:rtl/>
        </w:rPr>
        <w:t>עד</w:t>
      </w:r>
      <w:r>
        <w:rPr>
          <w:rStyle w:val="default"/>
          <w:rFonts w:cs="FrankRuehl" w:hint="cs"/>
          <w:rtl/>
        </w:rPr>
        <w:t xml:space="preserve">ים, אם למתן עדות ואם להצגת מסמכים; ההזמנה תפרט את המועד ואת המקום שבו תתקיים הבוררות, ואם נדרש המוזמן להציג מסמך </w:t>
      </w:r>
      <w:r w:rsidR="001C5C5A">
        <w:rPr>
          <w:rStyle w:val="default"/>
          <w:rFonts w:cs="FrankRuehl"/>
          <w:rtl/>
        </w:rPr>
        <w:t>–</w:t>
      </w:r>
      <w:r>
        <w:rPr>
          <w:rStyle w:val="default"/>
          <w:rFonts w:cs="FrankRuehl"/>
          <w:rtl/>
        </w:rPr>
        <w:t xml:space="preserve"> </w:t>
      </w:r>
      <w:r>
        <w:rPr>
          <w:rStyle w:val="default"/>
          <w:rFonts w:cs="FrankRuehl" w:hint="cs"/>
          <w:rtl/>
        </w:rPr>
        <w:t>יתואר המסמך בהזמנה בדיוק סביר ויפורט בה שהמוזמן רשאי לגרום להצגת המסמך בלי שיבוא להציגו בעצמו.</w:t>
      </w:r>
    </w:p>
    <w:p w14:paraId="1224CC35" w14:textId="77777777" w:rsidR="00EE372A" w:rsidRDefault="00EE372A">
      <w:pPr>
        <w:pStyle w:val="P00"/>
        <w:spacing w:before="72"/>
        <w:ind w:left="0" w:right="1134"/>
        <w:rPr>
          <w:rStyle w:val="default"/>
          <w:rFonts w:cs="FrankRuehl" w:hint="cs"/>
          <w:rtl/>
        </w:rPr>
      </w:pPr>
      <w:bookmarkStart w:id="6" w:name="Seif5"/>
      <w:bookmarkEnd w:id="6"/>
      <w:r>
        <w:rPr>
          <w:lang w:val="he-IL"/>
        </w:rPr>
        <w:pict w14:anchorId="018A54FA">
          <v:rect id="_x0000_s1032" style="position:absolute;left:0;text-align:left;margin-left:464.5pt;margin-top:8.05pt;width:75.05pt;height:24pt;z-index:251650560" o:allowincell="f" filled="f" stroked="f" strokecolor="lime" strokeweight=".25pt">
            <v:textbox style="mso-next-textbox:#_x0000_s1032" inset="0,0,0,0">
              <w:txbxContent>
                <w:p w14:paraId="73BBE0FF" w14:textId="77777777" w:rsidR="00EE372A" w:rsidRDefault="00EE372A">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הזמנה </w:t>
                  </w:r>
                  <w:r>
                    <w:rPr>
                      <w:rFonts w:cs="Miriam"/>
                      <w:sz w:val="18"/>
                      <w:szCs w:val="18"/>
                      <w:rtl/>
                    </w:rPr>
                    <w:t>ומ</w:t>
                  </w:r>
                  <w:r>
                    <w:rPr>
                      <w:rFonts w:cs="Miriam" w:hint="cs"/>
                      <w:sz w:val="18"/>
                      <w:szCs w:val="18"/>
                      <w:rtl/>
                    </w:rPr>
                    <w:t>סירת מסמכים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ותר למסור הזמנה בדואר רשום עם אישור</w:t>
      </w:r>
      <w:r>
        <w:rPr>
          <w:rStyle w:val="default"/>
          <w:rFonts w:cs="FrankRuehl"/>
          <w:rtl/>
        </w:rPr>
        <w:t xml:space="preserve"> מ</w:t>
      </w:r>
      <w:r>
        <w:rPr>
          <w:rStyle w:val="default"/>
          <w:rFonts w:cs="FrankRuehl" w:hint="cs"/>
          <w:rtl/>
        </w:rPr>
        <w:t>סירה ורשאי הבורר לראות את ההזמנה לעד כאילו הומצאה כדין ואת התאריך המסומן באישור המסירה כתאריך המסירה.</w:t>
      </w:r>
    </w:p>
    <w:p w14:paraId="28BABA96" w14:textId="77777777" w:rsidR="00EE372A" w:rsidRDefault="00EE372A">
      <w:pPr>
        <w:pStyle w:val="P00"/>
        <w:spacing w:before="72"/>
        <w:ind w:left="0" w:right="1134"/>
        <w:rPr>
          <w:rStyle w:val="default"/>
          <w:rFonts w:cs="FrankRuehl" w:hint="cs"/>
          <w:rtl/>
        </w:rPr>
      </w:pPr>
      <w:r>
        <w:rPr>
          <w:rFonts w:cs="FrankRuehl"/>
          <w:rtl/>
          <w:lang w:val="he-IL"/>
        </w:rPr>
        <w:pict w14:anchorId="32EABE42">
          <v:shapetype id="_x0000_t202" coordsize="21600,21600" o:spt="202" path="m,l,21600r21600,l21600,xe">
            <v:stroke joinstyle="miter"/>
            <v:path gradientshapeok="t" o:connecttype="rect"/>
          </v:shapetype>
          <v:shape id="_x0000_s1053" type="#_x0000_t202" style="position:absolute;left:0;text-align:left;margin-left:470.25pt;margin-top:7.1pt;width:1in;height:7.7pt;z-index:251671040" filled="f" stroked="f">
            <v:textbox inset="1mm,0,1mm,0">
              <w:txbxContent>
                <w:p w14:paraId="370396C6" w14:textId="77777777" w:rsidR="00EE372A" w:rsidRDefault="00EE372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סמך בענין הבוררות שנשלח לבורר או לצד לסכסוך בדואר רשום עם אישור מסירה, רואים אותו</w:t>
      </w:r>
      <w:r>
        <w:rPr>
          <w:rStyle w:val="default"/>
          <w:rFonts w:cs="FrankRuehl"/>
          <w:rtl/>
        </w:rPr>
        <w:t xml:space="preserve"> </w:t>
      </w:r>
      <w:r>
        <w:rPr>
          <w:rStyle w:val="default"/>
          <w:rFonts w:cs="FrankRuehl" w:hint="cs"/>
          <w:rtl/>
        </w:rPr>
        <w:t>כאילו נמסר לנמען בתאריך הרשום באישור המסירה.</w:t>
      </w:r>
    </w:p>
    <w:p w14:paraId="1E94E236" w14:textId="77777777" w:rsidR="00EE372A" w:rsidRPr="001C5C5A" w:rsidRDefault="00EE372A">
      <w:pPr>
        <w:pStyle w:val="P00"/>
        <w:spacing w:before="0"/>
        <w:ind w:left="0" w:right="1134"/>
        <w:rPr>
          <w:rFonts w:cs="FrankRuehl" w:hint="cs"/>
          <w:b/>
          <w:bCs/>
          <w:vanish/>
          <w:szCs w:val="20"/>
          <w:shd w:val="clear" w:color="auto" w:fill="FFFF99"/>
          <w:rtl/>
        </w:rPr>
      </w:pPr>
      <w:bookmarkStart w:id="7" w:name="Rov26"/>
      <w:r w:rsidRPr="001C5C5A">
        <w:rPr>
          <w:rFonts w:cs="FrankRuehl" w:hint="cs"/>
          <w:vanish/>
          <w:color w:val="FF0000"/>
          <w:szCs w:val="20"/>
          <w:shd w:val="clear" w:color="auto" w:fill="FFFF99"/>
          <w:rtl/>
        </w:rPr>
        <w:t>מיום 6.1.1994</w:t>
      </w:r>
    </w:p>
    <w:p w14:paraId="50B703AA" w14:textId="77777777" w:rsidR="00EE372A" w:rsidRPr="001C5C5A" w:rsidRDefault="00EE372A">
      <w:pPr>
        <w:pStyle w:val="P00"/>
        <w:spacing w:before="0"/>
        <w:ind w:left="0" w:right="1134"/>
        <w:rPr>
          <w:rFonts w:cs="FrankRuehl" w:hint="cs"/>
          <w:b/>
          <w:bCs/>
          <w:vanish/>
          <w:szCs w:val="20"/>
          <w:shd w:val="clear" w:color="auto" w:fill="FFFF99"/>
          <w:rtl/>
        </w:rPr>
      </w:pPr>
      <w:r w:rsidRPr="001C5C5A">
        <w:rPr>
          <w:rFonts w:cs="FrankRuehl" w:hint="cs"/>
          <w:b/>
          <w:bCs/>
          <w:vanish/>
          <w:szCs w:val="20"/>
          <w:shd w:val="clear" w:color="auto" w:fill="FFFF99"/>
          <w:rtl/>
        </w:rPr>
        <w:t>תק' תשנ"ד-1994</w:t>
      </w:r>
    </w:p>
    <w:p w14:paraId="181466A1" w14:textId="77777777" w:rsidR="00EE372A" w:rsidRPr="001C5C5A" w:rsidRDefault="00EE372A">
      <w:pPr>
        <w:pStyle w:val="P00"/>
        <w:tabs>
          <w:tab w:val="clear" w:pos="6259"/>
        </w:tabs>
        <w:spacing w:before="0"/>
        <w:ind w:left="0" w:right="1134"/>
        <w:rPr>
          <w:rFonts w:cs="FrankRuehl" w:hint="cs"/>
          <w:vanish/>
          <w:szCs w:val="20"/>
          <w:shd w:val="clear" w:color="auto" w:fill="FFFF99"/>
          <w:rtl/>
        </w:rPr>
      </w:pPr>
      <w:hyperlink r:id="rId8" w:history="1">
        <w:r w:rsidRPr="001C5C5A">
          <w:rPr>
            <w:rStyle w:val="Hyperlink"/>
            <w:rFonts w:cs="FrankRuehl" w:hint="cs"/>
            <w:vanish/>
            <w:szCs w:val="20"/>
            <w:shd w:val="clear" w:color="auto" w:fill="FFFF99"/>
            <w:rtl/>
          </w:rPr>
          <w:t>ק"ת תשנ"ד מס' 5571</w:t>
        </w:r>
      </w:hyperlink>
      <w:r w:rsidRPr="001C5C5A">
        <w:rPr>
          <w:rFonts w:cs="FrankRuehl" w:hint="cs"/>
          <w:vanish/>
          <w:szCs w:val="20"/>
          <w:shd w:val="clear" w:color="auto" w:fill="FFFF99"/>
          <w:rtl/>
        </w:rPr>
        <w:t xml:space="preserve"> מיום 6.1.1994 עמ' 323</w:t>
      </w:r>
    </w:p>
    <w:p w14:paraId="61B1E81B" w14:textId="77777777" w:rsidR="00EE372A" w:rsidRDefault="00EE372A">
      <w:pPr>
        <w:pStyle w:val="P00"/>
        <w:tabs>
          <w:tab w:val="clear" w:pos="6259"/>
        </w:tabs>
        <w:ind w:left="0" w:right="1134"/>
        <w:rPr>
          <w:rFonts w:cs="FrankRuehl" w:hint="cs"/>
          <w:sz w:val="2"/>
          <w:szCs w:val="2"/>
          <w:rtl/>
        </w:rPr>
      </w:pPr>
      <w:r w:rsidRPr="001C5C5A">
        <w:rPr>
          <w:rStyle w:val="default"/>
          <w:rFonts w:cs="FrankRuehl" w:hint="cs"/>
          <w:vanish/>
          <w:sz w:val="22"/>
          <w:szCs w:val="22"/>
          <w:shd w:val="clear" w:color="auto" w:fill="FFFF99"/>
          <w:rtl/>
        </w:rPr>
        <w:tab/>
      </w:r>
      <w:r w:rsidRPr="001C5C5A">
        <w:rPr>
          <w:rStyle w:val="default"/>
          <w:rFonts w:cs="FrankRuehl"/>
          <w:vanish/>
          <w:sz w:val="22"/>
          <w:szCs w:val="22"/>
          <w:shd w:val="clear" w:color="auto" w:fill="FFFF99"/>
          <w:rtl/>
        </w:rPr>
        <w:t>(ב</w:t>
      </w:r>
      <w:r w:rsidRPr="001C5C5A">
        <w:rPr>
          <w:rStyle w:val="default"/>
          <w:rFonts w:cs="FrankRuehl" w:hint="cs"/>
          <w:vanish/>
          <w:sz w:val="22"/>
          <w:szCs w:val="22"/>
          <w:shd w:val="clear" w:color="auto" w:fill="FFFF99"/>
          <w:rtl/>
        </w:rPr>
        <w:t>)</w:t>
      </w:r>
      <w:r w:rsidRPr="001C5C5A">
        <w:rPr>
          <w:rStyle w:val="default"/>
          <w:rFonts w:cs="FrankRuehl"/>
          <w:vanish/>
          <w:sz w:val="22"/>
          <w:szCs w:val="22"/>
          <w:shd w:val="clear" w:color="auto" w:fill="FFFF99"/>
          <w:rtl/>
        </w:rPr>
        <w:tab/>
        <w:t>מ</w:t>
      </w:r>
      <w:r w:rsidRPr="001C5C5A">
        <w:rPr>
          <w:rStyle w:val="default"/>
          <w:rFonts w:cs="FrankRuehl" w:hint="cs"/>
          <w:vanish/>
          <w:sz w:val="22"/>
          <w:szCs w:val="22"/>
          <w:shd w:val="clear" w:color="auto" w:fill="FFFF99"/>
          <w:rtl/>
        </w:rPr>
        <w:t>סמך בענין הבוררות שנשלח לבורר או לצד לסכסוך בדואר רשום עם אישור מסירה, רואים אותו</w:t>
      </w:r>
      <w:r w:rsidRPr="001C5C5A">
        <w:rPr>
          <w:rStyle w:val="default"/>
          <w:rFonts w:cs="FrankRuehl"/>
          <w:vanish/>
          <w:sz w:val="22"/>
          <w:szCs w:val="22"/>
          <w:shd w:val="clear" w:color="auto" w:fill="FFFF99"/>
          <w:rtl/>
        </w:rPr>
        <w:t xml:space="preserve"> </w:t>
      </w:r>
      <w:r w:rsidRPr="001C5C5A">
        <w:rPr>
          <w:rStyle w:val="default"/>
          <w:rFonts w:cs="FrankRuehl" w:hint="cs"/>
          <w:vanish/>
          <w:sz w:val="22"/>
          <w:szCs w:val="22"/>
          <w:shd w:val="clear" w:color="auto" w:fill="FFFF99"/>
          <w:rtl/>
        </w:rPr>
        <w:t xml:space="preserve">כאילו נמסר לנמען בתאריך הרשום באישור המסירה. </w:t>
      </w:r>
      <w:r w:rsidRPr="001C5C5A">
        <w:rPr>
          <w:rStyle w:val="default"/>
          <w:rFonts w:cs="FrankRuehl" w:hint="cs"/>
          <w:strike/>
          <w:vanish/>
          <w:sz w:val="22"/>
          <w:szCs w:val="22"/>
          <w:shd w:val="clear" w:color="auto" w:fill="FFFF99"/>
          <w:rtl/>
        </w:rPr>
        <w:t>סירב הנמען לקבל הזמנה או מסמך אחר, יפרסם הרשם את תוכן המסמך בעתון יומי ורואים אותו כאילו הובא לידיעת הנמען למחרת יום הפרסום.</w:t>
      </w:r>
      <w:bookmarkEnd w:id="7"/>
    </w:p>
    <w:p w14:paraId="012247CD" w14:textId="77777777" w:rsidR="00EE372A" w:rsidRDefault="00EE372A">
      <w:pPr>
        <w:pStyle w:val="P00"/>
        <w:spacing w:before="72"/>
        <w:ind w:left="0" w:right="1134"/>
        <w:rPr>
          <w:rStyle w:val="default"/>
          <w:rFonts w:cs="FrankRuehl"/>
          <w:rtl/>
        </w:rPr>
      </w:pPr>
      <w:bookmarkStart w:id="8" w:name="Seif6"/>
      <w:bookmarkEnd w:id="8"/>
      <w:r>
        <w:rPr>
          <w:lang w:val="he-IL"/>
        </w:rPr>
        <w:pict w14:anchorId="7291AFBC">
          <v:rect id="_x0000_s1034" style="position:absolute;left:0;text-align:left;margin-left:464.5pt;margin-top:8.05pt;width:75.05pt;height:24pt;z-index:251651584" o:allowincell="f" filled="f" stroked="f" strokecolor="lime" strokeweight=".25pt">
            <v:textbox inset="0,0,0,0">
              <w:txbxContent>
                <w:p w14:paraId="368091FB" w14:textId="77777777" w:rsidR="00EE372A" w:rsidRDefault="00EE372A">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מנה להציג </w:t>
                  </w:r>
                  <w:r>
                    <w:rPr>
                      <w:rFonts w:cs="Miriam"/>
                      <w:sz w:val="18"/>
                      <w:szCs w:val="18"/>
                      <w:rtl/>
                    </w:rPr>
                    <w:t>מס</w:t>
                  </w:r>
                  <w:r>
                    <w:rPr>
                      <w:rFonts w:cs="Miriam" w:hint="cs"/>
                      <w:sz w:val="18"/>
                      <w:szCs w:val="18"/>
                      <w:rtl/>
                    </w:rPr>
                    <w:t>מך</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 שהוזמן להצ</w:t>
      </w:r>
      <w:r>
        <w:rPr>
          <w:rStyle w:val="default"/>
          <w:rFonts w:cs="FrankRuehl"/>
          <w:rtl/>
        </w:rPr>
        <w:t>יג</w:t>
      </w:r>
      <w:r>
        <w:rPr>
          <w:rStyle w:val="default"/>
          <w:rFonts w:cs="FrankRuehl" w:hint="cs"/>
          <w:rtl/>
        </w:rPr>
        <w:t xml:space="preserve"> מסמך בלבד, רואים אותו כאילו נענה להזמנה, אם הביא לידי הצגת המסמך, אף אם לא בא בעצמו להציגו.</w:t>
      </w:r>
    </w:p>
    <w:p w14:paraId="1B293DD8" w14:textId="77777777" w:rsidR="00EE372A" w:rsidRDefault="00EE372A">
      <w:pPr>
        <w:pStyle w:val="P00"/>
        <w:spacing w:before="72"/>
        <w:ind w:left="0" w:right="1134"/>
        <w:rPr>
          <w:rStyle w:val="default"/>
          <w:rFonts w:cs="FrankRuehl"/>
          <w:rtl/>
        </w:rPr>
      </w:pPr>
      <w:bookmarkStart w:id="9" w:name="Seif7"/>
      <w:bookmarkEnd w:id="9"/>
      <w:r>
        <w:rPr>
          <w:lang w:val="he-IL"/>
        </w:rPr>
        <w:pict w14:anchorId="5A0FA8C2">
          <v:rect id="_x0000_s1035" style="position:absolute;left:0;text-align:left;margin-left:464.5pt;margin-top:8.05pt;width:75.05pt;height:24pt;z-index:251652608" o:allowincell="f" filled="f" stroked="f" strokecolor="lime" strokeweight=".25pt">
            <v:textbox inset="0,0,0,0">
              <w:txbxContent>
                <w:p w14:paraId="5BBEB1DF" w14:textId="77777777" w:rsidR="00EE372A" w:rsidRDefault="00EE372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w:t>
                  </w:r>
                  <w:r>
                    <w:rPr>
                      <w:rFonts w:cs="Miriam"/>
                      <w:sz w:val="18"/>
                      <w:szCs w:val="18"/>
                      <w:rtl/>
                    </w:rPr>
                    <w:t>וח</w:t>
                  </w:r>
                  <w:r>
                    <w:rPr>
                      <w:rFonts w:cs="Miriam" w:hint="cs"/>
                      <w:sz w:val="18"/>
                      <w:szCs w:val="18"/>
                      <w:rtl/>
                    </w:rPr>
                    <w:t>ובותיו של עד</w:t>
                  </w:r>
                </w:p>
              </w:txbxContent>
            </v:textbox>
            <w10:anchorlock/>
          </v:rect>
        </w:pict>
      </w:r>
      <w:r>
        <w:rPr>
          <w:rStyle w:val="big-number"/>
          <w:rFonts w:cs="Miriam"/>
          <w:rtl/>
        </w:rPr>
        <w:t>7.</w:t>
      </w:r>
      <w:r>
        <w:rPr>
          <w:rStyle w:val="big-number"/>
          <w:rFonts w:cs="Miriam"/>
          <w:rtl/>
        </w:rPr>
        <w:tab/>
      </w:r>
      <w:r>
        <w:rPr>
          <w:rStyle w:val="default"/>
          <w:rFonts w:cs="FrankRuehl"/>
          <w:rtl/>
        </w:rPr>
        <w:t>עד</w:t>
      </w:r>
      <w:r>
        <w:rPr>
          <w:rStyle w:val="default"/>
          <w:rFonts w:cs="FrankRuehl" w:hint="cs"/>
          <w:rtl/>
        </w:rPr>
        <w:t xml:space="preserve"> המעיד בבוררות חייב לענות תשובות מלאות ונכונות על כל השאלות שנשאל מלבד אם יש בהן כדי להפלילו.</w:t>
      </w:r>
    </w:p>
    <w:p w14:paraId="18364E0E" w14:textId="77777777" w:rsidR="00EE372A" w:rsidRDefault="00EE372A">
      <w:pPr>
        <w:pStyle w:val="P00"/>
        <w:spacing w:before="72"/>
        <w:ind w:left="0" w:right="1134"/>
        <w:rPr>
          <w:rStyle w:val="default"/>
          <w:rFonts w:cs="FrankRuehl"/>
          <w:rtl/>
        </w:rPr>
      </w:pPr>
      <w:bookmarkStart w:id="10" w:name="Seif8"/>
      <w:bookmarkEnd w:id="10"/>
      <w:r>
        <w:rPr>
          <w:lang w:val="he-IL"/>
        </w:rPr>
        <w:pict w14:anchorId="25C9FA76">
          <v:rect id="_x0000_s1036" style="position:absolute;left:0;text-align:left;margin-left:464.5pt;margin-top:8.05pt;width:75.05pt;height:16pt;z-index:251653632" o:allowincell="f" filled="f" stroked="f" strokecolor="lime" strokeweight=".25pt">
            <v:textbox inset="0,0,0,0">
              <w:txbxContent>
                <w:p w14:paraId="3CC1841B" w14:textId="77777777" w:rsidR="00EE372A" w:rsidRDefault="00EE372A">
                  <w:pPr>
                    <w:spacing w:line="160" w:lineRule="exact"/>
                    <w:jc w:val="left"/>
                    <w:rPr>
                      <w:rFonts w:cs="Miriam"/>
                      <w:noProof/>
                      <w:sz w:val="18"/>
                      <w:szCs w:val="18"/>
                      <w:rtl/>
                    </w:rPr>
                  </w:pPr>
                  <w:r>
                    <w:rPr>
                      <w:rFonts w:cs="Miriam"/>
                      <w:sz w:val="18"/>
                      <w:szCs w:val="18"/>
                      <w:rtl/>
                    </w:rPr>
                    <w:t>בי</w:t>
                  </w:r>
                  <w:r>
                    <w:rPr>
                      <w:rFonts w:cs="Miriam" w:hint="cs"/>
                      <w:sz w:val="18"/>
                      <w:szCs w:val="18"/>
                      <w:rtl/>
                    </w:rPr>
                    <w:t>טול ההזמנה</w:t>
                  </w:r>
                </w:p>
              </w:txbxContent>
            </v:textbox>
            <w10:anchorlock/>
          </v:rect>
        </w:pict>
      </w:r>
      <w:r>
        <w:rPr>
          <w:rtl/>
          <w:lang w:val="he-IL"/>
        </w:rPr>
        <w:t>8</w:t>
      </w:r>
      <w:r>
        <w:rPr>
          <w:rStyle w:val="default"/>
          <w:rFonts w:cs="FrankRuehl"/>
          <w:rtl/>
        </w:rPr>
        <w:t>.</w:t>
      </w:r>
      <w:r>
        <w:rPr>
          <w:rStyle w:val="default"/>
          <w:rFonts w:cs="FrankRuehl"/>
          <w:rtl/>
        </w:rPr>
        <w:tab/>
        <w:t>ה</w:t>
      </w:r>
      <w:r>
        <w:rPr>
          <w:rStyle w:val="default"/>
          <w:rFonts w:cs="FrankRuehl" w:hint="cs"/>
          <w:rtl/>
        </w:rPr>
        <w:t>וזמן עד על ידי בורר, רשאי הרשם, על פי בקשת עד, לבטל את ה</w:t>
      </w:r>
      <w:r>
        <w:rPr>
          <w:rStyle w:val="default"/>
          <w:rFonts w:cs="FrankRuehl"/>
          <w:rtl/>
        </w:rPr>
        <w:t>הז</w:t>
      </w:r>
      <w:r>
        <w:rPr>
          <w:rStyle w:val="default"/>
          <w:rFonts w:cs="FrankRuehl" w:hint="cs"/>
          <w:rtl/>
        </w:rPr>
        <w:t>מנה אם ראה שהיא באה תוך שימוש לרעה בהליכי הבוררות.</w:t>
      </w:r>
    </w:p>
    <w:p w14:paraId="765D321B" w14:textId="77777777" w:rsidR="00EE372A" w:rsidRDefault="00EE372A">
      <w:pPr>
        <w:pStyle w:val="P00"/>
        <w:spacing w:before="72"/>
        <w:ind w:left="0" w:right="1134"/>
        <w:rPr>
          <w:rStyle w:val="default"/>
          <w:rFonts w:cs="FrankRuehl"/>
          <w:rtl/>
        </w:rPr>
      </w:pPr>
      <w:bookmarkStart w:id="11" w:name="Seif9"/>
      <w:bookmarkEnd w:id="11"/>
      <w:r>
        <w:rPr>
          <w:lang w:val="he-IL"/>
        </w:rPr>
        <w:pict w14:anchorId="509A4E7E">
          <v:rect id="_x0000_s1037" style="position:absolute;left:0;text-align:left;margin-left:464.5pt;margin-top:8.05pt;width:75.05pt;height:13.85pt;z-index:251654656" o:allowincell="f" filled="f" stroked="f" strokecolor="lime" strokeweight=".25pt">
            <v:textbox style="mso-next-textbox:#_x0000_s1037" inset="0,0,0,0">
              <w:txbxContent>
                <w:p w14:paraId="7E7DE010" w14:textId="77777777" w:rsidR="00EE372A" w:rsidRDefault="00EE372A">
                  <w:pPr>
                    <w:spacing w:line="160" w:lineRule="exact"/>
                    <w:jc w:val="left"/>
                    <w:rPr>
                      <w:rFonts w:cs="Miriam"/>
                      <w:noProof/>
                      <w:sz w:val="18"/>
                      <w:szCs w:val="18"/>
                      <w:rtl/>
                    </w:rPr>
                  </w:pPr>
                  <w:r>
                    <w:rPr>
                      <w:rFonts w:cs="Miriam"/>
                      <w:sz w:val="18"/>
                      <w:szCs w:val="18"/>
                      <w:rtl/>
                    </w:rPr>
                    <w:t>דר</w:t>
                  </w:r>
                  <w:r>
                    <w:rPr>
                      <w:rFonts w:cs="Miriam" w:hint="cs"/>
                      <w:sz w:val="18"/>
                      <w:szCs w:val="18"/>
                      <w:rtl/>
                    </w:rPr>
                    <w:t>כי גביית עדות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דותו של עד או של צד לסכסוך תיגבה בכתב ותירשם ביד </w:t>
      </w:r>
      <w:r>
        <w:rPr>
          <w:rStyle w:val="default"/>
          <w:rFonts w:cs="FrankRuehl"/>
          <w:rtl/>
        </w:rPr>
        <w:t>ה</w:t>
      </w:r>
      <w:r>
        <w:rPr>
          <w:rStyle w:val="default"/>
          <w:rFonts w:cs="FrankRuehl" w:hint="cs"/>
          <w:rtl/>
        </w:rPr>
        <w:t>בורר או מי שהוא הורה.</w:t>
      </w:r>
    </w:p>
    <w:p w14:paraId="70583526"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בורר יזהיר את העד, לפני שיעיד, כי עליו להעיד אמת, שאם לא כן יהא צפוי לעונש הקבוע בדין.</w:t>
      </w:r>
    </w:p>
    <w:p w14:paraId="02FBD44A" w14:textId="77777777" w:rsidR="00EE372A" w:rsidRDefault="00EE372A">
      <w:pPr>
        <w:pStyle w:val="P00"/>
        <w:spacing w:before="72"/>
        <w:ind w:left="0" w:right="1134"/>
        <w:rPr>
          <w:rStyle w:val="default"/>
          <w:rFonts w:cs="FrankRuehl"/>
          <w:rtl/>
        </w:rPr>
      </w:pPr>
      <w:bookmarkStart w:id="12" w:name="Seif10"/>
      <w:bookmarkEnd w:id="12"/>
      <w:r>
        <w:rPr>
          <w:lang w:val="he-IL"/>
        </w:rPr>
        <w:pict w14:anchorId="4AC21881">
          <v:rect id="_x0000_s1038" style="position:absolute;left:0;text-align:left;margin-left:464.5pt;margin-top:8.05pt;width:75.05pt;height:8pt;z-index:251655680" o:allowincell="f" filled="f" stroked="f" strokecolor="lime" strokeweight=".25pt">
            <v:textbox inset="0,0,0,0">
              <w:txbxContent>
                <w:p w14:paraId="17016495" w14:textId="77777777" w:rsidR="00EE372A" w:rsidRDefault="00EE372A">
                  <w:pPr>
                    <w:spacing w:line="160" w:lineRule="exact"/>
                    <w:jc w:val="left"/>
                    <w:rPr>
                      <w:rFonts w:cs="Miriam"/>
                      <w:noProof/>
                      <w:sz w:val="18"/>
                      <w:szCs w:val="18"/>
                      <w:rtl/>
                    </w:rPr>
                  </w:pPr>
                  <w:r>
                    <w:rPr>
                      <w:rFonts w:cs="Miriam"/>
                      <w:sz w:val="18"/>
                      <w:szCs w:val="18"/>
                      <w:rtl/>
                    </w:rPr>
                    <w:t>די</w:t>
                  </w:r>
                  <w:r>
                    <w:rPr>
                      <w:rFonts w:cs="Miriam" w:hint="cs"/>
                      <w:sz w:val="18"/>
                      <w:szCs w:val="18"/>
                      <w:rtl/>
                    </w:rPr>
                    <w:t>ון בהעדר צד</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ד לסכסוך שהוזמן כ</w:t>
      </w:r>
      <w:r>
        <w:rPr>
          <w:rStyle w:val="default"/>
          <w:rFonts w:cs="FrankRuehl"/>
          <w:rtl/>
        </w:rPr>
        <w:t>די</w:t>
      </w:r>
      <w:r>
        <w:rPr>
          <w:rStyle w:val="default"/>
          <w:rFonts w:cs="FrankRuehl" w:hint="cs"/>
          <w:rtl/>
        </w:rPr>
        <w:t>ן לישיבה פלונית ולא התייצב, רשאי הבורר לדחות את הדיון או לדון באותה ישיבה בסכסוך בהעדרו; עד שנ</w:t>
      </w:r>
      <w:r>
        <w:rPr>
          <w:rStyle w:val="default"/>
          <w:rFonts w:cs="FrankRuehl"/>
          <w:rtl/>
        </w:rPr>
        <w:t>ד</w:t>
      </w:r>
      <w:r>
        <w:rPr>
          <w:rStyle w:val="default"/>
          <w:rFonts w:cs="FrankRuehl" w:hint="cs"/>
          <w:rtl/>
        </w:rPr>
        <w:t>רש לטעון טענותיו במועד שנקבע לכך ולא עשה כן, רשאי הבורר לדחות את הדיון או לפסוק בסכסוך בהעדרו.</w:t>
      </w:r>
    </w:p>
    <w:p w14:paraId="120BDA80"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בורר לא יקיים ישיבה בהעדר צד אלא א</w:t>
      </w:r>
      <w:r>
        <w:rPr>
          <w:rStyle w:val="default"/>
          <w:rFonts w:cs="FrankRuehl"/>
          <w:rtl/>
        </w:rPr>
        <w:t xml:space="preserve">ם </w:t>
      </w:r>
      <w:r>
        <w:rPr>
          <w:rStyle w:val="default"/>
          <w:rFonts w:cs="FrankRuehl" w:hint="cs"/>
          <w:rtl/>
        </w:rPr>
        <w:t>הזהיר אותו, בכתב או בעל-פה, שידון באותה ישיבה בהעדרו אם לא יתייצב.</w:t>
      </w:r>
    </w:p>
    <w:p w14:paraId="6BCA1C25" w14:textId="77777777" w:rsidR="00EE372A" w:rsidRDefault="00EE372A">
      <w:pPr>
        <w:pStyle w:val="P00"/>
        <w:spacing w:before="72"/>
        <w:ind w:left="0" w:right="1134"/>
        <w:rPr>
          <w:rStyle w:val="default"/>
          <w:rFonts w:cs="FrankRuehl"/>
          <w:rtl/>
        </w:rPr>
      </w:pPr>
      <w:bookmarkStart w:id="13" w:name="Seif11"/>
      <w:bookmarkEnd w:id="13"/>
      <w:r>
        <w:rPr>
          <w:lang w:val="he-IL"/>
        </w:rPr>
        <w:pict w14:anchorId="1332F9D0">
          <v:rect id="_x0000_s1039" style="position:absolute;left:0;text-align:left;margin-left:464.5pt;margin-top:8.05pt;width:75.05pt;height:10.45pt;z-index:251656704" o:allowincell="f" filled="f" stroked="f" strokecolor="lime" strokeweight=".25pt">
            <v:textbox inset="0,0,0,0">
              <w:txbxContent>
                <w:p w14:paraId="606811B9" w14:textId="77777777" w:rsidR="00EE372A" w:rsidRDefault="00EE372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ות דעת </w:t>
                  </w:r>
                  <w:r>
                    <w:rPr>
                      <w:rFonts w:cs="Miriam"/>
                      <w:sz w:val="18"/>
                      <w:szCs w:val="18"/>
                      <w:rtl/>
                    </w:rPr>
                    <w:t>של</w:t>
                  </w:r>
                  <w:r>
                    <w:rPr>
                      <w:rFonts w:cs="Miriam" w:hint="cs"/>
                      <w:sz w:val="18"/>
                      <w:szCs w:val="18"/>
                      <w:rtl/>
                    </w:rPr>
                    <w:t xml:space="preserve"> מומחה</w:t>
                  </w:r>
                </w:p>
              </w:txbxContent>
            </v:textbox>
            <w10:anchorlock/>
          </v:rect>
        </w:pict>
      </w:r>
      <w:r>
        <w:rPr>
          <w:rStyle w:val="big-number"/>
          <w:rFonts w:cs="Miriam"/>
          <w:rtl/>
        </w:rPr>
        <w:t>11.</w:t>
      </w:r>
      <w:r>
        <w:rPr>
          <w:rStyle w:val="big-number"/>
          <w:rFonts w:cs="Miriam"/>
          <w:rtl/>
        </w:rPr>
        <w:tab/>
      </w:r>
      <w:r>
        <w:rPr>
          <w:rStyle w:val="default"/>
          <w:rFonts w:cs="FrankRuehl"/>
          <w:rtl/>
        </w:rPr>
        <w:t>הי</w:t>
      </w:r>
      <w:r>
        <w:rPr>
          <w:rStyle w:val="default"/>
          <w:rFonts w:cs="FrankRuehl" w:hint="cs"/>
          <w:rtl/>
        </w:rPr>
        <w:t>תה הכרעת הסכסוך כרוכה בענין הטעון מומחיות, רשאי הבורר, בכל שלב משלבי הדיון ולאחר שנתן לצדדים הזדמנות נאותה לטעון טענותיהם, להורות על מסירת העניין לחוות דעתו של מומחה; עותק מחוות הד</w:t>
      </w:r>
      <w:r>
        <w:rPr>
          <w:rStyle w:val="default"/>
          <w:rFonts w:cs="FrankRuehl"/>
          <w:rtl/>
        </w:rPr>
        <w:t>עת</w:t>
      </w:r>
      <w:r>
        <w:rPr>
          <w:rStyle w:val="default"/>
          <w:rFonts w:cs="FrankRuehl" w:hint="cs"/>
          <w:rtl/>
        </w:rPr>
        <w:t xml:space="preserve"> של המומחה יימסר לצדדים והם רשאים להתנגד לה ולדרוש את חקירת המומחה כאילו </w:t>
      </w:r>
      <w:r>
        <w:rPr>
          <w:rStyle w:val="default"/>
          <w:rFonts w:cs="FrankRuehl"/>
          <w:rtl/>
        </w:rPr>
        <w:t>ה</w:t>
      </w:r>
      <w:r>
        <w:rPr>
          <w:rStyle w:val="default"/>
          <w:rFonts w:cs="FrankRuehl" w:hint="cs"/>
          <w:rtl/>
        </w:rPr>
        <w:t>יה עד מטעם הבורר; הבורר רשאי שלא לשמוע עדויות של מומחים אחרים לעניין שהוא מסר למומחה, אם הודיע על כך מראש לצדדים והם לא התנגדו.</w:t>
      </w:r>
    </w:p>
    <w:p w14:paraId="43A69866" w14:textId="77777777" w:rsidR="00EE372A" w:rsidRDefault="00EE372A">
      <w:pPr>
        <w:pStyle w:val="P00"/>
        <w:spacing w:before="72"/>
        <w:ind w:left="0" w:right="1134"/>
        <w:rPr>
          <w:rStyle w:val="default"/>
          <w:rFonts w:cs="FrankRuehl"/>
          <w:rtl/>
        </w:rPr>
      </w:pPr>
      <w:bookmarkStart w:id="14" w:name="Seif12"/>
      <w:bookmarkEnd w:id="14"/>
      <w:r>
        <w:rPr>
          <w:lang w:val="he-IL"/>
        </w:rPr>
        <w:pict w14:anchorId="25A65816">
          <v:rect id="_x0000_s1040" style="position:absolute;left:0;text-align:left;margin-left:464.5pt;margin-top:8.05pt;width:75.05pt;height:16pt;z-index:251657728" o:allowincell="f" filled="f" stroked="f" strokecolor="lime" strokeweight=".25pt">
            <v:textbox inset="0,0,0,0">
              <w:txbxContent>
                <w:p w14:paraId="38050E50" w14:textId="77777777" w:rsidR="00EE372A" w:rsidRDefault="00EE372A">
                  <w:pPr>
                    <w:spacing w:line="160" w:lineRule="exact"/>
                    <w:jc w:val="left"/>
                    <w:rPr>
                      <w:rFonts w:cs="Miriam"/>
                      <w:noProof/>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הבורר</w:t>
                  </w:r>
                </w:p>
              </w:txbxContent>
            </v:textbox>
            <w10:anchorlock/>
          </v:rect>
        </w:pict>
      </w:r>
      <w:r>
        <w:rPr>
          <w:rStyle w:val="big-number"/>
          <w:rFonts w:cs="Miriam"/>
          <w:rtl/>
        </w:rPr>
        <w:t>12.</w:t>
      </w:r>
      <w:r>
        <w:rPr>
          <w:rStyle w:val="big-number"/>
          <w:rFonts w:cs="Miriam"/>
          <w:rtl/>
        </w:rPr>
        <w:tab/>
      </w:r>
      <w:r>
        <w:rPr>
          <w:rStyle w:val="default"/>
          <w:rFonts w:cs="FrankRuehl"/>
          <w:rtl/>
        </w:rPr>
        <w:t>בו</w:t>
      </w:r>
      <w:r>
        <w:rPr>
          <w:rStyle w:val="default"/>
          <w:rFonts w:cs="FrankRuehl" w:hint="cs"/>
          <w:rtl/>
        </w:rPr>
        <w:t>רר שהסכים למינויו חייב לנהוג כלפי הצדדים בנאמ</w:t>
      </w:r>
      <w:r>
        <w:rPr>
          <w:rStyle w:val="default"/>
          <w:rFonts w:cs="FrankRuehl"/>
          <w:rtl/>
        </w:rPr>
        <w:t>נו</w:t>
      </w:r>
      <w:r>
        <w:rPr>
          <w:rStyle w:val="default"/>
          <w:rFonts w:cs="FrankRuehl" w:hint="cs"/>
          <w:rtl/>
        </w:rPr>
        <w:t>ת.</w:t>
      </w:r>
    </w:p>
    <w:p w14:paraId="69315CB1" w14:textId="77777777" w:rsidR="00EE372A" w:rsidRDefault="00EE372A">
      <w:pPr>
        <w:pStyle w:val="P00"/>
        <w:spacing w:before="72"/>
        <w:ind w:left="0" w:right="1134"/>
        <w:rPr>
          <w:rStyle w:val="default"/>
          <w:rFonts w:cs="FrankRuehl"/>
          <w:rtl/>
        </w:rPr>
      </w:pPr>
      <w:bookmarkStart w:id="15" w:name="Seif13"/>
      <w:bookmarkEnd w:id="15"/>
      <w:r>
        <w:rPr>
          <w:lang w:val="he-IL"/>
        </w:rPr>
        <w:pict w14:anchorId="798E0E51">
          <v:rect id="_x0000_s1041" style="position:absolute;left:0;text-align:left;margin-left:464.5pt;margin-top:8.05pt;width:75.05pt;height:16pt;z-index:251658752" o:allowincell="f" filled="f" stroked="f" strokecolor="lime" strokeweight=".25pt">
            <v:textbox inset="0,0,0,0">
              <w:txbxContent>
                <w:p w14:paraId="4889F6A8" w14:textId="77777777" w:rsidR="00EE372A" w:rsidRDefault="00EE372A">
                  <w:pPr>
                    <w:spacing w:line="160" w:lineRule="exact"/>
                    <w:jc w:val="left"/>
                    <w:rPr>
                      <w:rFonts w:cs="Miriam"/>
                      <w:noProof/>
                      <w:sz w:val="18"/>
                      <w:szCs w:val="18"/>
                      <w:rtl/>
                    </w:rPr>
                  </w:pPr>
                  <w:r>
                    <w:rPr>
                      <w:rFonts w:cs="Miriam"/>
                      <w:sz w:val="18"/>
                      <w:szCs w:val="18"/>
                      <w:rtl/>
                    </w:rPr>
                    <w:t>סמ</w:t>
                  </w:r>
                  <w:r>
                    <w:rPr>
                      <w:rFonts w:cs="Miriam" w:hint="cs"/>
                      <w:sz w:val="18"/>
                      <w:szCs w:val="18"/>
                      <w:rtl/>
                    </w:rPr>
                    <w:t>כויות הבורר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בורר יפעל בדרך הנראית לו מו</w:t>
      </w:r>
      <w:r>
        <w:rPr>
          <w:rStyle w:val="default"/>
          <w:rFonts w:cs="FrankRuehl"/>
          <w:rtl/>
        </w:rPr>
        <w:t>ע</w:t>
      </w:r>
      <w:r>
        <w:rPr>
          <w:rStyle w:val="default"/>
          <w:rFonts w:cs="FrankRuehl" w:hint="cs"/>
          <w:rtl/>
        </w:rPr>
        <w:t>ילה ביותר להכרעה צודקת ומהירה של הסכסוך ויפסוק לפי מיטב שפיטתו על פי החומר שבפניו; הבורר לא יהיה קשור בדיני הראיות או בסדרי הדין הנהוגים בבתי המשפט.</w:t>
      </w:r>
    </w:p>
    <w:p w14:paraId="25BDD1C3"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בורר רשאי לתת פסק הצהרתי, צו עשה או לא תעשה, צו ביצוע בעין</w:t>
      </w:r>
      <w:r>
        <w:rPr>
          <w:rStyle w:val="default"/>
          <w:rFonts w:cs="FrankRuehl"/>
          <w:rtl/>
        </w:rPr>
        <w:t xml:space="preserve"> ו</w:t>
      </w:r>
      <w:r>
        <w:rPr>
          <w:rStyle w:val="default"/>
          <w:rFonts w:cs="FrankRuehl" w:hint="cs"/>
          <w:rtl/>
        </w:rPr>
        <w:t>כל סעד אחר שבית המשפט מוסמך לתתו, וכן רש</w:t>
      </w:r>
      <w:r>
        <w:rPr>
          <w:rStyle w:val="default"/>
          <w:rFonts w:cs="FrankRuehl"/>
          <w:rtl/>
        </w:rPr>
        <w:t>א</w:t>
      </w:r>
      <w:r>
        <w:rPr>
          <w:rStyle w:val="default"/>
          <w:rFonts w:cs="FrankRuehl" w:hint="cs"/>
          <w:rtl/>
        </w:rPr>
        <w:t>י הוא, באישור הרשם, לתת פסקי ביניים המכריעים בנושא הבוררות חלקים חלקים.</w:t>
      </w:r>
    </w:p>
    <w:p w14:paraId="7E24E90C"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בורר רשאי להורות בדבר הוצאות הצדדים, לרבות שכר טרחת עורך-דין, ובדבר שכר הבורר והוצאותיו, כולם או מקצתם, והוא רשאי להורות על הפקדת סכומי</w:t>
      </w:r>
      <w:r>
        <w:rPr>
          <w:rStyle w:val="default"/>
          <w:rFonts w:cs="FrankRuehl"/>
          <w:rtl/>
        </w:rPr>
        <w:t xml:space="preserve">ם </w:t>
      </w:r>
      <w:r>
        <w:rPr>
          <w:rStyle w:val="default"/>
          <w:rFonts w:cs="FrankRuehl" w:hint="cs"/>
          <w:rtl/>
        </w:rPr>
        <w:t>אלה או על מתן ערובה לתשלומם; הצדדים חייב</w:t>
      </w:r>
      <w:r>
        <w:rPr>
          <w:rStyle w:val="default"/>
          <w:rFonts w:cs="FrankRuehl"/>
          <w:rtl/>
        </w:rPr>
        <w:t>י</w:t>
      </w:r>
      <w:r>
        <w:rPr>
          <w:rStyle w:val="default"/>
          <w:rFonts w:cs="FrankRuehl" w:hint="cs"/>
          <w:rtl/>
        </w:rPr>
        <w:t>ם לשלם לבורר שכרו והוצאותיו חלק בחלק, זולת אם הבורר הורה הוראה אחרת.</w:t>
      </w:r>
    </w:p>
    <w:p w14:paraId="690D6EF0" w14:textId="77777777" w:rsidR="00EE372A" w:rsidRDefault="00EE372A">
      <w:pPr>
        <w:pStyle w:val="P00"/>
        <w:spacing w:before="72"/>
        <w:ind w:left="0" w:right="1134"/>
        <w:rPr>
          <w:rStyle w:val="default"/>
          <w:rFonts w:cs="FrankRuehl"/>
          <w:rtl/>
        </w:rPr>
      </w:pPr>
      <w:bookmarkStart w:id="16" w:name="Seif14"/>
      <w:bookmarkEnd w:id="16"/>
      <w:r>
        <w:rPr>
          <w:lang w:val="he-IL"/>
        </w:rPr>
        <w:pict w14:anchorId="59C840D2">
          <v:rect id="_x0000_s1042" style="position:absolute;left:0;text-align:left;margin-left:464.5pt;margin-top:8.05pt;width:75.05pt;height:16pt;z-index:251659776" o:allowincell="f" filled="f" stroked="f" strokecolor="lime" strokeweight=".25pt">
            <v:textbox inset="0,0,0,0">
              <w:txbxContent>
                <w:p w14:paraId="74710096" w14:textId="77777777" w:rsidR="00EE372A" w:rsidRDefault="00EE372A">
                  <w:pPr>
                    <w:spacing w:line="160" w:lineRule="exact"/>
                    <w:jc w:val="left"/>
                    <w:rPr>
                      <w:rFonts w:cs="Miriam"/>
                      <w:noProof/>
                      <w:sz w:val="18"/>
                      <w:szCs w:val="18"/>
                      <w:rtl/>
                    </w:rPr>
                  </w:pPr>
                  <w:r>
                    <w:rPr>
                      <w:rFonts w:cs="Miriam"/>
                      <w:sz w:val="18"/>
                      <w:szCs w:val="18"/>
                      <w:rtl/>
                    </w:rPr>
                    <w:t>שכ</w:t>
                  </w:r>
                  <w:r>
                    <w:rPr>
                      <w:rFonts w:cs="Miriam" w:hint="cs"/>
                      <w:sz w:val="18"/>
                      <w:szCs w:val="18"/>
                      <w:rtl/>
                    </w:rPr>
                    <w:t>ר הבורר</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צדדים חייבים לשלם לבורר את שכרו והוצאותיו (להלן </w:t>
      </w:r>
      <w:r w:rsidR="001C5C5A">
        <w:rPr>
          <w:rStyle w:val="default"/>
          <w:rFonts w:cs="FrankRuehl"/>
          <w:rtl/>
        </w:rPr>
        <w:t>–</w:t>
      </w:r>
      <w:r>
        <w:rPr>
          <w:rStyle w:val="default"/>
          <w:rFonts w:cs="FrankRuehl"/>
          <w:rtl/>
        </w:rPr>
        <w:t xml:space="preserve"> </w:t>
      </w:r>
      <w:r>
        <w:rPr>
          <w:rStyle w:val="default"/>
          <w:rFonts w:cs="FrankRuehl" w:hint="cs"/>
          <w:rtl/>
        </w:rPr>
        <w:t>השכר) במידה שאישר אותם הרשם, בסכומים או בחלקים ובמועדים שקבע הבורר, והוא כשאין כוונה</w:t>
      </w:r>
      <w:r>
        <w:rPr>
          <w:rStyle w:val="default"/>
          <w:rFonts w:cs="FrankRuehl"/>
          <w:rtl/>
        </w:rPr>
        <w:t xml:space="preserve"> א</w:t>
      </w:r>
      <w:r>
        <w:rPr>
          <w:rStyle w:val="default"/>
          <w:rFonts w:cs="FrankRuehl" w:hint="cs"/>
          <w:rtl/>
        </w:rPr>
        <w:t>חרת משתמעת מהבוררות.</w:t>
      </w:r>
    </w:p>
    <w:p w14:paraId="4365D783"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רשאי לשלם לבורר לחשבון שכרו כל סכום שצד אחר מפגר בתשלומו, ומשעשה כן זכאי הוא בכל עת לחזור אל הצד האחר ולהיפרע ממנו מה ששילם.</w:t>
      </w:r>
    </w:p>
    <w:p w14:paraId="35098CC4" w14:textId="77777777" w:rsidR="00EE372A" w:rsidRDefault="00EE372A">
      <w:pPr>
        <w:pStyle w:val="P00"/>
        <w:spacing w:before="72"/>
        <w:ind w:left="0" w:right="1134"/>
        <w:rPr>
          <w:rStyle w:val="default"/>
          <w:rFonts w:cs="FrankRuehl"/>
          <w:rtl/>
        </w:rPr>
      </w:pPr>
      <w:bookmarkStart w:id="17" w:name="Seif15"/>
      <w:bookmarkEnd w:id="17"/>
      <w:r>
        <w:rPr>
          <w:lang w:val="he-IL"/>
        </w:rPr>
        <w:pict w14:anchorId="726B9AD1">
          <v:rect id="_x0000_s1043" style="position:absolute;left:0;text-align:left;margin-left:464.5pt;margin-top:8.05pt;width:75.05pt;height:11.1pt;z-index:251660800" o:allowincell="f" filled="f" stroked="f" strokecolor="lime" strokeweight=".25pt">
            <v:textbox inset="0,0,0,0">
              <w:txbxContent>
                <w:p w14:paraId="160AC2F7" w14:textId="77777777" w:rsidR="00EE372A" w:rsidRDefault="00EE372A">
                  <w:pPr>
                    <w:spacing w:line="160" w:lineRule="exact"/>
                    <w:jc w:val="left"/>
                    <w:rPr>
                      <w:rFonts w:cs="Miriam"/>
                      <w:noProof/>
                      <w:sz w:val="18"/>
                      <w:szCs w:val="18"/>
                      <w:rtl/>
                    </w:rPr>
                  </w:pPr>
                  <w:r>
                    <w:rPr>
                      <w:rFonts w:cs="Miriam"/>
                      <w:sz w:val="18"/>
                      <w:szCs w:val="18"/>
                      <w:rtl/>
                    </w:rPr>
                    <w:t>הפ</w:t>
                  </w:r>
                  <w:r>
                    <w:rPr>
                      <w:rFonts w:cs="Miriam" w:hint="cs"/>
                      <w:sz w:val="18"/>
                      <w:szCs w:val="18"/>
                      <w:rtl/>
                    </w:rPr>
                    <w:t>חתת שכר והוצאות</w:t>
                  </w:r>
                </w:p>
              </w:txbxContent>
            </v:textbox>
            <w10:anchorlock/>
          </v:rect>
        </w:pict>
      </w:r>
      <w:r>
        <w:rPr>
          <w:rStyle w:val="big-number"/>
          <w:rFonts w:cs="Miriam"/>
          <w:rtl/>
        </w:rPr>
        <w:t>15.</w:t>
      </w:r>
      <w:r>
        <w:rPr>
          <w:rStyle w:val="big-number"/>
          <w:rFonts w:cs="Miriam"/>
          <w:rtl/>
        </w:rPr>
        <w:tab/>
      </w:r>
      <w:r>
        <w:rPr>
          <w:rStyle w:val="default"/>
          <w:rFonts w:cs="FrankRuehl"/>
          <w:rtl/>
        </w:rPr>
        <w:t>הר</w:t>
      </w:r>
      <w:r>
        <w:rPr>
          <w:rStyle w:val="default"/>
          <w:rFonts w:cs="FrankRuehl" w:hint="cs"/>
          <w:rtl/>
        </w:rPr>
        <w:t>שם רשאי, על פי בקשת צד, להפחית שכר או הוצאות שקבע הבורר, אם ראה שהשכר</w:t>
      </w:r>
      <w:r>
        <w:rPr>
          <w:rStyle w:val="default"/>
          <w:rFonts w:cs="FrankRuehl"/>
          <w:rtl/>
        </w:rPr>
        <w:t xml:space="preserve"> א</w:t>
      </w:r>
      <w:r>
        <w:rPr>
          <w:rStyle w:val="default"/>
          <w:rFonts w:cs="FrankRuehl" w:hint="cs"/>
          <w:rtl/>
        </w:rPr>
        <w:t>ו ההוצא</w:t>
      </w:r>
      <w:r>
        <w:rPr>
          <w:rStyle w:val="default"/>
          <w:rFonts w:cs="FrankRuehl"/>
          <w:rtl/>
        </w:rPr>
        <w:t>ו</w:t>
      </w:r>
      <w:r>
        <w:rPr>
          <w:rStyle w:val="default"/>
          <w:rFonts w:cs="FrankRuehl" w:hint="cs"/>
          <w:rtl/>
        </w:rPr>
        <w:t>ת מוגזמים, ורשאי הוא לפי זה לצוות על החזרת סכומים ששולמו לחשבון השכר או ההוצאות; החלטתו של הרשם בענין קביעת השכר וההוצאות תהיה סופית.</w:t>
      </w:r>
    </w:p>
    <w:p w14:paraId="4A69FC51" w14:textId="77777777" w:rsidR="00EE372A" w:rsidRDefault="00EE372A">
      <w:pPr>
        <w:pStyle w:val="P00"/>
        <w:spacing w:before="72"/>
        <w:ind w:left="0" w:right="1134"/>
        <w:rPr>
          <w:rStyle w:val="default"/>
          <w:rFonts w:cs="FrankRuehl"/>
          <w:rtl/>
        </w:rPr>
      </w:pPr>
      <w:bookmarkStart w:id="18" w:name="Seif16"/>
      <w:bookmarkEnd w:id="18"/>
      <w:r>
        <w:rPr>
          <w:lang w:val="he-IL"/>
        </w:rPr>
        <w:pict w14:anchorId="251F3EA9">
          <v:rect id="_x0000_s1044" style="position:absolute;left:0;text-align:left;margin-left:464.5pt;margin-top:8.05pt;width:75.05pt;height:8pt;z-index:251661824" o:allowincell="f" filled="f" stroked="f" strokecolor="lime" strokeweight=".25pt">
            <v:textbox inset="0,0,0,0">
              <w:txbxContent>
                <w:p w14:paraId="5AF7B00E" w14:textId="77777777" w:rsidR="00EE372A" w:rsidRDefault="00EE372A">
                  <w:pPr>
                    <w:spacing w:line="160" w:lineRule="exact"/>
                    <w:jc w:val="left"/>
                    <w:rPr>
                      <w:rFonts w:cs="Miriam"/>
                      <w:noProof/>
                      <w:sz w:val="18"/>
                      <w:szCs w:val="18"/>
                      <w:rtl/>
                    </w:rPr>
                  </w:pPr>
                  <w:r>
                    <w:rPr>
                      <w:rFonts w:cs="Miriam"/>
                      <w:sz w:val="18"/>
                      <w:szCs w:val="18"/>
                      <w:rtl/>
                    </w:rPr>
                    <w:t>זכ</w:t>
                  </w:r>
                  <w:r>
                    <w:rPr>
                      <w:rFonts w:cs="Miriam" w:hint="cs"/>
                      <w:sz w:val="18"/>
                      <w:szCs w:val="18"/>
                      <w:rtl/>
                    </w:rPr>
                    <w:t>ות עיכוב</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שולם לבורר שכרו, כולו או מקצתו, במועדו, רשאי הבורר לעכב את המשך הדיון או את מתן פסק הבוררות או מסירת</w:t>
      </w:r>
      <w:r>
        <w:rPr>
          <w:rStyle w:val="default"/>
          <w:rFonts w:cs="FrankRuehl"/>
          <w:rtl/>
        </w:rPr>
        <w:t xml:space="preserve">ו </w:t>
      </w:r>
      <w:r>
        <w:rPr>
          <w:rStyle w:val="default"/>
          <w:rFonts w:cs="FrankRuehl" w:hint="cs"/>
          <w:rtl/>
        </w:rPr>
        <w:t>עד שישולם הסכום שבפיגור.</w:t>
      </w:r>
    </w:p>
    <w:p w14:paraId="5F018358"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שתמש הבורר בסמכותו לפי תקנת משנה (א), רשאי הרשם להורות לבורר להמשיך בדיון או לתת את פסק הבוררות, או למסרו, הכל לפי הענין, בתנאי שהשכר כולו או מקצתו יופקד בחשבון של הרשם או שתינתן ערובה לתשלומו.</w:t>
      </w:r>
    </w:p>
    <w:p w14:paraId="5818B197" w14:textId="77777777" w:rsidR="00EE372A" w:rsidRDefault="00EE372A">
      <w:pPr>
        <w:pStyle w:val="P00"/>
        <w:spacing w:before="72"/>
        <w:ind w:left="0" w:right="1134"/>
        <w:rPr>
          <w:rStyle w:val="default"/>
          <w:rFonts w:cs="FrankRuehl"/>
          <w:rtl/>
        </w:rPr>
      </w:pPr>
      <w:bookmarkStart w:id="19" w:name="Seif17"/>
      <w:bookmarkEnd w:id="19"/>
      <w:r>
        <w:rPr>
          <w:lang w:val="he-IL"/>
        </w:rPr>
        <w:pict w14:anchorId="3AB3A140">
          <v:rect id="_x0000_s1045" style="position:absolute;left:0;text-align:left;margin-left:464.5pt;margin-top:8.05pt;width:75.05pt;height:24.05pt;z-index:251662848" o:allowincell="f" filled="f" stroked="f" strokecolor="lime" strokeweight=".25pt">
            <v:textbox inset="0,0,0,0">
              <w:txbxContent>
                <w:p w14:paraId="4180496F" w14:textId="77777777" w:rsidR="00EE372A" w:rsidRDefault="00EE372A">
                  <w:pPr>
                    <w:spacing w:line="160" w:lineRule="exact"/>
                    <w:jc w:val="left"/>
                    <w:rPr>
                      <w:rFonts w:cs="Miriam"/>
                      <w:noProof/>
                      <w:sz w:val="18"/>
                      <w:szCs w:val="18"/>
                      <w:rtl/>
                    </w:rPr>
                  </w:pPr>
                  <w:r>
                    <w:rPr>
                      <w:rFonts w:cs="Miriam"/>
                      <w:sz w:val="18"/>
                      <w:szCs w:val="18"/>
                      <w:rtl/>
                    </w:rPr>
                    <w:t>שכ</w:t>
                  </w:r>
                  <w:r>
                    <w:rPr>
                      <w:rFonts w:cs="Miriam" w:hint="cs"/>
                      <w:sz w:val="18"/>
                      <w:szCs w:val="18"/>
                      <w:rtl/>
                    </w:rPr>
                    <w:t xml:space="preserve">רו של </w:t>
                  </w:r>
                  <w:r>
                    <w:rPr>
                      <w:rFonts w:cs="Miriam"/>
                      <w:sz w:val="18"/>
                      <w:szCs w:val="18"/>
                      <w:rtl/>
                    </w:rPr>
                    <w:t>בו</w:t>
                  </w:r>
                  <w:r>
                    <w:rPr>
                      <w:rFonts w:cs="Miriam" w:hint="cs"/>
                      <w:sz w:val="18"/>
                      <w:szCs w:val="18"/>
                      <w:rtl/>
                    </w:rPr>
                    <w:t>רר שהועבר מתפקי</w:t>
                  </w:r>
                  <w:r>
                    <w:rPr>
                      <w:rFonts w:cs="Miriam"/>
                      <w:sz w:val="18"/>
                      <w:szCs w:val="18"/>
                      <w:rtl/>
                    </w:rPr>
                    <w:t>ד</w:t>
                  </w:r>
                  <w:r>
                    <w:rPr>
                      <w:rFonts w:cs="Miriam" w:hint="cs"/>
                      <w:sz w:val="18"/>
                      <w:szCs w:val="18"/>
                      <w:rtl/>
                    </w:rPr>
                    <w:t>ו</w:t>
                  </w:r>
                </w:p>
              </w:txbxContent>
            </v:textbox>
            <w10:anchorlock/>
          </v:rect>
        </w:pict>
      </w:r>
      <w:r>
        <w:rPr>
          <w:rStyle w:val="big-number"/>
          <w:rFonts w:cs="Miriam"/>
          <w:rtl/>
        </w:rPr>
        <w:t>17.</w:t>
      </w:r>
      <w:r>
        <w:rPr>
          <w:rStyle w:val="big-number"/>
          <w:rFonts w:cs="Miriam"/>
          <w:rtl/>
        </w:rPr>
        <w:tab/>
      </w:r>
      <w:r>
        <w:rPr>
          <w:rStyle w:val="default"/>
          <w:rFonts w:cs="FrankRuehl"/>
          <w:rtl/>
        </w:rPr>
        <w:t>בו</w:t>
      </w:r>
      <w:r>
        <w:rPr>
          <w:rStyle w:val="default"/>
          <w:rFonts w:cs="FrankRuehl" w:hint="cs"/>
          <w:rtl/>
        </w:rPr>
        <w:t>רר שהועבר מתפקידו, רשא</w:t>
      </w:r>
      <w:r>
        <w:rPr>
          <w:rStyle w:val="default"/>
          <w:rFonts w:cs="FrankRuehl"/>
          <w:rtl/>
        </w:rPr>
        <w:t xml:space="preserve">י </w:t>
      </w:r>
      <w:r>
        <w:rPr>
          <w:rStyle w:val="default"/>
          <w:rFonts w:cs="FrankRuehl" w:hint="cs"/>
          <w:rtl/>
        </w:rPr>
        <w:t>הרשם, על פי בקשת צד, לקבוע אם הוא זכאי לשכרו, כולו או מקצתו, אם לאו, ורשאי הרשם לפי זה לצוות על החזרת סכומים ששולמו לבורר לחשבון שכרו.</w:t>
      </w:r>
    </w:p>
    <w:p w14:paraId="4661D9E7" w14:textId="77777777" w:rsidR="00EE372A" w:rsidRDefault="00EE372A">
      <w:pPr>
        <w:pStyle w:val="P00"/>
        <w:spacing w:before="72"/>
        <w:ind w:left="0" w:right="1134"/>
        <w:rPr>
          <w:rStyle w:val="default"/>
          <w:rFonts w:cs="FrankRuehl"/>
          <w:rtl/>
        </w:rPr>
      </w:pPr>
      <w:bookmarkStart w:id="20" w:name="Seif18"/>
      <w:bookmarkEnd w:id="20"/>
      <w:r>
        <w:rPr>
          <w:lang w:val="he-IL"/>
        </w:rPr>
        <w:pict w14:anchorId="183DF582">
          <v:rect id="_x0000_s1046" style="position:absolute;left:0;text-align:left;margin-left:464.5pt;margin-top:8.05pt;width:75.05pt;height:24pt;z-index:251663872" o:allowincell="f" filled="f" stroked="f" strokecolor="lime" strokeweight=".25pt">
            <v:textbox inset="0,0,0,0">
              <w:txbxContent>
                <w:p w14:paraId="6E3D0C08" w14:textId="77777777" w:rsidR="00EE372A" w:rsidRDefault="00EE372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ום הדיון </w:t>
                  </w:r>
                  <w:r>
                    <w:rPr>
                      <w:rFonts w:cs="Miriam"/>
                      <w:sz w:val="18"/>
                      <w:szCs w:val="18"/>
                      <w:rtl/>
                    </w:rPr>
                    <w:t>ומ</w:t>
                  </w:r>
                  <w:r>
                    <w:rPr>
                      <w:rFonts w:cs="Miriam" w:hint="cs"/>
                      <w:sz w:val="18"/>
                      <w:szCs w:val="18"/>
                      <w:rtl/>
                    </w:rPr>
                    <w:t>תן פסק בבוררות</w:t>
                  </w:r>
                </w:p>
                <w:p w14:paraId="3703904F" w14:textId="77777777" w:rsidR="00EE372A" w:rsidRDefault="00EE372A">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בורר חייב לסיים את הדיון בבוררות, להוציא פסק ולהמציאו לצדדים ולרשם תוך ששה חדשים מיום המינוי; הרשם רשאי, אם ר</w:t>
      </w:r>
      <w:r>
        <w:rPr>
          <w:rStyle w:val="default"/>
          <w:rFonts w:cs="FrankRuehl"/>
          <w:rtl/>
        </w:rPr>
        <w:t>אה</w:t>
      </w:r>
      <w:r>
        <w:rPr>
          <w:rStyle w:val="default"/>
          <w:rFonts w:cs="FrankRuehl" w:hint="cs"/>
          <w:rtl/>
        </w:rPr>
        <w:t xml:space="preserve"> טעם לכך, להאריך את התקופה האמורה. אי-הארכה בתום ששה החדשים לא תפגע בכשירות המינוי ובתוקפו של הפסק ובלבד שהרשם האריך את התקופה ושלח הודעה על כך לבורר.</w:t>
      </w:r>
    </w:p>
    <w:p w14:paraId="32F149E9" w14:textId="77777777" w:rsidR="00EE372A" w:rsidRDefault="00EE372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בורר רשאי לתקן בפס</w:t>
      </w:r>
      <w:r>
        <w:rPr>
          <w:rStyle w:val="default"/>
          <w:rFonts w:cs="FrankRuehl"/>
          <w:rtl/>
        </w:rPr>
        <w:t>ק</w:t>
      </w:r>
      <w:r>
        <w:rPr>
          <w:rStyle w:val="default"/>
          <w:rFonts w:cs="FrankRuehl" w:hint="cs"/>
          <w:rtl/>
        </w:rPr>
        <w:t xml:space="preserve"> כל טעות סופר.</w:t>
      </w:r>
    </w:p>
    <w:p w14:paraId="6DAD450F" w14:textId="77777777" w:rsidR="00EE372A" w:rsidRPr="001C5C5A" w:rsidRDefault="00EE372A">
      <w:pPr>
        <w:pStyle w:val="P00"/>
        <w:spacing w:before="0"/>
        <w:ind w:left="0" w:right="1134"/>
        <w:rPr>
          <w:rFonts w:cs="FrankRuehl" w:hint="cs"/>
          <w:b/>
          <w:bCs/>
          <w:vanish/>
          <w:szCs w:val="20"/>
          <w:shd w:val="clear" w:color="auto" w:fill="FFFF99"/>
          <w:rtl/>
        </w:rPr>
      </w:pPr>
      <w:bookmarkStart w:id="21" w:name="Rov28"/>
      <w:r w:rsidRPr="001C5C5A">
        <w:rPr>
          <w:rFonts w:cs="FrankRuehl" w:hint="cs"/>
          <w:vanish/>
          <w:color w:val="FF0000"/>
          <w:szCs w:val="20"/>
          <w:shd w:val="clear" w:color="auto" w:fill="FFFF99"/>
          <w:rtl/>
        </w:rPr>
        <w:t>מיום 28.5.1987</w:t>
      </w:r>
    </w:p>
    <w:p w14:paraId="2B3F535A" w14:textId="77777777" w:rsidR="00EE372A" w:rsidRPr="001C5C5A" w:rsidRDefault="00EE372A">
      <w:pPr>
        <w:pStyle w:val="P00"/>
        <w:spacing w:before="0"/>
        <w:ind w:left="0" w:right="1134"/>
        <w:rPr>
          <w:rFonts w:cs="FrankRuehl" w:hint="cs"/>
          <w:b/>
          <w:bCs/>
          <w:vanish/>
          <w:szCs w:val="20"/>
          <w:shd w:val="clear" w:color="auto" w:fill="FFFF99"/>
          <w:rtl/>
        </w:rPr>
      </w:pPr>
      <w:r w:rsidRPr="001C5C5A">
        <w:rPr>
          <w:rFonts w:cs="FrankRuehl" w:hint="cs"/>
          <w:b/>
          <w:bCs/>
          <w:vanish/>
          <w:szCs w:val="20"/>
          <w:shd w:val="clear" w:color="auto" w:fill="FFFF99"/>
          <w:rtl/>
        </w:rPr>
        <w:t>תק' תשמ"ז-1987</w:t>
      </w:r>
    </w:p>
    <w:p w14:paraId="376D63C3" w14:textId="77777777" w:rsidR="00EE372A" w:rsidRPr="001C5C5A" w:rsidRDefault="00EE372A">
      <w:pPr>
        <w:pStyle w:val="P00"/>
        <w:tabs>
          <w:tab w:val="clear" w:pos="6259"/>
        </w:tabs>
        <w:spacing w:before="0"/>
        <w:ind w:left="0" w:right="1134"/>
        <w:rPr>
          <w:rFonts w:cs="FrankRuehl" w:hint="cs"/>
          <w:vanish/>
          <w:szCs w:val="20"/>
          <w:shd w:val="clear" w:color="auto" w:fill="FFFF99"/>
          <w:rtl/>
        </w:rPr>
      </w:pPr>
      <w:hyperlink r:id="rId9" w:history="1">
        <w:r w:rsidRPr="001C5C5A">
          <w:rPr>
            <w:rStyle w:val="Hyperlink"/>
            <w:rFonts w:cs="FrankRuehl" w:hint="cs"/>
            <w:vanish/>
            <w:szCs w:val="20"/>
            <w:shd w:val="clear" w:color="auto" w:fill="FFFF99"/>
            <w:rtl/>
          </w:rPr>
          <w:t>ק"ת תשמ"ז מס' 5034</w:t>
        </w:r>
      </w:hyperlink>
      <w:r w:rsidRPr="001C5C5A">
        <w:rPr>
          <w:rFonts w:cs="FrankRuehl" w:hint="cs"/>
          <w:vanish/>
          <w:szCs w:val="20"/>
          <w:shd w:val="clear" w:color="auto" w:fill="FFFF99"/>
          <w:rtl/>
        </w:rPr>
        <w:t xml:space="preserve"> מיום 28.5.1987 עמ' 969</w:t>
      </w:r>
    </w:p>
    <w:p w14:paraId="7A98EEED" w14:textId="77777777" w:rsidR="00EE372A" w:rsidRDefault="00EE372A">
      <w:pPr>
        <w:pStyle w:val="P00"/>
        <w:tabs>
          <w:tab w:val="clear" w:pos="6259"/>
        </w:tabs>
        <w:ind w:left="0" w:right="1134"/>
        <w:rPr>
          <w:rFonts w:cs="FrankRuehl" w:hint="cs"/>
          <w:sz w:val="2"/>
          <w:szCs w:val="2"/>
          <w:rtl/>
        </w:rPr>
      </w:pPr>
      <w:r w:rsidRPr="001C5C5A">
        <w:rPr>
          <w:rStyle w:val="default"/>
          <w:rFonts w:cs="FrankRuehl" w:hint="cs"/>
          <w:vanish/>
          <w:sz w:val="22"/>
          <w:szCs w:val="22"/>
          <w:shd w:val="clear" w:color="auto" w:fill="FFFF99"/>
          <w:rtl/>
        </w:rPr>
        <w:tab/>
      </w:r>
      <w:r w:rsidRPr="001C5C5A">
        <w:rPr>
          <w:rStyle w:val="default"/>
          <w:rFonts w:cs="FrankRuehl"/>
          <w:vanish/>
          <w:sz w:val="22"/>
          <w:szCs w:val="22"/>
          <w:shd w:val="clear" w:color="auto" w:fill="FFFF99"/>
          <w:rtl/>
        </w:rPr>
        <w:t>(א</w:t>
      </w:r>
      <w:r w:rsidRPr="001C5C5A">
        <w:rPr>
          <w:rStyle w:val="default"/>
          <w:rFonts w:cs="FrankRuehl" w:hint="cs"/>
          <w:vanish/>
          <w:sz w:val="22"/>
          <w:szCs w:val="22"/>
          <w:shd w:val="clear" w:color="auto" w:fill="FFFF99"/>
          <w:rtl/>
        </w:rPr>
        <w:t>)</w:t>
      </w:r>
      <w:r w:rsidRPr="001C5C5A">
        <w:rPr>
          <w:rStyle w:val="default"/>
          <w:rFonts w:cs="FrankRuehl"/>
          <w:vanish/>
          <w:sz w:val="22"/>
          <w:szCs w:val="22"/>
          <w:shd w:val="clear" w:color="auto" w:fill="FFFF99"/>
          <w:rtl/>
        </w:rPr>
        <w:tab/>
        <w:t>ה</w:t>
      </w:r>
      <w:r w:rsidRPr="001C5C5A">
        <w:rPr>
          <w:rStyle w:val="default"/>
          <w:rFonts w:cs="FrankRuehl" w:hint="cs"/>
          <w:vanish/>
          <w:sz w:val="22"/>
          <w:szCs w:val="22"/>
          <w:shd w:val="clear" w:color="auto" w:fill="FFFF99"/>
          <w:rtl/>
        </w:rPr>
        <w:t>בורר חייב לסיים את הדיון בבוררות, להוציא פסק ולהמציאו לצדדים ולרשם תוך ששה חדשים מיום המינוי; הרשם רשאי, אם ר</w:t>
      </w:r>
      <w:r w:rsidRPr="001C5C5A">
        <w:rPr>
          <w:rStyle w:val="default"/>
          <w:rFonts w:cs="FrankRuehl"/>
          <w:vanish/>
          <w:sz w:val="22"/>
          <w:szCs w:val="22"/>
          <w:shd w:val="clear" w:color="auto" w:fill="FFFF99"/>
          <w:rtl/>
        </w:rPr>
        <w:t>אה</w:t>
      </w:r>
      <w:r w:rsidRPr="001C5C5A">
        <w:rPr>
          <w:rStyle w:val="default"/>
          <w:rFonts w:cs="FrankRuehl" w:hint="cs"/>
          <w:vanish/>
          <w:sz w:val="22"/>
          <w:szCs w:val="22"/>
          <w:shd w:val="clear" w:color="auto" w:fill="FFFF99"/>
          <w:rtl/>
        </w:rPr>
        <w:t xml:space="preserve"> טעם לכך, להאריך את התקופה האמורה. </w:t>
      </w:r>
      <w:r w:rsidRPr="001C5C5A">
        <w:rPr>
          <w:rStyle w:val="default"/>
          <w:rFonts w:cs="FrankRuehl" w:hint="cs"/>
          <w:vanish/>
          <w:sz w:val="22"/>
          <w:szCs w:val="22"/>
          <w:u w:val="single"/>
          <w:shd w:val="clear" w:color="auto" w:fill="FFFF99"/>
          <w:rtl/>
        </w:rPr>
        <w:t>אי-הארכה בתום ששה החדשים לא תפגע בכשירות המינוי ובתוקפו של הפסק ובלבד שהרשם האריך את התקופה ושלח הודעה על כך לבורר.</w:t>
      </w:r>
      <w:bookmarkEnd w:id="21"/>
    </w:p>
    <w:p w14:paraId="5812F80D" w14:textId="77777777" w:rsidR="00EE372A" w:rsidRDefault="00EE372A">
      <w:pPr>
        <w:pStyle w:val="P00"/>
        <w:spacing w:before="72"/>
        <w:ind w:left="0" w:right="1134"/>
        <w:rPr>
          <w:rStyle w:val="default"/>
          <w:rFonts w:cs="FrankRuehl"/>
          <w:rtl/>
        </w:rPr>
      </w:pPr>
      <w:bookmarkStart w:id="22" w:name="Seif19"/>
      <w:bookmarkEnd w:id="22"/>
      <w:r>
        <w:rPr>
          <w:lang w:val="he-IL"/>
        </w:rPr>
        <w:pict w14:anchorId="1C004D3A">
          <v:rect id="_x0000_s1047" style="position:absolute;left:0;text-align:left;margin-left:464.5pt;margin-top:8.05pt;width:75.05pt;height:8pt;z-index:251664896" o:allowincell="f" filled="f" stroked="f" strokecolor="lime" strokeweight=".25pt">
            <v:textbox inset="0,0,0,0">
              <w:txbxContent>
                <w:p w14:paraId="5E9513FA" w14:textId="77777777" w:rsidR="00EE372A" w:rsidRDefault="00EE372A">
                  <w:pPr>
                    <w:spacing w:line="160" w:lineRule="exact"/>
                    <w:jc w:val="left"/>
                    <w:rPr>
                      <w:rFonts w:cs="Miriam"/>
                      <w:noProof/>
                      <w:sz w:val="18"/>
                      <w:szCs w:val="18"/>
                      <w:rtl/>
                    </w:rPr>
                  </w:pPr>
                  <w:r>
                    <w:rPr>
                      <w:rFonts w:cs="Miriam"/>
                      <w:sz w:val="18"/>
                      <w:szCs w:val="18"/>
                      <w:rtl/>
                    </w:rPr>
                    <w:t>פס</w:t>
                  </w:r>
                  <w:r>
                    <w:rPr>
                      <w:rFonts w:cs="Miriam" w:hint="cs"/>
                      <w:sz w:val="18"/>
                      <w:szCs w:val="18"/>
                      <w:rtl/>
                    </w:rPr>
                    <w:t>ק הבוררות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סק הבוררות יינתן בכתב וייחתם ביד הבורר בציון תאריך הח</w:t>
      </w:r>
      <w:r>
        <w:rPr>
          <w:rStyle w:val="default"/>
          <w:rFonts w:cs="FrankRuehl"/>
          <w:rtl/>
        </w:rPr>
        <w:t>תי</w:t>
      </w:r>
      <w:r>
        <w:rPr>
          <w:rStyle w:val="default"/>
          <w:rFonts w:cs="FrankRuehl" w:hint="cs"/>
          <w:rtl/>
        </w:rPr>
        <w:t>מה, ותצויין בו זכות הצדדים להשיג בפני הרשם תוך עשרה ימים.</w:t>
      </w:r>
    </w:p>
    <w:p w14:paraId="6AC2F199"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בוררות לפני בוררים אחדים, די בחתימת רובם אם צויין בפסק ששאר הבוררים אינם יכולים או אינם רוצים לחת</w:t>
      </w:r>
      <w:r>
        <w:rPr>
          <w:rStyle w:val="default"/>
          <w:rFonts w:cs="FrankRuehl"/>
          <w:rtl/>
        </w:rPr>
        <w:t>ו</w:t>
      </w:r>
      <w:r>
        <w:rPr>
          <w:rStyle w:val="default"/>
          <w:rFonts w:cs="FrankRuehl" w:hint="cs"/>
          <w:rtl/>
        </w:rPr>
        <w:t>ם עליו.</w:t>
      </w:r>
    </w:p>
    <w:p w14:paraId="53BB637B" w14:textId="77777777" w:rsidR="00EE372A" w:rsidRDefault="00EE37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פסק יכיל את שמות הצדדים לסכסוך ומעניהם, הרצאה תמציתית של הסכסוך, השאלות שעמדו </w:t>
      </w:r>
      <w:r>
        <w:rPr>
          <w:rStyle w:val="default"/>
          <w:rFonts w:cs="FrankRuehl"/>
          <w:rtl/>
        </w:rPr>
        <w:t>לה</w:t>
      </w:r>
      <w:r>
        <w:rPr>
          <w:rStyle w:val="default"/>
          <w:rFonts w:cs="FrankRuehl" w:hint="cs"/>
          <w:rtl/>
        </w:rPr>
        <w:t>כרעה, ממצאי הבורר לגבי העובדות המהותיות, טענות הצדדים וההחלטה.</w:t>
      </w:r>
    </w:p>
    <w:p w14:paraId="56E44AE9" w14:textId="77777777" w:rsidR="00EE372A" w:rsidRDefault="00EE372A">
      <w:pPr>
        <w:pStyle w:val="P00"/>
        <w:spacing w:before="72"/>
        <w:ind w:left="0" w:right="1134"/>
        <w:rPr>
          <w:rStyle w:val="default"/>
          <w:rFonts w:cs="FrankRuehl"/>
          <w:rtl/>
        </w:rPr>
      </w:pPr>
      <w:bookmarkStart w:id="23" w:name="Seif20"/>
      <w:bookmarkEnd w:id="23"/>
      <w:r>
        <w:rPr>
          <w:lang w:val="he-IL"/>
        </w:rPr>
        <w:pict w14:anchorId="529F6B1B">
          <v:rect id="_x0000_s1048" style="position:absolute;left:0;text-align:left;margin-left:464.5pt;margin-top:8.05pt;width:75.05pt;height:16pt;z-index:251665920" o:allowincell="f" filled="f" stroked="f" strokecolor="lime" strokeweight=".25pt">
            <v:textbox inset="0,0,0,0">
              <w:txbxContent>
                <w:p w14:paraId="77AA2EA9" w14:textId="77777777" w:rsidR="00EE372A" w:rsidRDefault="00EE372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עיון </w:t>
                  </w:r>
                  <w:r>
                    <w:rPr>
                      <w:rFonts w:cs="Miriam"/>
                      <w:sz w:val="18"/>
                      <w:szCs w:val="18"/>
                      <w:rtl/>
                    </w:rPr>
                    <w:t>בת</w:t>
                  </w:r>
                  <w:r>
                    <w:rPr>
                      <w:rFonts w:cs="Miriam" w:hint="cs"/>
                      <w:sz w:val="18"/>
                      <w:szCs w:val="18"/>
                      <w:rtl/>
                    </w:rPr>
                    <w:t>יק הבוררות</w:t>
                  </w:r>
                </w:p>
              </w:txbxContent>
            </v:textbox>
            <w10:anchorlock/>
          </v:rect>
        </w:pict>
      </w:r>
      <w:r>
        <w:rPr>
          <w:rStyle w:val="big-number"/>
          <w:rFonts w:cs="Miriam"/>
          <w:rtl/>
        </w:rPr>
        <w:t>20.</w:t>
      </w:r>
      <w:r>
        <w:rPr>
          <w:rStyle w:val="big-number"/>
          <w:rFonts w:cs="Miriam"/>
          <w:rtl/>
        </w:rPr>
        <w:tab/>
      </w:r>
      <w:r>
        <w:rPr>
          <w:rStyle w:val="default"/>
          <w:rFonts w:cs="FrankRuehl"/>
          <w:rtl/>
        </w:rPr>
        <w:t>הר</w:t>
      </w:r>
      <w:r>
        <w:rPr>
          <w:rStyle w:val="default"/>
          <w:rFonts w:cs="FrankRuehl" w:hint="cs"/>
          <w:rtl/>
        </w:rPr>
        <w:t>שם והבורר שהוא מינה יעמידו את תיק הבוררות לרשות הצדדים ובאי כוחם בכל עת סבירה, לעיון ולהעתקה.</w:t>
      </w:r>
    </w:p>
    <w:p w14:paraId="0F1AB5B3" w14:textId="77777777" w:rsidR="00EE372A" w:rsidRDefault="00EE372A">
      <w:pPr>
        <w:pStyle w:val="P00"/>
        <w:spacing w:before="72"/>
        <w:ind w:left="0" w:right="1134"/>
        <w:rPr>
          <w:rStyle w:val="default"/>
          <w:rFonts w:cs="FrankRuehl"/>
          <w:rtl/>
        </w:rPr>
      </w:pPr>
      <w:bookmarkStart w:id="24" w:name="Seif21"/>
      <w:bookmarkEnd w:id="24"/>
      <w:r>
        <w:rPr>
          <w:lang w:val="he-IL"/>
        </w:rPr>
        <w:pict w14:anchorId="48DCDE1F">
          <v:rect id="_x0000_s1049" style="position:absolute;left:0;text-align:left;margin-left:464.5pt;margin-top:8.05pt;width:75.05pt;height:8pt;z-index:251666944" o:allowincell="f" filled="f" stroked="f" strokecolor="lime" strokeweight=".25pt">
            <v:textbox inset="0,0,0,0">
              <w:txbxContent>
                <w:p w14:paraId="12B10770" w14:textId="77777777" w:rsidR="00EE372A" w:rsidRDefault="00EE372A">
                  <w:pPr>
                    <w:spacing w:line="160" w:lineRule="exact"/>
                    <w:jc w:val="left"/>
                    <w:rPr>
                      <w:rFonts w:cs="Miriam"/>
                      <w:noProof/>
                      <w:sz w:val="18"/>
                      <w:szCs w:val="18"/>
                      <w:rtl/>
                    </w:rPr>
                  </w:pPr>
                  <w:r>
                    <w:rPr>
                      <w:rFonts w:cs="Miriam"/>
                      <w:sz w:val="18"/>
                      <w:szCs w:val="18"/>
                      <w:rtl/>
                    </w:rPr>
                    <w:t>שמ</w:t>
                  </w:r>
                  <w:r>
                    <w:rPr>
                      <w:rFonts w:cs="Miriam" w:hint="cs"/>
                      <w:sz w:val="18"/>
                      <w:szCs w:val="18"/>
                      <w:rtl/>
                    </w:rPr>
                    <w:t>ירת תיק הבוררות</w:t>
                  </w:r>
                </w:p>
              </w:txbxContent>
            </v:textbox>
            <w10:anchorlock/>
          </v:rect>
        </w:pict>
      </w:r>
      <w:r>
        <w:rPr>
          <w:rStyle w:val="big-number"/>
          <w:rFonts w:cs="Miriam"/>
          <w:rtl/>
        </w:rPr>
        <w:t>21.</w:t>
      </w:r>
      <w:r>
        <w:rPr>
          <w:rStyle w:val="big-number"/>
          <w:rFonts w:cs="Miriam"/>
          <w:rtl/>
        </w:rPr>
        <w:tab/>
      </w:r>
      <w:r>
        <w:rPr>
          <w:rStyle w:val="default"/>
          <w:rFonts w:cs="FrankRuehl"/>
          <w:rtl/>
        </w:rPr>
        <w:t>עם</w:t>
      </w:r>
      <w:r>
        <w:rPr>
          <w:rStyle w:val="default"/>
          <w:rFonts w:cs="FrankRuehl" w:hint="cs"/>
          <w:rtl/>
        </w:rPr>
        <w:t xml:space="preserve"> סיום הדיון ומתן פסק הבוררות, יעביר הבורר את תיק הבוררות לרשם; הרשם ישמור את תיק הב</w:t>
      </w:r>
      <w:r>
        <w:rPr>
          <w:rStyle w:val="default"/>
          <w:rFonts w:cs="FrankRuehl"/>
          <w:rtl/>
        </w:rPr>
        <w:t>ור</w:t>
      </w:r>
      <w:r>
        <w:rPr>
          <w:rStyle w:val="default"/>
          <w:rFonts w:cs="FrankRuehl" w:hint="cs"/>
          <w:rtl/>
        </w:rPr>
        <w:t>רות שבע שנים לאחר גמר הבוררות.</w:t>
      </w:r>
    </w:p>
    <w:p w14:paraId="0EB93A78" w14:textId="77777777" w:rsidR="00EE372A" w:rsidRDefault="00EE372A">
      <w:pPr>
        <w:pStyle w:val="P00"/>
        <w:spacing w:before="72"/>
        <w:ind w:left="0" w:right="1134"/>
        <w:rPr>
          <w:rStyle w:val="default"/>
          <w:rFonts w:cs="FrankRuehl"/>
          <w:rtl/>
        </w:rPr>
      </w:pPr>
      <w:bookmarkStart w:id="25" w:name="Seif22"/>
      <w:bookmarkEnd w:id="25"/>
      <w:r>
        <w:rPr>
          <w:lang w:val="he-IL"/>
        </w:rPr>
        <w:pict w14:anchorId="5C423A01">
          <v:rect id="_x0000_s1050" style="position:absolute;left:0;text-align:left;margin-left:464.5pt;margin-top:8.05pt;width:75.05pt;height:8pt;z-index:251667968" o:allowincell="f" filled="f" stroked="f" strokecolor="lime" strokeweight=".25pt">
            <v:textbox inset="0,0,0,0">
              <w:txbxContent>
                <w:p w14:paraId="6BE7D89C" w14:textId="77777777" w:rsidR="00EE372A" w:rsidRDefault="00EE372A">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22.</w:t>
      </w:r>
      <w:r>
        <w:rPr>
          <w:rStyle w:val="big-number"/>
          <w:rFonts w:cs="Miriam"/>
          <w:rtl/>
        </w:rPr>
        <w:tab/>
      </w:r>
      <w:r>
        <w:rPr>
          <w:rStyle w:val="default"/>
          <w:rFonts w:cs="FrankRuehl"/>
          <w:rtl/>
        </w:rPr>
        <w:t>הע</w:t>
      </w:r>
      <w:r>
        <w:rPr>
          <w:rStyle w:val="default"/>
          <w:rFonts w:cs="FrankRuehl" w:hint="cs"/>
          <w:rtl/>
        </w:rPr>
        <w:t xml:space="preserve">ובר על הוראות תקנות אלה, דינו </w:t>
      </w:r>
      <w:r w:rsidR="001C5C5A">
        <w:rPr>
          <w:rStyle w:val="default"/>
          <w:rFonts w:cs="FrankRuehl"/>
          <w:rtl/>
        </w:rPr>
        <w:t>–</w:t>
      </w:r>
      <w:r>
        <w:rPr>
          <w:rStyle w:val="default"/>
          <w:rFonts w:cs="FrankRuehl"/>
          <w:rtl/>
        </w:rPr>
        <w:t xml:space="preserve"> </w:t>
      </w:r>
      <w:r>
        <w:rPr>
          <w:rStyle w:val="default"/>
          <w:rFonts w:cs="FrankRuehl" w:hint="cs"/>
          <w:rtl/>
        </w:rPr>
        <w:t>קנס 200 לירות</w:t>
      </w:r>
      <w:r>
        <w:rPr>
          <w:rStyle w:val="default"/>
          <w:rFonts w:cs="FrankRuehl"/>
          <w:rtl/>
        </w:rPr>
        <w:t xml:space="preserve"> </w:t>
      </w:r>
      <w:r>
        <w:rPr>
          <w:rStyle w:val="default"/>
          <w:rFonts w:cs="FrankRuehl" w:hint="cs"/>
          <w:rtl/>
        </w:rPr>
        <w:t>או חודש מאסר.</w:t>
      </w:r>
    </w:p>
    <w:p w14:paraId="7304C809" w14:textId="77777777" w:rsidR="00EE372A" w:rsidRDefault="00EE372A">
      <w:pPr>
        <w:pStyle w:val="P00"/>
        <w:spacing w:before="72"/>
        <w:ind w:left="0" w:right="1134"/>
        <w:rPr>
          <w:rStyle w:val="default"/>
          <w:rFonts w:cs="FrankRuehl"/>
          <w:rtl/>
        </w:rPr>
      </w:pPr>
      <w:bookmarkStart w:id="26" w:name="Seif23"/>
      <w:bookmarkEnd w:id="26"/>
      <w:r>
        <w:rPr>
          <w:lang w:val="he-IL"/>
        </w:rPr>
        <w:pict w14:anchorId="73B82408">
          <v:rect id="_x0000_s1051" style="position:absolute;left:0;text-align:left;margin-left:464.5pt;margin-top:8.05pt;width:75.05pt;height:8pt;z-index:251668992" o:allowincell="f" filled="f" stroked="f" strokecolor="lime" strokeweight=".25pt">
            <v:textbox inset="0,0,0,0">
              <w:txbxContent>
                <w:p w14:paraId="6842C543" w14:textId="77777777" w:rsidR="00EE372A" w:rsidRDefault="00EE372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23.</w:t>
      </w:r>
      <w:r>
        <w:rPr>
          <w:rStyle w:val="big-number"/>
          <w:rFonts w:cs="Miriam"/>
          <w:rtl/>
        </w:rPr>
        <w:tab/>
      </w:r>
      <w:r>
        <w:rPr>
          <w:rStyle w:val="default"/>
          <w:rFonts w:cs="FrankRuehl"/>
          <w:rtl/>
        </w:rPr>
        <w:t>תק</w:t>
      </w:r>
      <w:r>
        <w:rPr>
          <w:rStyle w:val="default"/>
          <w:rFonts w:cs="FrankRuehl" w:hint="cs"/>
          <w:rtl/>
        </w:rPr>
        <w:t xml:space="preserve">נה 12 לתקנות האגודות השיתופיות, 1934 </w:t>
      </w:r>
      <w:r w:rsidR="001C5C5A">
        <w:rPr>
          <w:rStyle w:val="default"/>
          <w:rFonts w:cs="FrankRuehl"/>
          <w:rtl/>
        </w:rPr>
        <w:t>–</w:t>
      </w:r>
      <w:r>
        <w:rPr>
          <w:rStyle w:val="default"/>
          <w:rFonts w:cs="FrankRuehl"/>
          <w:rtl/>
        </w:rPr>
        <w:t xml:space="preserve"> </w:t>
      </w:r>
      <w:r>
        <w:rPr>
          <w:rStyle w:val="default"/>
          <w:rFonts w:cs="FrankRuehl" w:hint="cs"/>
          <w:rtl/>
        </w:rPr>
        <w:t>בטלה.</w:t>
      </w:r>
    </w:p>
    <w:p w14:paraId="197AF530" w14:textId="77777777" w:rsidR="00EE372A" w:rsidRDefault="00EE372A">
      <w:pPr>
        <w:pStyle w:val="P00"/>
        <w:spacing w:before="72"/>
        <w:ind w:left="0" w:right="1134"/>
        <w:rPr>
          <w:rStyle w:val="default"/>
          <w:rFonts w:cs="FrankRuehl"/>
          <w:rtl/>
        </w:rPr>
      </w:pPr>
      <w:bookmarkStart w:id="27" w:name="Seif24"/>
      <w:bookmarkEnd w:id="27"/>
      <w:r>
        <w:rPr>
          <w:lang w:val="he-IL"/>
        </w:rPr>
        <w:pict w14:anchorId="7A4B47C8">
          <v:rect id="_x0000_s1052" style="position:absolute;left:0;text-align:left;margin-left:464.5pt;margin-top:8.05pt;width:75.05pt;height:8pt;z-index:251670016" o:allowincell="f" filled="f" stroked="f" strokecolor="lime" strokeweight=".25pt">
            <v:textbox inset="0,0,0,0">
              <w:txbxContent>
                <w:p w14:paraId="7DD4B7F4" w14:textId="77777777" w:rsidR="00EE372A" w:rsidRDefault="00EE372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24.</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(בוררות</w:t>
      </w:r>
      <w:r>
        <w:rPr>
          <w:rStyle w:val="default"/>
          <w:rFonts w:cs="FrankRuehl"/>
          <w:rtl/>
        </w:rPr>
        <w:t xml:space="preserve"> ב</w:t>
      </w:r>
      <w:r>
        <w:rPr>
          <w:rStyle w:val="default"/>
          <w:rFonts w:cs="FrankRuehl" w:hint="cs"/>
          <w:rtl/>
        </w:rPr>
        <w:t>סכסוכים), תשל"ב-</w:t>
      </w:r>
      <w:r>
        <w:rPr>
          <w:rStyle w:val="default"/>
          <w:rFonts w:cs="FrankRuehl"/>
          <w:rtl/>
        </w:rPr>
        <w:t>1972".</w:t>
      </w:r>
    </w:p>
    <w:p w14:paraId="1D1CE5EA" w14:textId="77777777" w:rsidR="00EE372A" w:rsidRDefault="00EE372A">
      <w:pPr>
        <w:pStyle w:val="P00"/>
        <w:spacing w:before="72"/>
        <w:ind w:left="0" w:right="1134"/>
        <w:rPr>
          <w:rStyle w:val="default"/>
          <w:rFonts w:cs="FrankRuehl" w:hint="cs"/>
          <w:rtl/>
        </w:rPr>
      </w:pPr>
    </w:p>
    <w:p w14:paraId="78AD13AD" w14:textId="77777777" w:rsidR="001C5C5A" w:rsidRDefault="001C5C5A">
      <w:pPr>
        <w:pStyle w:val="P00"/>
        <w:spacing w:before="72"/>
        <w:ind w:left="0" w:right="1134"/>
        <w:rPr>
          <w:rStyle w:val="default"/>
          <w:rFonts w:cs="FrankRuehl" w:hint="cs"/>
          <w:rtl/>
        </w:rPr>
      </w:pPr>
    </w:p>
    <w:p w14:paraId="22D8D39A" w14:textId="77777777" w:rsidR="00EE372A" w:rsidRDefault="00EE372A" w:rsidP="001C5C5A">
      <w:pPr>
        <w:pStyle w:val="sig-0"/>
        <w:tabs>
          <w:tab w:val="clear" w:pos="4820"/>
          <w:tab w:val="center" w:pos="5670"/>
        </w:tabs>
        <w:spacing w:before="72"/>
        <w:ind w:left="0" w:right="1134"/>
        <w:rPr>
          <w:rFonts w:cs="FrankRuehl"/>
          <w:sz w:val="26"/>
          <w:rtl/>
        </w:rPr>
      </w:pPr>
      <w:r>
        <w:rPr>
          <w:rFonts w:cs="FrankRuehl"/>
          <w:sz w:val="26"/>
          <w:rtl/>
        </w:rPr>
        <w:t xml:space="preserve">ו' </w:t>
      </w:r>
      <w:r>
        <w:rPr>
          <w:rFonts w:cs="FrankRuehl" w:hint="cs"/>
          <w:sz w:val="26"/>
          <w:rtl/>
        </w:rPr>
        <w:t>באדר תשל"ב (21 בפברואר 1972)</w:t>
      </w:r>
      <w:r>
        <w:rPr>
          <w:rFonts w:cs="FrankRuehl"/>
          <w:sz w:val="26"/>
          <w:rtl/>
        </w:rPr>
        <w:tab/>
        <w:t>י</w:t>
      </w:r>
      <w:r>
        <w:rPr>
          <w:rFonts w:cs="FrankRuehl" w:hint="cs"/>
          <w:sz w:val="26"/>
          <w:rtl/>
        </w:rPr>
        <w:t>וסף אלמוגי</w:t>
      </w:r>
    </w:p>
    <w:p w14:paraId="733A893E" w14:textId="77777777" w:rsidR="00EE372A" w:rsidRDefault="00EE372A" w:rsidP="001C5C5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w:t>
      </w:r>
    </w:p>
    <w:p w14:paraId="27B0089C" w14:textId="77777777" w:rsidR="00EE372A" w:rsidRDefault="00EE372A">
      <w:pPr>
        <w:pStyle w:val="P00"/>
        <w:spacing w:before="72"/>
        <w:ind w:left="0" w:right="1134"/>
        <w:rPr>
          <w:rStyle w:val="default"/>
          <w:rFonts w:cs="FrankRuehl"/>
          <w:rtl/>
        </w:rPr>
      </w:pPr>
    </w:p>
    <w:p w14:paraId="27471088" w14:textId="77777777" w:rsidR="00EE372A" w:rsidRDefault="00EE372A">
      <w:pPr>
        <w:pStyle w:val="P00"/>
        <w:spacing w:before="72"/>
        <w:ind w:left="0" w:right="1134"/>
        <w:rPr>
          <w:rStyle w:val="default"/>
          <w:rFonts w:cs="FrankRuehl"/>
          <w:rtl/>
        </w:rPr>
      </w:pPr>
    </w:p>
    <w:p w14:paraId="6C51EC4C" w14:textId="77777777" w:rsidR="00EE372A" w:rsidRDefault="00EE372A">
      <w:pPr>
        <w:pStyle w:val="P00"/>
        <w:spacing w:before="72"/>
        <w:ind w:left="0" w:right="1134"/>
        <w:rPr>
          <w:rStyle w:val="default"/>
          <w:rFonts w:cs="FrankRuehl"/>
          <w:rtl/>
        </w:rPr>
      </w:pPr>
      <w:bookmarkStart w:id="28" w:name="LawPartEnd"/>
    </w:p>
    <w:bookmarkEnd w:id="28"/>
    <w:p w14:paraId="1DE316F9" w14:textId="77777777" w:rsidR="00EE372A" w:rsidRDefault="00EE372A">
      <w:pPr>
        <w:pStyle w:val="P00"/>
        <w:spacing w:before="72"/>
        <w:ind w:left="0" w:right="1134"/>
        <w:rPr>
          <w:rStyle w:val="default"/>
          <w:rFonts w:cs="FrankRuehl"/>
          <w:rtl/>
        </w:rPr>
      </w:pPr>
    </w:p>
    <w:sectPr w:rsidR="00EE372A">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0449" w14:textId="77777777" w:rsidR="00900BDD" w:rsidRDefault="00900BDD">
      <w:r>
        <w:separator/>
      </w:r>
    </w:p>
  </w:endnote>
  <w:endnote w:type="continuationSeparator" w:id="0">
    <w:p w14:paraId="1301FDEC" w14:textId="77777777" w:rsidR="00900BDD" w:rsidRDefault="0090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50F3" w14:textId="77777777" w:rsidR="00EE372A" w:rsidRDefault="00EE37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562643" w14:textId="77777777" w:rsidR="00EE372A" w:rsidRDefault="00EE37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B06A3B7" w14:textId="77777777" w:rsidR="00EE372A" w:rsidRDefault="00EE37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942C" w14:textId="77777777" w:rsidR="00EE372A" w:rsidRDefault="00EE37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5C5A">
      <w:rPr>
        <w:rFonts w:hAnsi="FrankRuehl" w:cs="FrankRuehl"/>
        <w:noProof/>
        <w:sz w:val="24"/>
        <w:szCs w:val="24"/>
        <w:rtl/>
      </w:rPr>
      <w:t>2</w:t>
    </w:r>
    <w:r>
      <w:rPr>
        <w:rFonts w:hAnsi="FrankRuehl" w:cs="FrankRuehl"/>
        <w:sz w:val="24"/>
        <w:szCs w:val="24"/>
        <w:rtl/>
      </w:rPr>
      <w:fldChar w:fldCharType="end"/>
    </w:r>
  </w:p>
  <w:p w14:paraId="2FE70F50" w14:textId="77777777" w:rsidR="00EE372A" w:rsidRDefault="00EE37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4333CD" w14:textId="77777777" w:rsidR="00EE372A" w:rsidRDefault="00EE37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ADAE" w14:textId="77777777" w:rsidR="00900BDD" w:rsidRDefault="00900BDD">
      <w:pPr>
        <w:spacing w:before="60" w:line="240" w:lineRule="auto"/>
        <w:ind w:right="1134"/>
      </w:pPr>
      <w:r>
        <w:separator/>
      </w:r>
    </w:p>
  </w:footnote>
  <w:footnote w:type="continuationSeparator" w:id="0">
    <w:p w14:paraId="12F930D8" w14:textId="77777777" w:rsidR="00900BDD" w:rsidRDefault="00900BDD">
      <w:pPr>
        <w:spacing w:before="60" w:line="240" w:lineRule="auto"/>
        <w:ind w:right="1134"/>
      </w:pPr>
      <w:r>
        <w:separator/>
      </w:r>
    </w:p>
  </w:footnote>
  <w:footnote w:id="1">
    <w:p w14:paraId="1E1FB5BC" w14:textId="77777777" w:rsidR="00EE372A" w:rsidRDefault="00EE3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תשל"ב מס</w:t>
        </w:r>
        <w:r>
          <w:rPr>
            <w:rStyle w:val="Hyperlink"/>
            <w:rFonts w:cs="FrankRuehl" w:hint="cs"/>
            <w:rtl/>
          </w:rPr>
          <w:t>'</w:t>
        </w:r>
        <w:r>
          <w:rPr>
            <w:rStyle w:val="Hyperlink"/>
            <w:rFonts w:cs="FrankRuehl" w:hint="cs"/>
            <w:rtl/>
          </w:rPr>
          <w:t xml:space="preserve"> 2818</w:t>
        </w:r>
      </w:hyperlink>
      <w:r>
        <w:rPr>
          <w:rFonts w:cs="FrankRuehl" w:hint="cs"/>
          <w:rtl/>
        </w:rPr>
        <w:t xml:space="preserve"> מיום 9.3.1972 עמ' 746.</w:t>
      </w:r>
    </w:p>
    <w:p w14:paraId="418BACAD" w14:textId="77777777" w:rsidR="00EE372A" w:rsidRDefault="00EE3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תשמ"א מס' 4249</w:t>
        </w:r>
      </w:hyperlink>
      <w:r>
        <w:rPr>
          <w:rFonts w:cs="FrankRuehl" w:hint="cs"/>
          <w:rtl/>
        </w:rPr>
        <w:t xml:space="preserve"> מיום 7.7.1981 עמ' 1182 </w:t>
      </w:r>
      <w:r>
        <w:rPr>
          <w:rFonts w:cs="FrankRuehl"/>
          <w:rtl/>
        </w:rPr>
        <w:t>–</w:t>
      </w:r>
      <w:r>
        <w:rPr>
          <w:rFonts w:cs="FrankRuehl" w:hint="cs"/>
          <w:rtl/>
        </w:rPr>
        <w:t xml:space="preserve"> תק' תשמ"א-1981.</w:t>
      </w:r>
    </w:p>
    <w:p w14:paraId="266C4D11" w14:textId="77777777" w:rsidR="00EE372A" w:rsidRDefault="00EE3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תשמ"ז מס' 5034</w:t>
        </w:r>
      </w:hyperlink>
      <w:r>
        <w:rPr>
          <w:rFonts w:cs="FrankRuehl" w:hint="cs"/>
          <w:rtl/>
        </w:rPr>
        <w:t xml:space="preserve"> מיום 28.5.1987 עמ' 969 </w:t>
      </w:r>
      <w:r>
        <w:rPr>
          <w:rFonts w:cs="FrankRuehl"/>
          <w:rtl/>
        </w:rPr>
        <w:t>–</w:t>
      </w:r>
      <w:r>
        <w:rPr>
          <w:rFonts w:cs="FrankRuehl" w:hint="cs"/>
          <w:rtl/>
        </w:rPr>
        <w:t xml:space="preserve"> תק' תשמ"ז-1987.</w:t>
      </w:r>
    </w:p>
    <w:p w14:paraId="23D549AA" w14:textId="77777777" w:rsidR="00EE372A" w:rsidRDefault="00EE3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תשמ"ט מס' 5145</w:t>
        </w:r>
      </w:hyperlink>
      <w:r>
        <w:rPr>
          <w:rFonts w:cs="FrankRuehl" w:hint="cs"/>
          <w:rtl/>
        </w:rPr>
        <w:t xml:space="preserve"> מיום 13.11</w:t>
      </w:r>
      <w:r>
        <w:rPr>
          <w:rFonts w:cs="FrankRuehl"/>
          <w:rtl/>
        </w:rPr>
        <w:t>.1988 ע</w:t>
      </w:r>
      <w:r>
        <w:rPr>
          <w:rFonts w:cs="FrankRuehl" w:hint="cs"/>
          <w:rtl/>
        </w:rPr>
        <w:t xml:space="preserve">מ' 146 </w:t>
      </w:r>
      <w:r>
        <w:rPr>
          <w:rFonts w:cs="FrankRuehl"/>
          <w:rtl/>
        </w:rPr>
        <w:t>–</w:t>
      </w:r>
      <w:r>
        <w:rPr>
          <w:rFonts w:cs="FrankRuehl" w:hint="cs"/>
          <w:rtl/>
        </w:rPr>
        <w:t xml:space="preserve"> תק' תשמ"ט-1988.</w:t>
      </w:r>
    </w:p>
    <w:p w14:paraId="4877B2FC" w14:textId="77777777" w:rsidR="00EE372A" w:rsidRDefault="00EE3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תשנ"ד מס' 5571</w:t>
        </w:r>
      </w:hyperlink>
      <w:r>
        <w:rPr>
          <w:rFonts w:cs="FrankRuehl" w:hint="cs"/>
          <w:rtl/>
        </w:rPr>
        <w:t xml:space="preserve"> מיום 6.1.199</w:t>
      </w:r>
      <w:r>
        <w:rPr>
          <w:rFonts w:cs="FrankRuehl"/>
          <w:rtl/>
        </w:rPr>
        <w:t xml:space="preserve">4 </w:t>
      </w:r>
      <w:r>
        <w:rPr>
          <w:rFonts w:cs="FrankRuehl" w:hint="cs"/>
          <w:rtl/>
        </w:rPr>
        <w:t xml:space="preserve">עמ' 323 </w:t>
      </w:r>
      <w:r>
        <w:rPr>
          <w:rFonts w:cs="FrankRuehl"/>
          <w:rtl/>
        </w:rPr>
        <w:t xml:space="preserve">– </w:t>
      </w:r>
      <w:r>
        <w:rPr>
          <w:rFonts w:cs="FrankRuehl" w:hint="cs"/>
          <w:rtl/>
        </w:rPr>
        <w:t>תק' תשנ"ד</w:t>
      </w:r>
      <w:r>
        <w:rPr>
          <w:rFonts w:cs="FrankRuehl"/>
          <w:rtl/>
        </w:rPr>
        <w:t>–1994.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8A8D" w14:textId="77777777" w:rsidR="00EE372A" w:rsidRDefault="00EE37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(בוררות בסכסוכים), תשל"ב–1972</w:t>
    </w:r>
  </w:p>
  <w:p w14:paraId="2FCE102D" w14:textId="77777777" w:rsidR="00EE372A" w:rsidRDefault="00EE37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4F56BB" w14:textId="77777777" w:rsidR="00EE372A" w:rsidRDefault="00EE37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6A09" w14:textId="77777777" w:rsidR="00EE372A" w:rsidRDefault="00EE37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(בוררות בסכסוכים), תשל"ב</w:t>
    </w:r>
    <w:r>
      <w:rPr>
        <w:rFonts w:hAnsi="FrankRuehl" w:cs="FrankRuehl" w:hint="cs"/>
        <w:color w:val="000000"/>
        <w:sz w:val="28"/>
        <w:szCs w:val="28"/>
        <w:rtl/>
      </w:rPr>
      <w:t>-</w:t>
    </w:r>
    <w:r>
      <w:rPr>
        <w:rFonts w:hAnsi="FrankRuehl" w:cs="FrankRuehl"/>
        <w:color w:val="000000"/>
        <w:sz w:val="28"/>
        <w:szCs w:val="28"/>
        <w:rtl/>
      </w:rPr>
      <w:t>1972</w:t>
    </w:r>
  </w:p>
  <w:p w14:paraId="4B3AC54B" w14:textId="77777777" w:rsidR="00EE372A" w:rsidRDefault="00EE37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AFA8E9" w14:textId="77777777" w:rsidR="00EE372A" w:rsidRDefault="00EE37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054C"/>
    <w:rsid w:val="001C5C5A"/>
    <w:rsid w:val="006E1B05"/>
    <w:rsid w:val="0071753F"/>
    <w:rsid w:val="00900BDD"/>
    <w:rsid w:val="00A1054C"/>
    <w:rsid w:val="00AB7294"/>
    <w:rsid w:val="00CB054B"/>
    <w:rsid w:val="00EC443C"/>
    <w:rsid w:val="00EE37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D52207E"/>
  <w15:chartTrackingRefBased/>
  <w15:docId w15:val="{4F8F7903-95BE-44C7-8870-C6276538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7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14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24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03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34.pdf" TargetMode="External"/><Relationship Id="rId2" Type="http://schemas.openxmlformats.org/officeDocument/2006/relationships/hyperlink" Target="http://www.nevo.co.il/Law_word/law06/TAK-4249.pdf" TargetMode="External"/><Relationship Id="rId1" Type="http://schemas.openxmlformats.org/officeDocument/2006/relationships/hyperlink" Target="http://www.nevo.co.il/Law_word/law06/TAK-2818.pdf" TargetMode="External"/><Relationship Id="rId5" Type="http://schemas.openxmlformats.org/officeDocument/2006/relationships/hyperlink" Target="http://www.nevo.co.il/Law_word/law06/TAK-5571.pdf" TargetMode="External"/><Relationship Id="rId4" Type="http://schemas.openxmlformats.org/officeDocument/2006/relationships/hyperlink" Target="http://www.nevo.co.il/Law_word/law06/TAK-51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11582</CharactersWithSpaces>
  <SharedDoc>false</SharedDoc>
  <HLinks>
    <vt:vector size="204" baseType="variant">
      <vt:variant>
        <vt:i4>8323084</vt:i4>
      </vt:variant>
      <vt:variant>
        <vt:i4>159</vt:i4>
      </vt:variant>
      <vt:variant>
        <vt:i4>0</vt:i4>
      </vt:variant>
      <vt:variant>
        <vt:i4>5</vt:i4>
      </vt:variant>
      <vt:variant>
        <vt:lpwstr>http://www.nevo.co.il/Law_word/law06/TAK-5034.pdf</vt:lpwstr>
      </vt:variant>
      <vt:variant>
        <vt:lpwstr/>
      </vt:variant>
      <vt:variant>
        <vt:i4>8060940</vt:i4>
      </vt:variant>
      <vt:variant>
        <vt:i4>156</vt:i4>
      </vt:variant>
      <vt:variant>
        <vt:i4>0</vt:i4>
      </vt:variant>
      <vt:variant>
        <vt:i4>5</vt:i4>
      </vt:variant>
      <vt:variant>
        <vt:lpwstr>http://www.nevo.co.il/Law_word/law06/TAK-5571.pdf</vt:lpwstr>
      </vt:variant>
      <vt:variant>
        <vt:lpwstr/>
      </vt:variant>
      <vt:variant>
        <vt:i4>7864332</vt:i4>
      </vt:variant>
      <vt:variant>
        <vt:i4>153</vt:i4>
      </vt:variant>
      <vt:variant>
        <vt:i4>0</vt:i4>
      </vt:variant>
      <vt:variant>
        <vt:i4>5</vt:i4>
      </vt:variant>
      <vt:variant>
        <vt:lpwstr>http://www.nevo.co.il/Law_word/law06/TAK-5145.pdf</vt:lpwstr>
      </vt:variant>
      <vt:variant>
        <vt:lpwstr/>
      </vt:variant>
      <vt:variant>
        <vt:i4>7929859</vt:i4>
      </vt:variant>
      <vt:variant>
        <vt:i4>150</vt:i4>
      </vt:variant>
      <vt:variant>
        <vt:i4>0</vt:i4>
      </vt:variant>
      <vt:variant>
        <vt:i4>5</vt:i4>
      </vt:variant>
      <vt:variant>
        <vt:lpwstr>http://www.nevo.co.il/Law_word/law06/TAK-4249.pdf</vt:lpwstr>
      </vt:variant>
      <vt:variant>
        <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8060940</vt:i4>
      </vt:variant>
      <vt:variant>
        <vt:i4>12</vt:i4>
      </vt:variant>
      <vt:variant>
        <vt:i4>0</vt:i4>
      </vt:variant>
      <vt:variant>
        <vt:i4>5</vt:i4>
      </vt:variant>
      <vt:variant>
        <vt:lpwstr>http://www.nevo.co.il/Law_word/law06/TAK-5571.pdf</vt:lpwstr>
      </vt:variant>
      <vt:variant>
        <vt:lpwstr/>
      </vt:variant>
      <vt:variant>
        <vt:i4>7864332</vt:i4>
      </vt:variant>
      <vt:variant>
        <vt:i4>9</vt:i4>
      </vt:variant>
      <vt:variant>
        <vt:i4>0</vt:i4>
      </vt:variant>
      <vt:variant>
        <vt:i4>5</vt:i4>
      </vt:variant>
      <vt:variant>
        <vt:lpwstr>http://www.nevo.co.il/Law_word/law06/TAK-5145.pdf</vt:lpwstr>
      </vt:variant>
      <vt:variant>
        <vt:lpwstr/>
      </vt:variant>
      <vt:variant>
        <vt:i4>8323084</vt:i4>
      </vt:variant>
      <vt:variant>
        <vt:i4>6</vt:i4>
      </vt:variant>
      <vt:variant>
        <vt:i4>0</vt:i4>
      </vt:variant>
      <vt:variant>
        <vt:i4>5</vt:i4>
      </vt:variant>
      <vt:variant>
        <vt:lpwstr>http://www.nevo.co.il/Law_word/law06/TAK-5034.pdf</vt:lpwstr>
      </vt:variant>
      <vt:variant>
        <vt:lpwstr/>
      </vt:variant>
      <vt:variant>
        <vt:i4>7929859</vt:i4>
      </vt:variant>
      <vt:variant>
        <vt:i4>3</vt:i4>
      </vt:variant>
      <vt:variant>
        <vt:i4>0</vt:i4>
      </vt:variant>
      <vt:variant>
        <vt:i4>5</vt:i4>
      </vt:variant>
      <vt:variant>
        <vt:lpwstr>http://www.nevo.co.il/Law_word/law06/TAK-4249.pdf</vt:lpwstr>
      </vt:variant>
      <vt:variant>
        <vt:lpwstr/>
      </vt:variant>
      <vt:variant>
        <vt:i4>7995400</vt:i4>
      </vt:variant>
      <vt:variant>
        <vt:i4>0</vt:i4>
      </vt:variant>
      <vt:variant>
        <vt:i4>0</vt:i4>
      </vt:variant>
      <vt:variant>
        <vt:i4>5</vt:i4>
      </vt:variant>
      <vt:variant>
        <vt:lpwstr>http://www.nevo.co.il/Law_word/law06/TAK-2818.pdf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(בוררות בסכסוכים), תשל"ב-1972</vt:lpwstr>
  </property>
  <property fmtid="{D5CDD505-2E9C-101B-9397-08002B2CF9AE}" pid="5" name="LAWNUMBER">
    <vt:lpwstr>0007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בוררות וגישור</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65X</vt:lpwstr>
  </property>
</Properties>
</file>