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30DB" w14:textId="77777777" w:rsidR="0025607C" w:rsidRDefault="0025607C">
      <w:pPr>
        <w:pStyle w:val="big-header"/>
        <w:ind w:left="0" w:right="1134"/>
        <w:rPr>
          <w:rFonts w:cs="FrankRuehl"/>
          <w:sz w:val="32"/>
          <w:rtl/>
        </w:rPr>
      </w:pPr>
      <w:r>
        <w:rPr>
          <w:rFonts w:cs="FrankRuehl"/>
          <w:sz w:val="32"/>
          <w:rtl/>
        </w:rPr>
        <w:t>תקנות האגודות השיתופיות (דמי עזיבה – קיבוץ יסעור), תשנ"ט</w:t>
      </w:r>
      <w:r>
        <w:rPr>
          <w:rFonts w:cs="FrankRuehl" w:hint="cs"/>
          <w:sz w:val="32"/>
          <w:rtl/>
        </w:rPr>
        <w:t>-</w:t>
      </w:r>
      <w:r>
        <w:rPr>
          <w:rFonts w:cs="FrankRuehl"/>
          <w:sz w:val="32"/>
          <w:rtl/>
        </w:rPr>
        <w:t>1999</w:t>
      </w:r>
    </w:p>
    <w:p w14:paraId="7D4230E6" w14:textId="77777777" w:rsidR="00B43DCB" w:rsidRPr="00B43DCB" w:rsidRDefault="00B43DCB" w:rsidP="00B43DCB">
      <w:pPr>
        <w:spacing w:line="320" w:lineRule="auto"/>
        <w:jc w:val="left"/>
        <w:rPr>
          <w:rFonts w:cs="FrankRuehl"/>
          <w:szCs w:val="26"/>
          <w:rtl/>
        </w:rPr>
      </w:pPr>
    </w:p>
    <w:p w14:paraId="6F5AE4C2" w14:textId="77777777" w:rsidR="00B43DCB" w:rsidRDefault="00B43DCB" w:rsidP="00B43DCB">
      <w:pPr>
        <w:spacing w:line="320" w:lineRule="auto"/>
        <w:jc w:val="left"/>
        <w:rPr>
          <w:rtl/>
        </w:rPr>
      </w:pPr>
    </w:p>
    <w:p w14:paraId="0D06D466" w14:textId="77777777" w:rsidR="00337CBA" w:rsidRPr="00B43DCB" w:rsidRDefault="00B43DCB" w:rsidP="00B43DCB">
      <w:pPr>
        <w:spacing w:line="320" w:lineRule="auto"/>
        <w:jc w:val="left"/>
        <w:rPr>
          <w:rFonts w:cs="Miriam"/>
          <w:szCs w:val="22"/>
          <w:rtl/>
        </w:rPr>
      </w:pPr>
      <w:r w:rsidRPr="00B43DCB">
        <w:rPr>
          <w:rFonts w:cs="Miriam"/>
          <w:szCs w:val="22"/>
          <w:rtl/>
        </w:rPr>
        <w:t>משפט פרטי וכלכלה</w:t>
      </w:r>
      <w:r w:rsidRPr="00B43DCB">
        <w:rPr>
          <w:rFonts w:cs="FrankRuehl"/>
          <w:szCs w:val="26"/>
          <w:rtl/>
        </w:rPr>
        <w:t xml:space="preserve"> – תאגידים וניירות ערך – אגודות שיתופיות – דמי עזיבה</w:t>
      </w:r>
    </w:p>
    <w:p w14:paraId="5A0F1283" w14:textId="77777777" w:rsidR="0025607C" w:rsidRDefault="0025607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5607C" w14:paraId="05F20C76" w14:textId="77777777">
        <w:tblPrEx>
          <w:tblCellMar>
            <w:top w:w="0" w:type="dxa"/>
            <w:bottom w:w="0" w:type="dxa"/>
          </w:tblCellMar>
        </w:tblPrEx>
        <w:trPr>
          <w:jc w:val="right"/>
        </w:trPr>
        <w:tc>
          <w:tcPr>
            <w:tcW w:w="850" w:type="dxa"/>
          </w:tcPr>
          <w:p w14:paraId="0F46140B" w14:textId="77777777" w:rsidR="0025607C" w:rsidRDefault="0025607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E7BA56B" w14:textId="77777777" w:rsidR="0025607C" w:rsidRDefault="0025607C">
            <w:pPr>
              <w:spacing w:line="240" w:lineRule="auto"/>
              <w:jc w:val="left"/>
              <w:rPr>
                <w:rFonts w:cs="Frankruhel"/>
                <w:sz w:val="24"/>
              </w:rPr>
            </w:pPr>
            <w:hyperlink w:anchor="Seif0" w:tooltip="הגדרה" w:history="1">
              <w:r>
                <w:rPr>
                  <w:rStyle w:val="Hyperlink"/>
                </w:rPr>
                <w:t>Go</w:t>
              </w:r>
            </w:hyperlink>
          </w:p>
        </w:tc>
        <w:tc>
          <w:tcPr>
            <w:tcW w:w="5669" w:type="dxa"/>
          </w:tcPr>
          <w:p w14:paraId="3885AEEC" w14:textId="77777777" w:rsidR="0025607C" w:rsidRDefault="0025607C">
            <w:pPr>
              <w:spacing w:line="240" w:lineRule="auto"/>
              <w:jc w:val="left"/>
              <w:rPr>
                <w:rFonts w:cs="Frankruhel"/>
                <w:sz w:val="24"/>
                <w:rtl/>
              </w:rPr>
            </w:pPr>
            <w:r>
              <w:rPr>
                <w:rFonts w:cs="Frankruhel"/>
                <w:sz w:val="24"/>
                <w:rtl/>
              </w:rPr>
              <w:t>הגדרה</w:t>
            </w:r>
          </w:p>
        </w:tc>
        <w:tc>
          <w:tcPr>
            <w:tcW w:w="1247" w:type="dxa"/>
          </w:tcPr>
          <w:p w14:paraId="7B945E49" w14:textId="77777777" w:rsidR="0025607C" w:rsidRDefault="0025607C">
            <w:pPr>
              <w:spacing w:line="240" w:lineRule="auto"/>
              <w:jc w:val="left"/>
              <w:rPr>
                <w:rFonts w:cs="Frankruhel"/>
                <w:sz w:val="24"/>
              </w:rPr>
            </w:pPr>
            <w:r>
              <w:rPr>
                <w:rFonts w:cs="Frankruhel"/>
                <w:sz w:val="24"/>
                <w:rtl/>
              </w:rPr>
              <w:t xml:space="preserve">סעיף 1 </w:t>
            </w:r>
          </w:p>
        </w:tc>
      </w:tr>
      <w:tr w:rsidR="0025607C" w14:paraId="6070BAD4" w14:textId="77777777">
        <w:tblPrEx>
          <w:tblCellMar>
            <w:top w:w="0" w:type="dxa"/>
            <w:bottom w:w="0" w:type="dxa"/>
          </w:tblCellMar>
        </w:tblPrEx>
        <w:trPr>
          <w:jc w:val="right"/>
        </w:trPr>
        <w:tc>
          <w:tcPr>
            <w:tcW w:w="850" w:type="dxa"/>
          </w:tcPr>
          <w:p w14:paraId="31D4BABF" w14:textId="77777777" w:rsidR="0025607C" w:rsidRDefault="0025607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90D0DD9" w14:textId="77777777" w:rsidR="0025607C" w:rsidRDefault="0025607C">
            <w:pPr>
              <w:spacing w:line="240" w:lineRule="auto"/>
              <w:jc w:val="left"/>
              <w:rPr>
                <w:rFonts w:cs="Frankruhel"/>
                <w:sz w:val="24"/>
              </w:rPr>
            </w:pPr>
            <w:hyperlink w:anchor="Seif1" w:tooltip="סייג לתחולה" w:history="1">
              <w:r>
                <w:rPr>
                  <w:rStyle w:val="Hyperlink"/>
                </w:rPr>
                <w:t>Go</w:t>
              </w:r>
            </w:hyperlink>
          </w:p>
        </w:tc>
        <w:tc>
          <w:tcPr>
            <w:tcW w:w="5669" w:type="dxa"/>
          </w:tcPr>
          <w:p w14:paraId="14D91D38" w14:textId="77777777" w:rsidR="0025607C" w:rsidRDefault="0025607C">
            <w:pPr>
              <w:spacing w:line="240" w:lineRule="auto"/>
              <w:jc w:val="left"/>
              <w:rPr>
                <w:rFonts w:cs="Frankruhel"/>
                <w:sz w:val="24"/>
                <w:rtl/>
              </w:rPr>
            </w:pPr>
            <w:r>
              <w:rPr>
                <w:rFonts w:cs="Frankruhel"/>
                <w:sz w:val="24"/>
                <w:rtl/>
              </w:rPr>
              <w:t>סייג לתחולה</w:t>
            </w:r>
          </w:p>
        </w:tc>
        <w:tc>
          <w:tcPr>
            <w:tcW w:w="1247" w:type="dxa"/>
          </w:tcPr>
          <w:p w14:paraId="6842A995" w14:textId="77777777" w:rsidR="0025607C" w:rsidRDefault="0025607C">
            <w:pPr>
              <w:spacing w:line="240" w:lineRule="auto"/>
              <w:jc w:val="left"/>
              <w:rPr>
                <w:rFonts w:cs="Frankruhel"/>
                <w:sz w:val="24"/>
              </w:rPr>
            </w:pPr>
            <w:r>
              <w:rPr>
                <w:rFonts w:cs="Frankruhel"/>
                <w:sz w:val="24"/>
                <w:rtl/>
              </w:rPr>
              <w:t xml:space="preserve">סעיף 2 </w:t>
            </w:r>
          </w:p>
        </w:tc>
      </w:tr>
      <w:tr w:rsidR="0025607C" w14:paraId="22952ED4" w14:textId="77777777">
        <w:tblPrEx>
          <w:tblCellMar>
            <w:top w:w="0" w:type="dxa"/>
            <w:bottom w:w="0" w:type="dxa"/>
          </w:tblCellMar>
        </w:tblPrEx>
        <w:trPr>
          <w:jc w:val="right"/>
        </w:trPr>
        <w:tc>
          <w:tcPr>
            <w:tcW w:w="850" w:type="dxa"/>
          </w:tcPr>
          <w:p w14:paraId="5FBC40F6" w14:textId="77777777" w:rsidR="0025607C" w:rsidRDefault="0025607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415176D" w14:textId="77777777" w:rsidR="0025607C" w:rsidRDefault="0025607C">
            <w:pPr>
              <w:spacing w:line="240" w:lineRule="auto"/>
              <w:jc w:val="left"/>
              <w:rPr>
                <w:rFonts w:cs="Frankruhel"/>
                <w:sz w:val="24"/>
              </w:rPr>
            </w:pPr>
            <w:hyperlink w:anchor="Seif2" w:tooltip="הוראות מיוחדות" w:history="1">
              <w:r>
                <w:rPr>
                  <w:rStyle w:val="Hyperlink"/>
                </w:rPr>
                <w:t>Go</w:t>
              </w:r>
            </w:hyperlink>
          </w:p>
        </w:tc>
        <w:tc>
          <w:tcPr>
            <w:tcW w:w="5669" w:type="dxa"/>
          </w:tcPr>
          <w:p w14:paraId="48308651" w14:textId="77777777" w:rsidR="0025607C" w:rsidRDefault="0025607C">
            <w:pPr>
              <w:spacing w:line="240" w:lineRule="auto"/>
              <w:jc w:val="left"/>
              <w:rPr>
                <w:rFonts w:cs="Frankruhel"/>
                <w:sz w:val="24"/>
                <w:rtl/>
              </w:rPr>
            </w:pPr>
            <w:r>
              <w:rPr>
                <w:rFonts w:cs="Frankruhel"/>
                <w:sz w:val="24"/>
                <w:rtl/>
              </w:rPr>
              <w:t>הוראות מיוחדות</w:t>
            </w:r>
          </w:p>
        </w:tc>
        <w:tc>
          <w:tcPr>
            <w:tcW w:w="1247" w:type="dxa"/>
          </w:tcPr>
          <w:p w14:paraId="089DA37A" w14:textId="77777777" w:rsidR="0025607C" w:rsidRDefault="0025607C">
            <w:pPr>
              <w:spacing w:line="240" w:lineRule="auto"/>
              <w:jc w:val="left"/>
              <w:rPr>
                <w:rFonts w:cs="Frankruhel"/>
                <w:sz w:val="24"/>
              </w:rPr>
            </w:pPr>
            <w:r>
              <w:rPr>
                <w:rFonts w:cs="Frankruhel"/>
                <w:sz w:val="24"/>
                <w:rtl/>
              </w:rPr>
              <w:t xml:space="preserve">סעיף 3 </w:t>
            </w:r>
          </w:p>
        </w:tc>
      </w:tr>
    </w:tbl>
    <w:p w14:paraId="503234A3" w14:textId="77777777" w:rsidR="0025607C" w:rsidRDefault="0025607C">
      <w:pPr>
        <w:pStyle w:val="big-header"/>
        <w:ind w:left="0" w:right="1134"/>
        <w:rPr>
          <w:rFonts w:cs="FrankRuehl"/>
          <w:sz w:val="32"/>
          <w:rtl/>
        </w:rPr>
      </w:pPr>
    </w:p>
    <w:p w14:paraId="311A1ED7" w14:textId="77777777" w:rsidR="0025607C" w:rsidRDefault="0025607C" w:rsidP="00337CB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האגודות השיתופיות (דמי עזיבה </w:t>
      </w:r>
      <w:r>
        <w:rPr>
          <w:rFonts w:cs="FrankRuehl"/>
          <w:sz w:val="32"/>
          <w:rtl/>
        </w:rPr>
        <w:t xml:space="preserve">– </w:t>
      </w:r>
      <w:r>
        <w:rPr>
          <w:rFonts w:cs="FrankRuehl" w:hint="cs"/>
          <w:sz w:val="32"/>
          <w:rtl/>
        </w:rPr>
        <w:t>קיבוץ יסעור), תשנ"ט-</w:t>
      </w:r>
      <w:r>
        <w:rPr>
          <w:rFonts w:cs="FrankRuehl"/>
          <w:sz w:val="32"/>
          <w:rtl/>
        </w:rPr>
        <w:t>1999</w:t>
      </w:r>
      <w:r>
        <w:rPr>
          <w:rStyle w:val="default"/>
          <w:rtl/>
        </w:rPr>
        <w:footnoteReference w:customMarkFollows="1" w:id="1"/>
        <w:t>*</w:t>
      </w:r>
    </w:p>
    <w:p w14:paraId="521DFED6" w14:textId="77777777" w:rsidR="0025607C" w:rsidRDefault="0025607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65(1) ו-(2)(יב) ו-(כג) לפקודת האגודות השיתופיות, אני מתקין תקנות אלה:</w:t>
      </w:r>
    </w:p>
    <w:p w14:paraId="63C644B0" w14:textId="77777777" w:rsidR="0025607C" w:rsidRDefault="0025607C">
      <w:pPr>
        <w:pStyle w:val="P00"/>
        <w:spacing w:before="72"/>
        <w:ind w:left="0" w:right="1134"/>
        <w:rPr>
          <w:rStyle w:val="default"/>
          <w:rFonts w:cs="FrankRuehl"/>
          <w:rtl/>
        </w:rPr>
      </w:pPr>
      <w:bookmarkStart w:id="0" w:name="Seif0"/>
      <w:bookmarkEnd w:id="0"/>
      <w:r>
        <w:rPr>
          <w:lang w:val="he-IL"/>
        </w:rPr>
        <w:pict w14:anchorId="2709BAC8">
          <v:rect id="_x0000_s1026" style="position:absolute;left:0;text-align:left;margin-left:464.5pt;margin-top:8.05pt;width:75.05pt;height:8pt;z-index:251656704" o:allowincell="f" filled="f" stroked="f" strokecolor="lime" strokeweight=".25pt">
            <v:textbox inset="0,0,0,0">
              <w:txbxContent>
                <w:p w14:paraId="03C33618" w14:textId="77777777" w:rsidR="0025607C" w:rsidRDefault="0025607C">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"הכללים" -</w:t>
      </w:r>
      <w:r>
        <w:rPr>
          <w:rStyle w:val="default"/>
          <w:rFonts w:cs="FrankRuehl"/>
          <w:rtl/>
        </w:rPr>
        <w:t xml:space="preserve"> </w:t>
      </w:r>
      <w:r>
        <w:rPr>
          <w:rStyle w:val="default"/>
          <w:rFonts w:cs="FrankRuehl" w:hint="cs"/>
          <w:rtl/>
        </w:rPr>
        <w:t>שני אלה:</w:t>
      </w:r>
    </w:p>
    <w:p w14:paraId="4845F1D3" w14:textId="77777777" w:rsidR="0025607C" w:rsidRDefault="0025607C">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ללים בדבר זכויות חבר י</w:t>
      </w:r>
      <w:r>
        <w:rPr>
          <w:rStyle w:val="default"/>
          <w:rFonts w:cs="FrankRuehl"/>
          <w:rtl/>
        </w:rPr>
        <w:t>ו</w:t>
      </w:r>
      <w:r>
        <w:rPr>
          <w:rStyle w:val="default"/>
          <w:rFonts w:cs="FrankRuehl" w:hint="cs"/>
          <w:rtl/>
        </w:rPr>
        <w:t>צא או מוצ</w:t>
      </w:r>
      <w:r>
        <w:rPr>
          <w:rStyle w:val="default"/>
          <w:rFonts w:cs="FrankRuehl"/>
          <w:rtl/>
        </w:rPr>
        <w:t xml:space="preserve">א </w:t>
      </w:r>
      <w:r>
        <w:rPr>
          <w:rStyle w:val="default"/>
          <w:rFonts w:cs="FrankRuehl" w:hint="cs"/>
          <w:rtl/>
        </w:rPr>
        <w:t>מקיבוץ, תשנ"ג</w:t>
      </w:r>
      <w:r>
        <w:rPr>
          <w:rStyle w:val="default"/>
          <w:rFonts w:cs="FrankRuehl"/>
          <w:rtl/>
        </w:rPr>
        <w:t>–1993;</w:t>
      </w:r>
    </w:p>
    <w:p w14:paraId="3E5AF5FB" w14:textId="77777777" w:rsidR="0025607C" w:rsidRDefault="0025607C">
      <w:pPr>
        <w:pStyle w:val="P11"/>
        <w:spacing w:before="72"/>
        <w:ind w:left="624"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ללים בדבר זכויות חבר יוצא או מוצא מקיבוץ, שבתוספת הראשונה לתקנות האגודות השיתופיות (חברות), תשל"ג-</w:t>
      </w:r>
      <w:r>
        <w:rPr>
          <w:rStyle w:val="default"/>
          <w:rFonts w:cs="FrankRuehl"/>
          <w:rtl/>
        </w:rPr>
        <w:t>1973 (</w:t>
      </w:r>
      <w:r>
        <w:rPr>
          <w:rStyle w:val="default"/>
          <w:rFonts w:cs="FrankRuehl" w:hint="cs"/>
          <w:rtl/>
        </w:rPr>
        <w:t>להלן -</w:t>
      </w:r>
      <w:r>
        <w:rPr>
          <w:rStyle w:val="default"/>
          <w:rFonts w:cs="FrankRuehl"/>
          <w:rtl/>
        </w:rPr>
        <w:t xml:space="preserve"> </w:t>
      </w:r>
      <w:r>
        <w:rPr>
          <w:rStyle w:val="default"/>
          <w:rFonts w:cs="FrankRuehl" w:hint="cs"/>
          <w:rtl/>
        </w:rPr>
        <w:t>תקנות החברות).</w:t>
      </w:r>
    </w:p>
    <w:p w14:paraId="429B7F37" w14:textId="77777777" w:rsidR="0025607C" w:rsidRDefault="0025607C">
      <w:pPr>
        <w:pStyle w:val="P00"/>
        <w:spacing w:before="72"/>
        <w:ind w:left="0" w:right="1134"/>
        <w:rPr>
          <w:rStyle w:val="default"/>
          <w:rFonts w:cs="FrankRuehl"/>
          <w:rtl/>
        </w:rPr>
      </w:pPr>
      <w:bookmarkStart w:id="1" w:name="Seif1"/>
      <w:bookmarkEnd w:id="1"/>
      <w:r>
        <w:rPr>
          <w:lang w:val="he-IL"/>
        </w:rPr>
        <w:pict w14:anchorId="3B4F597B">
          <v:rect id="_x0000_s1027" style="position:absolute;left:0;text-align:left;margin-left:464.5pt;margin-top:8.05pt;width:75.05pt;height:8pt;z-index:251657728" o:allowincell="f" filled="f" stroked="f" strokecolor="lime" strokeweight=".25pt">
            <v:textbox inset="0,0,0,0">
              <w:txbxContent>
                <w:p w14:paraId="3AA1A3DB" w14:textId="77777777" w:rsidR="0025607C" w:rsidRDefault="0025607C">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בתקנה 19 לתקנות החברות, לא יחולו על קיבוץ יסעור (להלן -</w:t>
      </w:r>
      <w:r>
        <w:rPr>
          <w:rStyle w:val="default"/>
          <w:rFonts w:cs="FrankRuehl"/>
          <w:rtl/>
        </w:rPr>
        <w:t xml:space="preserve"> </w:t>
      </w:r>
      <w:r>
        <w:rPr>
          <w:rStyle w:val="default"/>
          <w:rFonts w:cs="FrankRuehl" w:hint="cs"/>
          <w:rtl/>
        </w:rPr>
        <w:t xml:space="preserve">הקיבוץ) הכללים, ככל שהם נוגעים למועדי תשלום דמי עזיבה, ובמקומם יחולו הוראות תקנה 3. </w:t>
      </w:r>
    </w:p>
    <w:p w14:paraId="626C436F" w14:textId="77777777" w:rsidR="0025607C" w:rsidRDefault="0025607C">
      <w:pPr>
        <w:pStyle w:val="P00"/>
        <w:spacing w:before="72"/>
        <w:ind w:left="0" w:right="1134"/>
        <w:rPr>
          <w:rStyle w:val="default"/>
          <w:rFonts w:cs="FrankRuehl"/>
          <w:rtl/>
        </w:rPr>
      </w:pPr>
      <w:bookmarkStart w:id="2" w:name="Seif2"/>
      <w:bookmarkEnd w:id="2"/>
      <w:r>
        <w:rPr>
          <w:lang w:val="he-IL"/>
        </w:rPr>
        <w:pict w14:anchorId="6E28A0D1">
          <v:rect id="_x0000_s1028" style="position:absolute;left:0;text-align:left;margin-left:464.5pt;margin-top:8.05pt;width:75.05pt;height:8pt;z-index:251658752" o:allowincell="f" filled="f" stroked="f" strokecolor="lime" strokeweight=".25pt">
            <v:textbox inset="0,0,0,0">
              <w:txbxContent>
                <w:p w14:paraId="3D6673F3" w14:textId="77777777" w:rsidR="0025607C" w:rsidRDefault="0025607C">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חברי הקיבוץ הזכאים על פי הכללים לדמי עזיבה (להלן -</w:t>
      </w:r>
      <w:r>
        <w:rPr>
          <w:rStyle w:val="default"/>
          <w:rFonts w:cs="FrankRuehl"/>
          <w:rtl/>
        </w:rPr>
        <w:t xml:space="preserve"> </w:t>
      </w:r>
      <w:r>
        <w:rPr>
          <w:rStyle w:val="default"/>
          <w:rFonts w:cs="FrankRuehl" w:hint="cs"/>
          <w:rtl/>
        </w:rPr>
        <w:t>הזכאי</w:t>
      </w:r>
      <w:r>
        <w:rPr>
          <w:rStyle w:val="default"/>
          <w:rFonts w:cs="FrankRuehl"/>
          <w:rtl/>
        </w:rPr>
        <w:t>ם</w:t>
      </w:r>
      <w:r>
        <w:rPr>
          <w:rStyle w:val="default"/>
          <w:rFonts w:cs="FrankRuehl" w:hint="cs"/>
          <w:rtl/>
        </w:rPr>
        <w:t>), ישולמו דמי עזיבה בפריסה בתשלומים חודשי</w:t>
      </w:r>
      <w:r>
        <w:rPr>
          <w:rStyle w:val="default"/>
          <w:rFonts w:cs="FrankRuehl"/>
          <w:rtl/>
        </w:rPr>
        <w:t>ים</w:t>
      </w:r>
      <w:r>
        <w:rPr>
          <w:rStyle w:val="default"/>
          <w:rFonts w:cs="FrankRuehl" w:hint="cs"/>
          <w:rtl/>
        </w:rPr>
        <w:t>, בשיעורים שיקבע רשם האגודות השיתופיות (להלן -</w:t>
      </w:r>
      <w:r>
        <w:rPr>
          <w:rStyle w:val="default"/>
          <w:rFonts w:cs="FrankRuehl"/>
          <w:rtl/>
        </w:rPr>
        <w:t xml:space="preserve"> </w:t>
      </w:r>
      <w:r>
        <w:rPr>
          <w:rStyle w:val="default"/>
          <w:rFonts w:cs="FrankRuehl" w:hint="cs"/>
          <w:rtl/>
        </w:rPr>
        <w:t>הרשם), כמפורט להלן:</w:t>
      </w:r>
    </w:p>
    <w:p w14:paraId="6E63ED16" w14:textId="77777777" w:rsidR="0025607C" w:rsidRDefault="0025607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יקבע את סכום דמי העזיבה החודשי הכולל שישולם כאמור בפסקה (2), בהתחשב במצבו הכלכלי של הקיבוץ, ולשם כך הוא רשאי, נוסף על סמכותו לחקור בעסקי</w:t>
      </w:r>
      <w:r>
        <w:rPr>
          <w:rStyle w:val="default"/>
          <w:rFonts w:cs="FrankRuehl"/>
          <w:rtl/>
        </w:rPr>
        <w:t xml:space="preserve"> </w:t>
      </w:r>
      <w:r>
        <w:rPr>
          <w:rStyle w:val="default"/>
          <w:rFonts w:cs="FrankRuehl" w:hint="cs"/>
          <w:rtl/>
        </w:rPr>
        <w:t>האגודה, לזמן ולשמוע כל זכאי;</w:t>
      </w:r>
    </w:p>
    <w:p w14:paraId="0A8B5730" w14:textId="77777777" w:rsidR="0025607C" w:rsidRDefault="0025607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ת סכום </w:t>
      </w:r>
      <w:r>
        <w:rPr>
          <w:rStyle w:val="default"/>
          <w:rFonts w:cs="FrankRuehl"/>
          <w:rtl/>
        </w:rPr>
        <w:t>דמ</w:t>
      </w:r>
      <w:r>
        <w:rPr>
          <w:rStyle w:val="default"/>
          <w:rFonts w:cs="FrankRuehl" w:hint="cs"/>
          <w:rtl/>
        </w:rPr>
        <w:t>י העזיבה החודשי הכולל שקבע הרשם כאמור, ישלם הקיבוץ בחלוקה כמפורט להלן:</w:t>
      </w:r>
    </w:p>
    <w:p w14:paraId="1E9C7906" w14:textId="77777777" w:rsidR="0025607C" w:rsidRDefault="0025607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שלום לזכאים, באופן יחסי לזכאותם על פי</w:t>
      </w:r>
      <w:r>
        <w:rPr>
          <w:rStyle w:val="default"/>
          <w:rFonts w:cs="FrankRuehl"/>
          <w:rtl/>
        </w:rPr>
        <w:t xml:space="preserve"> ה</w:t>
      </w:r>
      <w:r>
        <w:rPr>
          <w:rStyle w:val="default"/>
          <w:rFonts w:cs="FrankRuehl" w:hint="cs"/>
          <w:rtl/>
        </w:rPr>
        <w:t>כללים;</w:t>
      </w:r>
    </w:p>
    <w:p w14:paraId="73DB9193" w14:textId="77777777" w:rsidR="0025607C" w:rsidRDefault="0025607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בסכום שיקבע הרשם, שיהווה קרן</w:t>
      </w:r>
      <w:r>
        <w:rPr>
          <w:rStyle w:val="default"/>
          <w:rFonts w:cs="FrankRuehl"/>
          <w:rtl/>
        </w:rPr>
        <w:t xml:space="preserve"> ל</w:t>
      </w:r>
      <w:r>
        <w:rPr>
          <w:rStyle w:val="default"/>
          <w:rFonts w:cs="FrankRuehl" w:hint="cs"/>
          <w:rtl/>
        </w:rPr>
        <w:t>הבטחת תשלום דמי עזיבה, שישולמו בעתיד לחברי</w:t>
      </w:r>
      <w:r>
        <w:rPr>
          <w:rFonts w:cs="FrankRuehl"/>
          <w:sz w:val="26"/>
          <w:rtl/>
        </w:rPr>
        <w:t> </w:t>
      </w:r>
      <w:r>
        <w:rPr>
          <w:rStyle w:val="default"/>
          <w:rFonts w:cs="FrankRuehl"/>
          <w:rtl/>
        </w:rPr>
        <w:t xml:space="preserve"> ה</w:t>
      </w:r>
      <w:r>
        <w:rPr>
          <w:rStyle w:val="default"/>
          <w:rFonts w:cs="FrankRuehl" w:hint="cs"/>
          <w:rtl/>
        </w:rPr>
        <w:t>קיבוץ היוצאים או המוצאים ממנו.</w:t>
      </w:r>
    </w:p>
    <w:p w14:paraId="496CAFA9" w14:textId="77777777" w:rsidR="0025607C" w:rsidRDefault="0025607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w:t>
      </w:r>
      <w:r>
        <w:rPr>
          <w:rStyle w:val="default"/>
          <w:rFonts w:cs="FrankRuehl"/>
          <w:rtl/>
        </w:rPr>
        <w:t>, מ</w:t>
      </w:r>
      <w:r>
        <w:rPr>
          <w:rStyle w:val="default"/>
          <w:rFonts w:cs="FrankRuehl" w:hint="cs"/>
          <w:rtl/>
        </w:rPr>
        <w:t>זמן לזמן, לשנות את הסכום האמור בתקנת משנה (א)(1) או (2)(ב) או את אופן החלוקה האמורה בתקנת משנה (א)(2), בשים לב לשינויים במצבו הכלכלי של הקיבוץ וליחס שבין מספר הזכאים ובין מספר חברי הקיבוץ הנותרים.</w:t>
      </w:r>
    </w:p>
    <w:p w14:paraId="699BB897" w14:textId="77777777" w:rsidR="0025607C" w:rsidRDefault="0025607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הכו</w:t>
      </w:r>
      <w:r>
        <w:rPr>
          <w:rStyle w:val="default"/>
          <w:rFonts w:cs="FrankRuehl"/>
          <w:rtl/>
        </w:rPr>
        <w:t>ל</w:t>
      </w:r>
      <w:r>
        <w:rPr>
          <w:rStyle w:val="default"/>
          <w:rFonts w:cs="FrankRuehl" w:hint="cs"/>
          <w:rtl/>
        </w:rPr>
        <w:t>ל של דמי עזיבה שזכאי לו כל עוזב לפי הכללי</w:t>
      </w:r>
      <w:r>
        <w:rPr>
          <w:rStyle w:val="default"/>
          <w:rFonts w:cs="FrankRuehl"/>
          <w:rtl/>
        </w:rPr>
        <w:t xml:space="preserve">ם, </w:t>
      </w:r>
      <w:r>
        <w:rPr>
          <w:rStyle w:val="default"/>
          <w:rFonts w:cs="FrankRuehl" w:hint="cs"/>
          <w:rtl/>
        </w:rPr>
        <w:t>לא ישונה עקב האמור בתקנת משנה (א) או (ב), על אף פריסתו לתשלומים והרשם רשאי לקבוע, מזמן לזמן, שיעור הפרשי הצמדה וכן שיעור ריבית, שניהם או אחד מהם, שישולמו לזכאי בשל פריסת דמי עזיבה לתשלומים כאמור, הכל בשים לב למצ</w:t>
      </w:r>
      <w:r>
        <w:rPr>
          <w:rStyle w:val="default"/>
          <w:rFonts w:cs="FrankRuehl"/>
          <w:rtl/>
        </w:rPr>
        <w:t>ב</w:t>
      </w:r>
      <w:r>
        <w:rPr>
          <w:rStyle w:val="default"/>
          <w:rFonts w:cs="FrankRuehl" w:hint="cs"/>
          <w:rtl/>
        </w:rPr>
        <w:t>ו הכלכלי של הקיבוץ.</w:t>
      </w:r>
    </w:p>
    <w:p w14:paraId="16055CAA" w14:textId="77777777" w:rsidR="0025607C" w:rsidRDefault="0025607C">
      <w:pPr>
        <w:pStyle w:val="P00"/>
        <w:spacing w:before="72"/>
        <w:ind w:left="0" w:right="1134"/>
        <w:rPr>
          <w:rStyle w:val="default"/>
          <w:rFonts w:cs="FrankRuehl"/>
          <w:rtl/>
        </w:rPr>
      </w:pPr>
    </w:p>
    <w:p w14:paraId="66C09722" w14:textId="77777777" w:rsidR="0025607C" w:rsidRDefault="0025607C">
      <w:pPr>
        <w:pStyle w:val="sig-0"/>
        <w:ind w:left="0" w:right="1134"/>
        <w:rPr>
          <w:rFonts w:cs="FrankRuehl"/>
          <w:sz w:val="26"/>
          <w:rtl/>
        </w:rPr>
      </w:pPr>
      <w:r>
        <w:rPr>
          <w:rFonts w:cs="FrankRuehl"/>
          <w:sz w:val="26"/>
          <w:rtl/>
        </w:rPr>
        <w:t xml:space="preserve">ח' </w:t>
      </w:r>
      <w:r>
        <w:rPr>
          <w:rFonts w:cs="FrankRuehl" w:hint="cs"/>
          <w:sz w:val="26"/>
          <w:rtl/>
        </w:rPr>
        <w:t>בסיון תשנ"ט (23 ב</w:t>
      </w:r>
      <w:r>
        <w:rPr>
          <w:rFonts w:cs="FrankRuehl"/>
          <w:sz w:val="26"/>
          <w:rtl/>
        </w:rPr>
        <w:t>מא</w:t>
      </w:r>
      <w:r>
        <w:rPr>
          <w:rFonts w:cs="FrankRuehl" w:hint="cs"/>
          <w:sz w:val="26"/>
          <w:rtl/>
        </w:rPr>
        <w:t>י 1999)</w:t>
      </w:r>
      <w:r>
        <w:rPr>
          <w:rFonts w:cs="FrankRuehl"/>
          <w:sz w:val="26"/>
          <w:rtl/>
        </w:rPr>
        <w:tab/>
        <w:t>א</w:t>
      </w:r>
      <w:r>
        <w:rPr>
          <w:rFonts w:cs="FrankRuehl" w:hint="cs"/>
          <w:sz w:val="26"/>
          <w:rtl/>
        </w:rPr>
        <w:t>ליהו ישי</w:t>
      </w:r>
    </w:p>
    <w:p w14:paraId="0572E818" w14:textId="77777777" w:rsidR="0025607C" w:rsidRDefault="0025607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14:paraId="243E940C" w14:textId="77777777" w:rsidR="0025607C" w:rsidRDefault="0025607C">
      <w:pPr>
        <w:pStyle w:val="P00"/>
        <w:spacing w:before="72"/>
        <w:ind w:left="0" w:right="1134"/>
        <w:rPr>
          <w:rStyle w:val="default"/>
          <w:rFonts w:cs="FrankRuehl" w:hint="cs"/>
          <w:rtl/>
        </w:rPr>
      </w:pPr>
    </w:p>
    <w:p w14:paraId="0FC25419" w14:textId="77777777" w:rsidR="0025607C" w:rsidRDefault="0025607C">
      <w:pPr>
        <w:pStyle w:val="P00"/>
        <w:spacing w:before="72"/>
        <w:ind w:left="0" w:right="1134"/>
        <w:rPr>
          <w:rStyle w:val="default"/>
          <w:rFonts w:cs="FrankRuehl"/>
          <w:rtl/>
        </w:rPr>
      </w:pPr>
    </w:p>
    <w:p w14:paraId="2D20FE5A" w14:textId="77777777" w:rsidR="0025607C" w:rsidRDefault="0025607C">
      <w:pPr>
        <w:pStyle w:val="P00"/>
        <w:spacing w:before="72"/>
        <w:ind w:left="0" w:right="1134"/>
        <w:rPr>
          <w:rStyle w:val="default"/>
          <w:rFonts w:cs="FrankRuehl"/>
          <w:rtl/>
        </w:rPr>
      </w:pPr>
      <w:bookmarkStart w:id="3" w:name="LawPartEnd"/>
    </w:p>
    <w:bookmarkEnd w:id="3"/>
    <w:p w14:paraId="65CA902B" w14:textId="77777777" w:rsidR="0025607C" w:rsidRDefault="0025607C">
      <w:pPr>
        <w:pStyle w:val="P00"/>
        <w:spacing w:before="72"/>
        <w:ind w:left="0" w:right="1134"/>
        <w:rPr>
          <w:rStyle w:val="default"/>
          <w:rFonts w:cs="FrankRuehl"/>
          <w:rtl/>
        </w:rPr>
      </w:pPr>
    </w:p>
    <w:sectPr w:rsidR="0025607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5259" w14:textId="77777777" w:rsidR="006646CE" w:rsidRDefault="006646CE">
      <w:r>
        <w:separator/>
      </w:r>
    </w:p>
  </w:endnote>
  <w:endnote w:type="continuationSeparator" w:id="0">
    <w:p w14:paraId="1C5FB1D4" w14:textId="77777777" w:rsidR="006646CE" w:rsidRDefault="006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A3D3" w14:textId="77777777" w:rsidR="0025607C" w:rsidRDefault="002560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9C9E1C" w14:textId="77777777" w:rsidR="0025607C" w:rsidRDefault="002560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96A6474" w14:textId="77777777" w:rsidR="0025607C" w:rsidRDefault="002560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\תיקונים\002_027.</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6A06" w14:textId="77777777" w:rsidR="0025607C" w:rsidRDefault="002560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43DCB">
      <w:rPr>
        <w:rFonts w:hAnsi="FrankRuehl" w:cs="FrankRuehl"/>
        <w:noProof/>
        <w:sz w:val="24"/>
        <w:szCs w:val="24"/>
        <w:rtl/>
      </w:rPr>
      <w:t>2</w:t>
    </w:r>
    <w:r>
      <w:rPr>
        <w:rFonts w:hAnsi="FrankRuehl" w:cs="FrankRuehl"/>
        <w:sz w:val="24"/>
        <w:szCs w:val="24"/>
        <w:rtl/>
      </w:rPr>
      <w:fldChar w:fldCharType="end"/>
    </w:r>
  </w:p>
  <w:p w14:paraId="45D818F5" w14:textId="77777777" w:rsidR="0025607C" w:rsidRDefault="002560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E42525D" w14:textId="77777777" w:rsidR="0025607C" w:rsidRDefault="002560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\תיקונים\002_027.</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69AA" w14:textId="77777777" w:rsidR="006646CE" w:rsidRDefault="006646CE">
      <w:pPr>
        <w:spacing w:before="60" w:line="240" w:lineRule="auto"/>
        <w:ind w:right="1134"/>
      </w:pPr>
      <w:r>
        <w:separator/>
      </w:r>
    </w:p>
  </w:footnote>
  <w:footnote w:type="continuationSeparator" w:id="0">
    <w:p w14:paraId="669E87E1" w14:textId="77777777" w:rsidR="006646CE" w:rsidRDefault="006646CE">
      <w:r>
        <w:continuationSeparator/>
      </w:r>
    </w:p>
  </w:footnote>
  <w:footnote w:id="1">
    <w:p w14:paraId="33453192" w14:textId="77777777" w:rsidR="0025607C" w:rsidRDefault="002560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תשנ"ט מס' 5984</w:t>
        </w:r>
      </w:hyperlink>
      <w:r>
        <w:rPr>
          <w:rFonts w:cs="FrankRuehl" w:hint="cs"/>
          <w:rtl/>
        </w:rPr>
        <w:t xml:space="preserve"> מיום 21.6.1999 עמ' 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4DDF" w14:textId="77777777" w:rsidR="0025607C" w:rsidRDefault="002560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יסעור), תשנ"ט–1999</w:t>
    </w:r>
  </w:p>
  <w:p w14:paraId="57EF30AA" w14:textId="77777777" w:rsidR="0025607C" w:rsidRDefault="002560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2ABCA2" w14:textId="77777777" w:rsidR="0025607C" w:rsidRDefault="0025607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9D2B" w14:textId="77777777" w:rsidR="0025607C" w:rsidRDefault="002560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יסעור), תשנ"ט</w:t>
    </w:r>
    <w:r>
      <w:rPr>
        <w:rFonts w:hAnsi="FrankRuehl" w:cs="FrankRuehl" w:hint="cs"/>
        <w:color w:val="000000"/>
        <w:sz w:val="28"/>
        <w:szCs w:val="28"/>
        <w:rtl/>
      </w:rPr>
      <w:t>-</w:t>
    </w:r>
    <w:r>
      <w:rPr>
        <w:rFonts w:hAnsi="FrankRuehl" w:cs="FrankRuehl"/>
        <w:color w:val="000000"/>
        <w:sz w:val="28"/>
        <w:szCs w:val="28"/>
        <w:rtl/>
      </w:rPr>
      <w:t>1999</w:t>
    </w:r>
  </w:p>
  <w:p w14:paraId="363472BB" w14:textId="77777777" w:rsidR="0025607C" w:rsidRDefault="002560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22504B" w14:textId="77777777" w:rsidR="0025607C" w:rsidRDefault="0025607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CBA"/>
    <w:rsid w:val="001A2F3C"/>
    <w:rsid w:val="0025607C"/>
    <w:rsid w:val="00337CBA"/>
    <w:rsid w:val="006646CE"/>
    <w:rsid w:val="00B43DCB"/>
    <w:rsid w:val="00C27121"/>
    <w:rsid w:val="00D02BEF"/>
    <w:rsid w:val="00F213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657506F2"/>
  <w15:chartTrackingRefBased/>
  <w15:docId w15:val="{87986672-B7F6-435B-9530-8C95F2F7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2114</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7602181</vt:i4>
      </vt:variant>
      <vt:variant>
        <vt:i4>0</vt:i4>
      </vt:variant>
      <vt:variant>
        <vt:i4>0</vt:i4>
      </vt:variant>
      <vt:variant>
        <vt:i4>5</vt:i4>
      </vt:variant>
      <vt:variant>
        <vt:lpwstr>http://www.nevo.co.il/Law_word/law06/TAK-5984.pdf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administrator</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(דמי עזיבה - קיבוץ יסעור), תשנ"ט-1999</vt:lpwstr>
  </property>
  <property fmtid="{D5CDD505-2E9C-101B-9397-08002B2CF9AE}" pid="5" name="LAWNUMBER">
    <vt:lpwstr>0027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דמי עזיבה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65X1X;65X2XיבX;65X2XכגX</vt:lpwstr>
  </property>
</Properties>
</file>