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5398A" w14:textId="77777777" w:rsidR="00E02CBD" w:rsidRDefault="00E02CBD">
      <w:pPr>
        <w:pStyle w:val="big-header"/>
        <w:ind w:left="0" w:right="1134"/>
        <w:rPr>
          <w:rFonts w:cs="FrankRuehl" w:hint="cs"/>
          <w:sz w:val="32"/>
          <w:rtl/>
        </w:rPr>
      </w:pPr>
      <w:r>
        <w:rPr>
          <w:rFonts w:cs="FrankRuehl" w:hint="cs"/>
          <w:sz w:val="32"/>
          <w:rtl/>
        </w:rPr>
        <w:t>תקנות האחריות לפיצוי נזקי זיהום בשמן (היטל השתתפות בקרן הבין-לאומית), תשס"ז-2007</w:t>
      </w:r>
    </w:p>
    <w:p w14:paraId="3E3D1CD4" w14:textId="77777777" w:rsidR="00A61DC4" w:rsidRPr="00A61DC4" w:rsidRDefault="00A61DC4" w:rsidP="00A61DC4">
      <w:pPr>
        <w:spacing w:line="320" w:lineRule="auto"/>
        <w:rPr>
          <w:rFonts w:cs="FrankRuehl"/>
          <w:szCs w:val="26"/>
          <w:rtl/>
        </w:rPr>
      </w:pPr>
    </w:p>
    <w:p w14:paraId="4987C59C" w14:textId="77777777" w:rsidR="00A61DC4" w:rsidRPr="00A61DC4" w:rsidRDefault="00A61DC4" w:rsidP="00A61DC4">
      <w:pPr>
        <w:spacing w:line="320" w:lineRule="auto"/>
        <w:rPr>
          <w:rFonts w:cs="Miriam" w:hint="cs"/>
          <w:szCs w:val="22"/>
          <w:rtl/>
        </w:rPr>
      </w:pPr>
      <w:r w:rsidRPr="00A61DC4">
        <w:rPr>
          <w:rFonts w:cs="Miriam"/>
          <w:szCs w:val="22"/>
          <w:rtl/>
        </w:rPr>
        <w:t>חקלאות טבע וסביבה</w:t>
      </w:r>
      <w:r w:rsidRPr="00A61DC4">
        <w:rPr>
          <w:rFonts w:cs="FrankRuehl"/>
          <w:szCs w:val="26"/>
          <w:rtl/>
        </w:rPr>
        <w:t xml:space="preserve"> – איכות הסביבה – מניעת זיהום</w:t>
      </w:r>
    </w:p>
    <w:p w14:paraId="78B4CE48" w14:textId="77777777" w:rsidR="00E02CBD" w:rsidRDefault="00E02CBD">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02CBD" w14:paraId="72544CC3" w14:textId="77777777">
        <w:tblPrEx>
          <w:tblCellMar>
            <w:top w:w="0" w:type="dxa"/>
            <w:bottom w:w="0" w:type="dxa"/>
          </w:tblCellMar>
        </w:tblPrEx>
        <w:trPr>
          <w:jc w:val="right"/>
        </w:trPr>
        <w:tc>
          <w:tcPr>
            <w:tcW w:w="850" w:type="dxa"/>
          </w:tcPr>
          <w:p w14:paraId="4B5A8D7A" w14:textId="77777777" w:rsidR="00E02CBD" w:rsidRDefault="00E02CBD">
            <w:pPr>
              <w:rPr>
                <w:rFonts w:hint="cs"/>
              </w:rPr>
            </w:pPr>
            <w:r>
              <w:rPr>
                <w:rtl/>
              </w:rPr>
              <w:fldChar w:fldCharType="begin"/>
            </w:r>
            <w:r>
              <w:rPr>
                <w:rtl/>
              </w:rPr>
              <w:instrText xml:space="preserve"> </w:instrText>
            </w:r>
            <w:r>
              <w:instrText>PAGEREF Seif0</w:instrText>
            </w:r>
            <w:r>
              <w:rPr>
                <w:rtl/>
              </w:rPr>
              <w:instrText xml:space="preserve"> </w:instrText>
            </w:r>
            <w:r>
              <w:rPr>
                <w:rtl/>
              </w:rPr>
              <w:fldChar w:fldCharType="separate"/>
            </w:r>
            <w:r>
              <w:rPr>
                <w:rtl/>
              </w:rPr>
              <w:t>2</w:t>
            </w:r>
            <w:r>
              <w:rPr>
                <w:rtl/>
              </w:rPr>
              <w:fldChar w:fldCharType="end"/>
            </w:r>
          </w:p>
        </w:tc>
        <w:tc>
          <w:tcPr>
            <w:tcW w:w="567" w:type="dxa"/>
          </w:tcPr>
          <w:p w14:paraId="6BF25BC2" w14:textId="77777777" w:rsidR="00E02CBD" w:rsidRDefault="00E02CBD">
            <w:pPr>
              <w:rPr>
                <w:rFonts w:hint="cs"/>
              </w:rPr>
            </w:pPr>
            <w:hyperlink w:anchor="Seif0" w:tooltip="הגדרות" w:history="1">
              <w:r>
                <w:rPr>
                  <w:rStyle w:val="Hyperlink"/>
                </w:rPr>
                <w:t>Go</w:t>
              </w:r>
            </w:hyperlink>
          </w:p>
        </w:tc>
        <w:tc>
          <w:tcPr>
            <w:tcW w:w="5669" w:type="dxa"/>
          </w:tcPr>
          <w:p w14:paraId="4BB70488" w14:textId="77777777" w:rsidR="00E02CBD" w:rsidRDefault="00E02CBD">
            <w:pPr>
              <w:rPr>
                <w:rtl/>
              </w:rPr>
            </w:pPr>
            <w:r>
              <w:rPr>
                <w:rtl/>
              </w:rPr>
              <w:t>הגדרות</w:t>
            </w:r>
          </w:p>
        </w:tc>
        <w:tc>
          <w:tcPr>
            <w:tcW w:w="1247" w:type="dxa"/>
          </w:tcPr>
          <w:p w14:paraId="4735B457" w14:textId="77777777" w:rsidR="00E02CBD" w:rsidRDefault="00E02CBD">
            <w:pPr>
              <w:rPr>
                <w:rFonts w:hint="cs"/>
              </w:rPr>
            </w:pPr>
            <w:r>
              <w:rPr>
                <w:rtl/>
              </w:rPr>
              <w:t xml:space="preserve">סעיף 1 </w:t>
            </w:r>
          </w:p>
        </w:tc>
      </w:tr>
      <w:tr w:rsidR="00E02CBD" w14:paraId="32FEB01B" w14:textId="77777777">
        <w:tblPrEx>
          <w:tblCellMar>
            <w:top w:w="0" w:type="dxa"/>
            <w:bottom w:w="0" w:type="dxa"/>
          </w:tblCellMar>
        </w:tblPrEx>
        <w:trPr>
          <w:jc w:val="right"/>
        </w:trPr>
        <w:tc>
          <w:tcPr>
            <w:tcW w:w="850" w:type="dxa"/>
          </w:tcPr>
          <w:p w14:paraId="2711C8E8" w14:textId="77777777" w:rsidR="00E02CBD" w:rsidRDefault="00E02CBD">
            <w:pPr>
              <w:rPr>
                <w:rFonts w:hint="cs"/>
              </w:rPr>
            </w:pPr>
            <w:r>
              <w:rPr>
                <w:rtl/>
              </w:rPr>
              <w:fldChar w:fldCharType="begin"/>
            </w:r>
            <w:r>
              <w:rPr>
                <w:rtl/>
              </w:rPr>
              <w:instrText xml:space="preserve"> </w:instrText>
            </w:r>
            <w:r>
              <w:instrText>PAGEREF Seif1</w:instrText>
            </w:r>
            <w:r>
              <w:rPr>
                <w:rtl/>
              </w:rPr>
              <w:instrText xml:space="preserve"> </w:instrText>
            </w:r>
            <w:r>
              <w:rPr>
                <w:rtl/>
              </w:rPr>
              <w:fldChar w:fldCharType="separate"/>
            </w:r>
            <w:r>
              <w:rPr>
                <w:rtl/>
              </w:rPr>
              <w:t>2</w:t>
            </w:r>
            <w:r>
              <w:rPr>
                <w:rtl/>
              </w:rPr>
              <w:fldChar w:fldCharType="end"/>
            </w:r>
          </w:p>
        </w:tc>
        <w:tc>
          <w:tcPr>
            <w:tcW w:w="567" w:type="dxa"/>
          </w:tcPr>
          <w:p w14:paraId="70552DB1" w14:textId="77777777" w:rsidR="00E02CBD" w:rsidRDefault="00E02CBD">
            <w:pPr>
              <w:rPr>
                <w:rFonts w:hint="cs"/>
              </w:rPr>
            </w:pPr>
            <w:hyperlink w:anchor="Seif1" w:tooltip="דיווח על כמויות שמן" w:history="1">
              <w:r>
                <w:rPr>
                  <w:rStyle w:val="Hyperlink"/>
                </w:rPr>
                <w:t>Go</w:t>
              </w:r>
            </w:hyperlink>
          </w:p>
        </w:tc>
        <w:tc>
          <w:tcPr>
            <w:tcW w:w="5669" w:type="dxa"/>
          </w:tcPr>
          <w:p w14:paraId="0EC6CF19" w14:textId="77777777" w:rsidR="00E02CBD" w:rsidRDefault="00E02CBD">
            <w:pPr>
              <w:rPr>
                <w:rtl/>
              </w:rPr>
            </w:pPr>
            <w:r>
              <w:rPr>
                <w:rtl/>
              </w:rPr>
              <w:t>דיווח על כמויות שמן</w:t>
            </w:r>
          </w:p>
        </w:tc>
        <w:tc>
          <w:tcPr>
            <w:tcW w:w="1247" w:type="dxa"/>
          </w:tcPr>
          <w:p w14:paraId="7C03A5DB" w14:textId="77777777" w:rsidR="00E02CBD" w:rsidRDefault="00E02CBD">
            <w:pPr>
              <w:rPr>
                <w:rFonts w:hint="cs"/>
              </w:rPr>
            </w:pPr>
            <w:r>
              <w:rPr>
                <w:rtl/>
              </w:rPr>
              <w:t xml:space="preserve">סעיף 2 </w:t>
            </w:r>
          </w:p>
        </w:tc>
      </w:tr>
      <w:tr w:rsidR="00E02CBD" w14:paraId="0C1EE65A" w14:textId="77777777">
        <w:tblPrEx>
          <w:tblCellMar>
            <w:top w:w="0" w:type="dxa"/>
            <w:bottom w:w="0" w:type="dxa"/>
          </w:tblCellMar>
        </w:tblPrEx>
        <w:trPr>
          <w:jc w:val="right"/>
        </w:trPr>
        <w:tc>
          <w:tcPr>
            <w:tcW w:w="850" w:type="dxa"/>
          </w:tcPr>
          <w:p w14:paraId="6FB6C4DC" w14:textId="77777777" w:rsidR="00E02CBD" w:rsidRDefault="00E02CBD">
            <w:pPr>
              <w:rPr>
                <w:rFonts w:hint="cs"/>
              </w:rPr>
            </w:pPr>
            <w:r>
              <w:rPr>
                <w:rtl/>
              </w:rPr>
              <w:fldChar w:fldCharType="begin"/>
            </w:r>
            <w:r>
              <w:rPr>
                <w:rtl/>
              </w:rPr>
              <w:instrText xml:space="preserve"> </w:instrText>
            </w:r>
            <w:r>
              <w:instrText>PAGEREF Seif2</w:instrText>
            </w:r>
            <w:r>
              <w:rPr>
                <w:rtl/>
              </w:rPr>
              <w:instrText xml:space="preserve"> </w:instrText>
            </w:r>
            <w:r>
              <w:rPr>
                <w:rtl/>
              </w:rPr>
              <w:fldChar w:fldCharType="separate"/>
            </w:r>
            <w:r>
              <w:rPr>
                <w:rtl/>
              </w:rPr>
              <w:t>2</w:t>
            </w:r>
            <w:r>
              <w:rPr>
                <w:rtl/>
              </w:rPr>
              <w:fldChar w:fldCharType="end"/>
            </w:r>
          </w:p>
        </w:tc>
        <w:tc>
          <w:tcPr>
            <w:tcW w:w="567" w:type="dxa"/>
          </w:tcPr>
          <w:p w14:paraId="51AB2FF2" w14:textId="77777777" w:rsidR="00E02CBD" w:rsidRDefault="00E02CBD">
            <w:pPr>
              <w:rPr>
                <w:rFonts w:hint="cs"/>
              </w:rPr>
            </w:pPr>
            <w:hyperlink w:anchor="Seif2" w:tooltip="קביעת כמות שמן משתתף" w:history="1">
              <w:r>
                <w:rPr>
                  <w:rStyle w:val="Hyperlink"/>
                </w:rPr>
                <w:t>Go</w:t>
              </w:r>
            </w:hyperlink>
          </w:p>
        </w:tc>
        <w:tc>
          <w:tcPr>
            <w:tcW w:w="5669" w:type="dxa"/>
          </w:tcPr>
          <w:p w14:paraId="2F5B32DA" w14:textId="77777777" w:rsidR="00E02CBD" w:rsidRDefault="00E02CBD">
            <w:pPr>
              <w:rPr>
                <w:rtl/>
              </w:rPr>
            </w:pPr>
            <w:r>
              <w:rPr>
                <w:rtl/>
              </w:rPr>
              <w:t>קביעת כמות שמן משתתף</w:t>
            </w:r>
          </w:p>
        </w:tc>
        <w:tc>
          <w:tcPr>
            <w:tcW w:w="1247" w:type="dxa"/>
          </w:tcPr>
          <w:p w14:paraId="58BAAA2A" w14:textId="77777777" w:rsidR="00E02CBD" w:rsidRDefault="00E02CBD">
            <w:pPr>
              <w:rPr>
                <w:rFonts w:hint="cs"/>
              </w:rPr>
            </w:pPr>
            <w:r>
              <w:rPr>
                <w:rtl/>
              </w:rPr>
              <w:t xml:space="preserve">סעיף 3 </w:t>
            </w:r>
          </w:p>
        </w:tc>
      </w:tr>
      <w:tr w:rsidR="00E02CBD" w14:paraId="5FADA615" w14:textId="77777777">
        <w:tblPrEx>
          <w:tblCellMar>
            <w:top w:w="0" w:type="dxa"/>
            <w:bottom w:w="0" w:type="dxa"/>
          </w:tblCellMar>
        </w:tblPrEx>
        <w:trPr>
          <w:jc w:val="right"/>
        </w:trPr>
        <w:tc>
          <w:tcPr>
            <w:tcW w:w="850" w:type="dxa"/>
          </w:tcPr>
          <w:p w14:paraId="1877BD0D" w14:textId="77777777" w:rsidR="00E02CBD" w:rsidRDefault="00E02CBD">
            <w:pPr>
              <w:rPr>
                <w:rFonts w:hint="cs"/>
              </w:rPr>
            </w:pPr>
            <w:r>
              <w:rPr>
                <w:rtl/>
              </w:rPr>
              <w:fldChar w:fldCharType="begin"/>
            </w:r>
            <w:r>
              <w:rPr>
                <w:rtl/>
              </w:rPr>
              <w:instrText xml:space="preserve"> </w:instrText>
            </w:r>
            <w:r>
              <w:instrText>PAGEREF Seif3</w:instrText>
            </w:r>
            <w:r>
              <w:rPr>
                <w:rtl/>
              </w:rPr>
              <w:instrText xml:space="preserve"> </w:instrText>
            </w:r>
            <w:r>
              <w:rPr>
                <w:rtl/>
              </w:rPr>
              <w:fldChar w:fldCharType="separate"/>
            </w:r>
            <w:r>
              <w:rPr>
                <w:rtl/>
              </w:rPr>
              <w:t>3</w:t>
            </w:r>
            <w:r>
              <w:rPr>
                <w:rtl/>
              </w:rPr>
              <w:fldChar w:fldCharType="end"/>
            </w:r>
          </w:p>
        </w:tc>
        <w:tc>
          <w:tcPr>
            <w:tcW w:w="567" w:type="dxa"/>
          </w:tcPr>
          <w:p w14:paraId="449C5199" w14:textId="77777777" w:rsidR="00E02CBD" w:rsidRDefault="00E02CBD">
            <w:pPr>
              <w:rPr>
                <w:rFonts w:hint="cs"/>
              </w:rPr>
            </w:pPr>
            <w:hyperlink w:anchor="Seif3" w:tooltip="הודעה למקבל החב בהיטל השתתפות" w:history="1">
              <w:r>
                <w:rPr>
                  <w:rStyle w:val="Hyperlink"/>
                </w:rPr>
                <w:t>Go</w:t>
              </w:r>
            </w:hyperlink>
          </w:p>
        </w:tc>
        <w:tc>
          <w:tcPr>
            <w:tcW w:w="5669" w:type="dxa"/>
          </w:tcPr>
          <w:p w14:paraId="3BF32510" w14:textId="77777777" w:rsidR="00E02CBD" w:rsidRDefault="00E02CBD">
            <w:pPr>
              <w:rPr>
                <w:rtl/>
              </w:rPr>
            </w:pPr>
            <w:r>
              <w:rPr>
                <w:rtl/>
              </w:rPr>
              <w:t>הודעה למקבל החב בהיטל השתתפות</w:t>
            </w:r>
          </w:p>
        </w:tc>
        <w:tc>
          <w:tcPr>
            <w:tcW w:w="1247" w:type="dxa"/>
          </w:tcPr>
          <w:p w14:paraId="79E19F6A" w14:textId="77777777" w:rsidR="00E02CBD" w:rsidRDefault="00E02CBD">
            <w:pPr>
              <w:rPr>
                <w:rFonts w:hint="cs"/>
              </w:rPr>
            </w:pPr>
            <w:r>
              <w:rPr>
                <w:rtl/>
              </w:rPr>
              <w:t xml:space="preserve">סעיף 4 </w:t>
            </w:r>
          </w:p>
        </w:tc>
      </w:tr>
      <w:tr w:rsidR="00E02CBD" w14:paraId="38836088" w14:textId="77777777">
        <w:tblPrEx>
          <w:tblCellMar>
            <w:top w:w="0" w:type="dxa"/>
            <w:bottom w:w="0" w:type="dxa"/>
          </w:tblCellMar>
        </w:tblPrEx>
        <w:trPr>
          <w:jc w:val="right"/>
        </w:trPr>
        <w:tc>
          <w:tcPr>
            <w:tcW w:w="850" w:type="dxa"/>
          </w:tcPr>
          <w:p w14:paraId="23C96825" w14:textId="77777777" w:rsidR="00E02CBD" w:rsidRDefault="00E02CBD">
            <w:pPr>
              <w:rPr>
                <w:rFonts w:hint="cs"/>
              </w:rPr>
            </w:pPr>
            <w:r>
              <w:rPr>
                <w:rtl/>
              </w:rPr>
              <w:fldChar w:fldCharType="begin"/>
            </w:r>
            <w:r>
              <w:rPr>
                <w:rtl/>
              </w:rPr>
              <w:instrText xml:space="preserve"> </w:instrText>
            </w:r>
            <w:r>
              <w:instrText>PAGEREF Seif4</w:instrText>
            </w:r>
            <w:r>
              <w:rPr>
                <w:rtl/>
              </w:rPr>
              <w:instrText xml:space="preserve"> </w:instrText>
            </w:r>
            <w:r>
              <w:rPr>
                <w:rtl/>
              </w:rPr>
              <w:fldChar w:fldCharType="separate"/>
            </w:r>
            <w:r>
              <w:rPr>
                <w:rtl/>
              </w:rPr>
              <w:t>3</w:t>
            </w:r>
            <w:r>
              <w:rPr>
                <w:rtl/>
              </w:rPr>
              <w:fldChar w:fldCharType="end"/>
            </w:r>
          </w:p>
        </w:tc>
        <w:tc>
          <w:tcPr>
            <w:tcW w:w="567" w:type="dxa"/>
          </w:tcPr>
          <w:p w14:paraId="00AD183B" w14:textId="77777777" w:rsidR="00E02CBD" w:rsidRDefault="00E02CBD">
            <w:pPr>
              <w:rPr>
                <w:rFonts w:hint="cs"/>
              </w:rPr>
            </w:pPr>
            <w:hyperlink w:anchor="Seif4" w:tooltip="הודעה לקרן" w:history="1">
              <w:r>
                <w:rPr>
                  <w:rStyle w:val="Hyperlink"/>
                </w:rPr>
                <w:t>Go</w:t>
              </w:r>
            </w:hyperlink>
          </w:p>
        </w:tc>
        <w:tc>
          <w:tcPr>
            <w:tcW w:w="5669" w:type="dxa"/>
          </w:tcPr>
          <w:p w14:paraId="0B87392C" w14:textId="77777777" w:rsidR="00E02CBD" w:rsidRDefault="00E02CBD">
            <w:pPr>
              <w:rPr>
                <w:rtl/>
              </w:rPr>
            </w:pPr>
            <w:r>
              <w:rPr>
                <w:rtl/>
              </w:rPr>
              <w:t>הודעה לקרן</w:t>
            </w:r>
          </w:p>
        </w:tc>
        <w:tc>
          <w:tcPr>
            <w:tcW w:w="1247" w:type="dxa"/>
          </w:tcPr>
          <w:p w14:paraId="5DA90721" w14:textId="77777777" w:rsidR="00E02CBD" w:rsidRDefault="00E02CBD">
            <w:pPr>
              <w:rPr>
                <w:rFonts w:hint="cs"/>
              </w:rPr>
            </w:pPr>
            <w:r>
              <w:rPr>
                <w:rtl/>
              </w:rPr>
              <w:t xml:space="preserve">סעיף 5 </w:t>
            </w:r>
          </w:p>
        </w:tc>
      </w:tr>
      <w:tr w:rsidR="00E02CBD" w14:paraId="1DDA4B57" w14:textId="77777777">
        <w:tblPrEx>
          <w:tblCellMar>
            <w:top w:w="0" w:type="dxa"/>
            <w:bottom w:w="0" w:type="dxa"/>
          </w:tblCellMar>
        </w:tblPrEx>
        <w:trPr>
          <w:jc w:val="right"/>
        </w:trPr>
        <w:tc>
          <w:tcPr>
            <w:tcW w:w="850" w:type="dxa"/>
          </w:tcPr>
          <w:p w14:paraId="231B13FB" w14:textId="77777777" w:rsidR="00E02CBD" w:rsidRDefault="00E02CBD">
            <w:pPr>
              <w:rPr>
                <w:rFonts w:hint="cs"/>
              </w:rPr>
            </w:pPr>
            <w:r>
              <w:rPr>
                <w:rtl/>
              </w:rPr>
              <w:fldChar w:fldCharType="begin"/>
            </w:r>
            <w:r>
              <w:rPr>
                <w:rtl/>
              </w:rPr>
              <w:instrText xml:space="preserve"> </w:instrText>
            </w:r>
            <w:r>
              <w:instrText>PAGEREF Seif5</w:instrText>
            </w:r>
            <w:r>
              <w:rPr>
                <w:rtl/>
              </w:rPr>
              <w:instrText xml:space="preserve"> </w:instrText>
            </w:r>
            <w:r>
              <w:rPr>
                <w:rtl/>
              </w:rPr>
              <w:fldChar w:fldCharType="separate"/>
            </w:r>
            <w:r>
              <w:rPr>
                <w:rtl/>
              </w:rPr>
              <w:t>3</w:t>
            </w:r>
            <w:r>
              <w:rPr>
                <w:rtl/>
              </w:rPr>
              <w:fldChar w:fldCharType="end"/>
            </w:r>
          </w:p>
        </w:tc>
        <w:tc>
          <w:tcPr>
            <w:tcW w:w="567" w:type="dxa"/>
          </w:tcPr>
          <w:p w14:paraId="60DA3E1A" w14:textId="77777777" w:rsidR="00E02CBD" w:rsidRDefault="00E02CBD">
            <w:pPr>
              <w:rPr>
                <w:rFonts w:hint="cs"/>
              </w:rPr>
            </w:pPr>
            <w:hyperlink w:anchor="Seif5" w:tooltip="חישוב היטל ההשתתפות" w:history="1">
              <w:r>
                <w:rPr>
                  <w:rStyle w:val="Hyperlink"/>
                </w:rPr>
                <w:t>Go</w:t>
              </w:r>
            </w:hyperlink>
          </w:p>
        </w:tc>
        <w:tc>
          <w:tcPr>
            <w:tcW w:w="5669" w:type="dxa"/>
          </w:tcPr>
          <w:p w14:paraId="2F8D54F2" w14:textId="77777777" w:rsidR="00E02CBD" w:rsidRDefault="00E02CBD">
            <w:pPr>
              <w:rPr>
                <w:rtl/>
              </w:rPr>
            </w:pPr>
            <w:r>
              <w:rPr>
                <w:rtl/>
              </w:rPr>
              <w:t>חישוב היטל ההשתתפות</w:t>
            </w:r>
          </w:p>
        </w:tc>
        <w:tc>
          <w:tcPr>
            <w:tcW w:w="1247" w:type="dxa"/>
          </w:tcPr>
          <w:p w14:paraId="5C009829" w14:textId="77777777" w:rsidR="00E02CBD" w:rsidRDefault="00E02CBD">
            <w:pPr>
              <w:rPr>
                <w:rFonts w:hint="cs"/>
              </w:rPr>
            </w:pPr>
            <w:r>
              <w:rPr>
                <w:rtl/>
              </w:rPr>
              <w:t xml:space="preserve">סעיף 6 </w:t>
            </w:r>
          </w:p>
        </w:tc>
      </w:tr>
      <w:tr w:rsidR="00E02CBD" w14:paraId="76349052" w14:textId="77777777">
        <w:tblPrEx>
          <w:tblCellMar>
            <w:top w:w="0" w:type="dxa"/>
            <w:bottom w:w="0" w:type="dxa"/>
          </w:tblCellMar>
        </w:tblPrEx>
        <w:trPr>
          <w:jc w:val="right"/>
        </w:trPr>
        <w:tc>
          <w:tcPr>
            <w:tcW w:w="850" w:type="dxa"/>
          </w:tcPr>
          <w:p w14:paraId="5A891867" w14:textId="77777777" w:rsidR="00E02CBD" w:rsidRDefault="00E02CBD">
            <w:pPr>
              <w:rPr>
                <w:rFonts w:hint="cs"/>
              </w:rPr>
            </w:pPr>
            <w:r>
              <w:rPr>
                <w:rtl/>
              </w:rPr>
              <w:fldChar w:fldCharType="begin"/>
            </w:r>
            <w:r>
              <w:rPr>
                <w:rtl/>
              </w:rPr>
              <w:instrText xml:space="preserve"> </w:instrText>
            </w:r>
            <w:r>
              <w:instrText>PAGEREF Seif6</w:instrText>
            </w:r>
            <w:r>
              <w:rPr>
                <w:rtl/>
              </w:rPr>
              <w:instrText xml:space="preserve"> </w:instrText>
            </w:r>
            <w:r>
              <w:rPr>
                <w:rtl/>
              </w:rPr>
              <w:fldChar w:fldCharType="separate"/>
            </w:r>
            <w:r>
              <w:rPr>
                <w:rtl/>
              </w:rPr>
              <w:t>3</w:t>
            </w:r>
            <w:r>
              <w:rPr>
                <w:rtl/>
              </w:rPr>
              <w:fldChar w:fldCharType="end"/>
            </w:r>
          </w:p>
        </w:tc>
        <w:tc>
          <w:tcPr>
            <w:tcW w:w="567" w:type="dxa"/>
          </w:tcPr>
          <w:p w14:paraId="587A126A" w14:textId="77777777" w:rsidR="00E02CBD" w:rsidRDefault="00E02CBD">
            <w:pPr>
              <w:rPr>
                <w:rFonts w:hint="cs"/>
              </w:rPr>
            </w:pPr>
            <w:hyperlink w:anchor="Seif6" w:tooltip="תשלום היטל השתתפות" w:history="1">
              <w:r>
                <w:rPr>
                  <w:rStyle w:val="Hyperlink"/>
                </w:rPr>
                <w:t>Go</w:t>
              </w:r>
            </w:hyperlink>
          </w:p>
        </w:tc>
        <w:tc>
          <w:tcPr>
            <w:tcW w:w="5669" w:type="dxa"/>
          </w:tcPr>
          <w:p w14:paraId="5E215508" w14:textId="77777777" w:rsidR="00E02CBD" w:rsidRDefault="00E02CBD">
            <w:pPr>
              <w:rPr>
                <w:rtl/>
              </w:rPr>
            </w:pPr>
            <w:r>
              <w:rPr>
                <w:rtl/>
              </w:rPr>
              <w:t>תשלום היטל השתתפות</w:t>
            </w:r>
          </w:p>
        </w:tc>
        <w:tc>
          <w:tcPr>
            <w:tcW w:w="1247" w:type="dxa"/>
          </w:tcPr>
          <w:p w14:paraId="3FC7FCA8" w14:textId="77777777" w:rsidR="00E02CBD" w:rsidRDefault="00E02CBD">
            <w:pPr>
              <w:rPr>
                <w:rFonts w:hint="cs"/>
              </w:rPr>
            </w:pPr>
            <w:r>
              <w:rPr>
                <w:rtl/>
              </w:rPr>
              <w:t xml:space="preserve">סעיף 7 </w:t>
            </w:r>
          </w:p>
        </w:tc>
      </w:tr>
      <w:tr w:rsidR="00E02CBD" w14:paraId="3CE0CEA3" w14:textId="77777777">
        <w:tblPrEx>
          <w:tblCellMar>
            <w:top w:w="0" w:type="dxa"/>
            <w:bottom w:w="0" w:type="dxa"/>
          </w:tblCellMar>
        </w:tblPrEx>
        <w:trPr>
          <w:jc w:val="right"/>
        </w:trPr>
        <w:tc>
          <w:tcPr>
            <w:tcW w:w="850" w:type="dxa"/>
          </w:tcPr>
          <w:p w14:paraId="59918B14" w14:textId="77777777" w:rsidR="00E02CBD" w:rsidRDefault="00E02CBD">
            <w:pPr>
              <w:rPr>
                <w:rFonts w:hint="cs"/>
              </w:rPr>
            </w:pPr>
            <w:r>
              <w:rPr>
                <w:rtl/>
              </w:rPr>
              <w:fldChar w:fldCharType="begin"/>
            </w:r>
            <w:r>
              <w:rPr>
                <w:rtl/>
              </w:rPr>
              <w:instrText xml:space="preserve"> </w:instrText>
            </w:r>
            <w:r>
              <w:instrText>PAGEREF Seif7</w:instrText>
            </w:r>
            <w:r>
              <w:rPr>
                <w:rtl/>
              </w:rPr>
              <w:instrText xml:space="preserve"> </w:instrText>
            </w:r>
            <w:r>
              <w:rPr>
                <w:rtl/>
              </w:rPr>
              <w:fldChar w:fldCharType="separate"/>
            </w:r>
            <w:r>
              <w:rPr>
                <w:rtl/>
              </w:rPr>
              <w:t>3</w:t>
            </w:r>
            <w:r>
              <w:rPr>
                <w:rtl/>
              </w:rPr>
              <w:fldChar w:fldCharType="end"/>
            </w:r>
          </w:p>
        </w:tc>
        <w:tc>
          <w:tcPr>
            <w:tcW w:w="567" w:type="dxa"/>
          </w:tcPr>
          <w:p w14:paraId="3F9170AE" w14:textId="77777777" w:rsidR="00E02CBD" w:rsidRDefault="00E02CBD">
            <w:pPr>
              <w:rPr>
                <w:rFonts w:hint="cs"/>
              </w:rPr>
            </w:pPr>
            <w:hyperlink w:anchor="Seif7" w:tooltip="היטל השתתפות שלא שולם במועד" w:history="1">
              <w:r>
                <w:rPr>
                  <w:rStyle w:val="Hyperlink"/>
                </w:rPr>
                <w:t>Go</w:t>
              </w:r>
            </w:hyperlink>
          </w:p>
        </w:tc>
        <w:tc>
          <w:tcPr>
            <w:tcW w:w="5669" w:type="dxa"/>
          </w:tcPr>
          <w:p w14:paraId="499CAB10" w14:textId="77777777" w:rsidR="00E02CBD" w:rsidRDefault="00E02CBD">
            <w:pPr>
              <w:rPr>
                <w:rtl/>
              </w:rPr>
            </w:pPr>
            <w:r>
              <w:rPr>
                <w:rtl/>
              </w:rPr>
              <w:t>היטל השתתפות שלא שולם במועד</w:t>
            </w:r>
          </w:p>
        </w:tc>
        <w:tc>
          <w:tcPr>
            <w:tcW w:w="1247" w:type="dxa"/>
          </w:tcPr>
          <w:p w14:paraId="1A5B5537" w14:textId="77777777" w:rsidR="00E02CBD" w:rsidRDefault="00E02CBD">
            <w:pPr>
              <w:rPr>
                <w:rFonts w:hint="cs"/>
              </w:rPr>
            </w:pPr>
            <w:r>
              <w:rPr>
                <w:rtl/>
              </w:rPr>
              <w:t xml:space="preserve">סעיף 8 </w:t>
            </w:r>
          </w:p>
        </w:tc>
      </w:tr>
      <w:tr w:rsidR="00E02CBD" w14:paraId="2836430A" w14:textId="77777777">
        <w:tblPrEx>
          <w:tblCellMar>
            <w:top w:w="0" w:type="dxa"/>
            <w:bottom w:w="0" w:type="dxa"/>
          </w:tblCellMar>
        </w:tblPrEx>
        <w:trPr>
          <w:jc w:val="right"/>
        </w:trPr>
        <w:tc>
          <w:tcPr>
            <w:tcW w:w="850" w:type="dxa"/>
          </w:tcPr>
          <w:p w14:paraId="17640AC6" w14:textId="77777777" w:rsidR="00E02CBD" w:rsidRDefault="00E02CBD">
            <w:pPr>
              <w:rPr>
                <w:rFonts w:hint="cs"/>
              </w:rPr>
            </w:pPr>
            <w:r>
              <w:rPr>
                <w:rtl/>
              </w:rPr>
              <w:fldChar w:fldCharType="begin"/>
            </w:r>
            <w:r>
              <w:rPr>
                <w:rtl/>
              </w:rPr>
              <w:instrText xml:space="preserve"> </w:instrText>
            </w:r>
            <w:r>
              <w:instrText>PAGEREF Seif8</w:instrText>
            </w:r>
            <w:r>
              <w:rPr>
                <w:rtl/>
              </w:rPr>
              <w:instrText xml:space="preserve"> </w:instrText>
            </w:r>
            <w:r>
              <w:rPr>
                <w:rtl/>
              </w:rPr>
              <w:fldChar w:fldCharType="separate"/>
            </w:r>
            <w:r>
              <w:rPr>
                <w:rtl/>
              </w:rPr>
              <w:t>3</w:t>
            </w:r>
            <w:r>
              <w:rPr>
                <w:rtl/>
              </w:rPr>
              <w:fldChar w:fldCharType="end"/>
            </w:r>
          </w:p>
        </w:tc>
        <w:tc>
          <w:tcPr>
            <w:tcW w:w="567" w:type="dxa"/>
          </w:tcPr>
          <w:p w14:paraId="73FE134F" w14:textId="77777777" w:rsidR="00E02CBD" w:rsidRDefault="00E02CBD">
            <w:pPr>
              <w:rPr>
                <w:rFonts w:hint="cs"/>
              </w:rPr>
            </w:pPr>
            <w:hyperlink w:anchor="Seif8" w:tooltip="העברת היטל ההשתתפות לקרן הבין לאומית" w:history="1">
              <w:r>
                <w:rPr>
                  <w:rStyle w:val="Hyperlink"/>
                </w:rPr>
                <w:t>Go</w:t>
              </w:r>
            </w:hyperlink>
          </w:p>
        </w:tc>
        <w:tc>
          <w:tcPr>
            <w:tcW w:w="5669" w:type="dxa"/>
          </w:tcPr>
          <w:p w14:paraId="7537C58B" w14:textId="77777777" w:rsidR="00E02CBD" w:rsidRDefault="00E02CBD">
            <w:pPr>
              <w:rPr>
                <w:rtl/>
              </w:rPr>
            </w:pPr>
            <w:r>
              <w:rPr>
                <w:rtl/>
              </w:rPr>
              <w:t>העברת היטל ההשתתפות לקרן הבין לאומית</w:t>
            </w:r>
          </w:p>
        </w:tc>
        <w:tc>
          <w:tcPr>
            <w:tcW w:w="1247" w:type="dxa"/>
          </w:tcPr>
          <w:p w14:paraId="77A24B78" w14:textId="77777777" w:rsidR="00E02CBD" w:rsidRDefault="00E02CBD">
            <w:pPr>
              <w:rPr>
                <w:rFonts w:hint="cs"/>
              </w:rPr>
            </w:pPr>
            <w:r>
              <w:rPr>
                <w:rtl/>
              </w:rPr>
              <w:t xml:space="preserve">סעיף 9 </w:t>
            </w:r>
          </w:p>
        </w:tc>
      </w:tr>
      <w:tr w:rsidR="00E02CBD" w14:paraId="4FF7CAF1" w14:textId="77777777">
        <w:tblPrEx>
          <w:tblCellMar>
            <w:top w:w="0" w:type="dxa"/>
            <w:bottom w:w="0" w:type="dxa"/>
          </w:tblCellMar>
        </w:tblPrEx>
        <w:trPr>
          <w:jc w:val="right"/>
        </w:trPr>
        <w:tc>
          <w:tcPr>
            <w:tcW w:w="850" w:type="dxa"/>
          </w:tcPr>
          <w:p w14:paraId="44B6A7A1" w14:textId="77777777" w:rsidR="00E02CBD" w:rsidRDefault="00E02CBD">
            <w:pPr>
              <w:rPr>
                <w:rFonts w:hint="cs"/>
              </w:rPr>
            </w:pPr>
            <w:r>
              <w:rPr>
                <w:rtl/>
              </w:rPr>
              <w:fldChar w:fldCharType="begin"/>
            </w:r>
            <w:r>
              <w:rPr>
                <w:rtl/>
              </w:rPr>
              <w:instrText xml:space="preserve"> </w:instrText>
            </w:r>
            <w:r>
              <w:instrText>PAGEREF Seif9</w:instrText>
            </w:r>
            <w:r>
              <w:rPr>
                <w:rtl/>
              </w:rPr>
              <w:instrText xml:space="preserve"> </w:instrText>
            </w:r>
            <w:r>
              <w:rPr>
                <w:rtl/>
              </w:rPr>
              <w:fldChar w:fldCharType="separate"/>
            </w:r>
            <w:r>
              <w:rPr>
                <w:rtl/>
              </w:rPr>
              <w:t>3</w:t>
            </w:r>
            <w:r>
              <w:rPr>
                <w:rtl/>
              </w:rPr>
              <w:fldChar w:fldCharType="end"/>
            </w:r>
          </w:p>
        </w:tc>
        <w:tc>
          <w:tcPr>
            <w:tcW w:w="567" w:type="dxa"/>
          </w:tcPr>
          <w:p w14:paraId="2E49B2E4" w14:textId="77777777" w:rsidR="00E02CBD" w:rsidRDefault="00E02CBD">
            <w:pPr>
              <w:rPr>
                <w:rFonts w:hint="cs"/>
              </w:rPr>
            </w:pPr>
            <w:hyperlink w:anchor="Seif9" w:tooltip="החזרים למקבל" w:history="1">
              <w:r>
                <w:rPr>
                  <w:rStyle w:val="Hyperlink"/>
                </w:rPr>
                <w:t>Go</w:t>
              </w:r>
            </w:hyperlink>
          </w:p>
        </w:tc>
        <w:tc>
          <w:tcPr>
            <w:tcW w:w="5669" w:type="dxa"/>
          </w:tcPr>
          <w:p w14:paraId="5C60A1C7" w14:textId="77777777" w:rsidR="00E02CBD" w:rsidRDefault="00E02CBD">
            <w:pPr>
              <w:rPr>
                <w:rtl/>
              </w:rPr>
            </w:pPr>
            <w:r>
              <w:rPr>
                <w:rtl/>
              </w:rPr>
              <w:t>החזרים למקבל</w:t>
            </w:r>
          </w:p>
        </w:tc>
        <w:tc>
          <w:tcPr>
            <w:tcW w:w="1247" w:type="dxa"/>
          </w:tcPr>
          <w:p w14:paraId="022B3E0B" w14:textId="77777777" w:rsidR="00E02CBD" w:rsidRDefault="00E02CBD">
            <w:pPr>
              <w:rPr>
                <w:rFonts w:hint="cs"/>
              </w:rPr>
            </w:pPr>
            <w:r>
              <w:rPr>
                <w:rtl/>
              </w:rPr>
              <w:t xml:space="preserve">סעיף 10 </w:t>
            </w:r>
          </w:p>
        </w:tc>
      </w:tr>
    </w:tbl>
    <w:p w14:paraId="70315A10" w14:textId="77777777" w:rsidR="00E02CBD" w:rsidRDefault="00E02CBD">
      <w:pPr>
        <w:pStyle w:val="big-header"/>
        <w:ind w:left="0" w:right="1134"/>
        <w:rPr>
          <w:rFonts w:cs="FrankRuehl" w:hint="cs"/>
          <w:sz w:val="32"/>
          <w:rtl/>
        </w:rPr>
      </w:pPr>
    </w:p>
    <w:p w14:paraId="305918D7" w14:textId="77777777" w:rsidR="00E02CBD" w:rsidRPr="00A61DC4" w:rsidRDefault="00E02CBD" w:rsidP="00A61DC4">
      <w:pPr>
        <w:pStyle w:val="big-header"/>
        <w:ind w:left="0" w:right="1134"/>
        <w:rPr>
          <w:rStyle w:val="default"/>
          <w:rFonts w:cs="FrankRuehl" w:hint="cs"/>
          <w:sz w:val="32"/>
          <w:szCs w:val="32"/>
          <w:rtl/>
        </w:rPr>
      </w:pPr>
      <w:r>
        <w:rPr>
          <w:rFonts w:cs="FrankRuehl"/>
          <w:sz w:val="32"/>
          <w:rtl/>
        </w:rPr>
        <w:br w:type="page"/>
      </w:r>
      <w:r>
        <w:rPr>
          <w:rFonts w:cs="FrankRuehl" w:hint="cs"/>
          <w:sz w:val="32"/>
          <w:rtl/>
        </w:rPr>
        <w:lastRenderedPageBreak/>
        <w:t>תקנות האחריות לפיצוי נזקי זיהום בשמן (היטל השתתפות בקרן הבין-לאומית), תשס"ז-2007</w:t>
      </w:r>
      <w:r>
        <w:rPr>
          <w:rStyle w:val="default"/>
          <w:sz w:val="22"/>
          <w:szCs w:val="22"/>
          <w:rtl/>
        </w:rPr>
        <w:footnoteReference w:customMarkFollows="1" w:id="1"/>
        <w:t>*</w:t>
      </w:r>
    </w:p>
    <w:p w14:paraId="651AC1DA" w14:textId="77777777" w:rsidR="00E02CBD" w:rsidRDefault="00E02CBD">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סעיפים 34(ה) ו</w:t>
      </w:r>
      <w:r>
        <w:rPr>
          <w:rStyle w:val="default"/>
          <w:rFonts w:cs="FrankRuehl" w:hint="cs"/>
          <w:rtl/>
        </w:rPr>
        <w:t>-</w:t>
      </w:r>
      <w:r>
        <w:rPr>
          <w:rStyle w:val="default"/>
          <w:rFonts w:cs="FrankRuehl"/>
          <w:rtl/>
        </w:rPr>
        <w:t>38(א) לחוק האחריות לפיצוי נזקי זיהום בשמן,</w:t>
      </w:r>
      <w:r>
        <w:rPr>
          <w:rStyle w:val="default"/>
          <w:rFonts w:cs="FrankRuehl" w:hint="cs"/>
          <w:rtl/>
        </w:rPr>
        <w:t xml:space="preserve"> </w:t>
      </w:r>
      <w:r>
        <w:rPr>
          <w:rStyle w:val="default"/>
          <w:rFonts w:cs="FrankRuehl"/>
          <w:rtl/>
        </w:rPr>
        <w:t>התשס"ד</w:t>
      </w:r>
      <w:r>
        <w:rPr>
          <w:rStyle w:val="default"/>
          <w:rFonts w:cs="FrankRuehl" w:hint="cs"/>
          <w:rtl/>
        </w:rPr>
        <w:t>-2004</w:t>
      </w:r>
      <w:r>
        <w:rPr>
          <w:rStyle w:val="default"/>
          <w:rFonts w:cs="FrankRuehl"/>
          <w:rtl/>
        </w:rPr>
        <w:t xml:space="preserve"> (להלן – החוק), באישור ועדת הכלכלה של הכנסת, אני מתקין תקנות אלה:</w:t>
      </w:r>
    </w:p>
    <w:p w14:paraId="4E8BA88D" w14:textId="77777777" w:rsidR="00E02CBD" w:rsidRDefault="00E02CBD">
      <w:pPr>
        <w:pStyle w:val="P00"/>
        <w:spacing w:before="72"/>
        <w:ind w:left="0" w:right="1134"/>
        <w:rPr>
          <w:rStyle w:val="default"/>
          <w:rFonts w:cs="FrankRuehl" w:hint="cs"/>
          <w:rtl/>
        </w:rPr>
      </w:pPr>
      <w:bookmarkStart w:id="0" w:name="Seif0"/>
      <w:bookmarkEnd w:id="0"/>
      <w:r>
        <w:rPr>
          <w:rFonts w:cs="Miriam"/>
          <w:lang w:val="he-IL"/>
        </w:rPr>
        <w:pict w14:anchorId="01F30D62">
          <v:rect id="_x0000_s1026" style="position:absolute;left:0;text-align:left;margin-left:464.35pt;margin-top:7.1pt;width:75.05pt;height:8.95pt;z-index:251653120" o:allowincell="f" filled="f" stroked="f" strokecolor="lime" strokeweight=".25pt">
            <v:textbox style="mso-next-textbox:#_x0000_s1026" inset="0,0,0,0">
              <w:txbxContent>
                <w:p w14:paraId="719FCD7A" w14:textId="77777777" w:rsidR="00E02CBD" w:rsidRDefault="00E02CBD">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בתקנות אלה –</w:t>
      </w:r>
    </w:p>
    <w:p w14:paraId="5ECE19B0" w14:textId="77777777" w:rsidR="00E02CBD" w:rsidRDefault="00E02CBD">
      <w:pPr>
        <w:pStyle w:val="P00"/>
        <w:spacing w:before="72"/>
        <w:ind w:left="0" w:right="1134"/>
        <w:rPr>
          <w:rStyle w:val="default"/>
          <w:rFonts w:cs="FrankRuehl" w:hint="cs"/>
          <w:rtl/>
        </w:rPr>
      </w:pPr>
      <w:r>
        <w:rPr>
          <w:rStyle w:val="default"/>
          <w:rFonts w:cs="FrankRuehl" w:hint="cs"/>
          <w:rtl/>
        </w:rPr>
        <w:tab/>
      </w:r>
      <w:r>
        <w:rPr>
          <w:rStyle w:val="default"/>
          <w:rFonts w:cs="FrankRuehl"/>
          <w:rtl/>
        </w:rPr>
        <w:t>"הודעת הקרן" – כל הודעה שניתנה למנהל מאת מנהל הקרן הבין</w:t>
      </w:r>
      <w:r>
        <w:rPr>
          <w:rStyle w:val="default"/>
          <w:rFonts w:cs="FrankRuehl" w:hint="cs"/>
          <w:rtl/>
        </w:rPr>
        <w:t>-</w:t>
      </w:r>
      <w:r>
        <w:rPr>
          <w:rStyle w:val="default"/>
          <w:rFonts w:cs="FrankRuehl"/>
          <w:rtl/>
        </w:rPr>
        <w:t>לאומית, המפרטת את</w:t>
      </w:r>
      <w:r>
        <w:rPr>
          <w:rStyle w:val="default"/>
          <w:rFonts w:cs="FrankRuehl" w:hint="cs"/>
          <w:rtl/>
        </w:rPr>
        <w:t xml:space="preserve"> </w:t>
      </w:r>
      <w:r>
        <w:rPr>
          <w:rStyle w:val="default"/>
          <w:rFonts w:cs="FrankRuehl"/>
          <w:rtl/>
        </w:rPr>
        <w:t>גובה היטל ההשתתפות השנתי, כולו או חלקו, החל בגין קבלת שמן משתתף בישראל;</w:t>
      </w:r>
    </w:p>
    <w:p w14:paraId="23BC676E" w14:textId="77777777" w:rsidR="00E02CBD" w:rsidRDefault="00E02CBD">
      <w:pPr>
        <w:pStyle w:val="P00"/>
        <w:spacing w:before="72"/>
        <w:ind w:left="0" w:right="1134"/>
        <w:rPr>
          <w:rStyle w:val="default"/>
          <w:rFonts w:cs="FrankRuehl" w:hint="cs"/>
          <w:rtl/>
        </w:rPr>
      </w:pPr>
      <w:r>
        <w:rPr>
          <w:rStyle w:val="default"/>
          <w:rFonts w:cs="FrankRuehl" w:hint="cs"/>
          <w:rtl/>
        </w:rPr>
        <w:tab/>
      </w:r>
      <w:r>
        <w:rPr>
          <w:rStyle w:val="default"/>
          <w:rFonts w:cs="FrankRuehl"/>
          <w:rtl/>
        </w:rPr>
        <w:t>"היטל השתתפות" – היטל השתתפות בקרן הבין</w:t>
      </w:r>
      <w:r>
        <w:rPr>
          <w:rStyle w:val="default"/>
          <w:rFonts w:cs="FrankRuehl" w:hint="cs"/>
          <w:rtl/>
        </w:rPr>
        <w:t>-</w:t>
      </w:r>
      <w:r>
        <w:rPr>
          <w:rStyle w:val="default"/>
          <w:rFonts w:cs="FrankRuehl"/>
          <w:rtl/>
        </w:rPr>
        <w:t>לאומית החל על מקבל חייב לפי סעיף 34(ב) לחוק;</w:t>
      </w:r>
    </w:p>
    <w:p w14:paraId="0DD8AF6C" w14:textId="77777777" w:rsidR="00E02CBD" w:rsidRDefault="00E02CBD">
      <w:pPr>
        <w:pStyle w:val="P00"/>
        <w:spacing w:before="72"/>
        <w:ind w:left="0" w:right="1134"/>
        <w:rPr>
          <w:rStyle w:val="default"/>
          <w:rFonts w:cs="FrankRuehl" w:hint="cs"/>
          <w:rtl/>
        </w:rPr>
      </w:pPr>
      <w:r>
        <w:rPr>
          <w:rStyle w:val="default"/>
          <w:rFonts w:cs="FrankRuehl" w:hint="cs"/>
          <w:rtl/>
        </w:rPr>
        <w:tab/>
      </w:r>
      <w:r>
        <w:rPr>
          <w:rStyle w:val="default"/>
          <w:rFonts w:cs="FrankRuehl"/>
          <w:rtl/>
        </w:rPr>
        <w:t>"המנהל" – כהגדרתו בחוק;</w:t>
      </w:r>
    </w:p>
    <w:p w14:paraId="4CCE6826" w14:textId="77777777" w:rsidR="00E02CBD" w:rsidRDefault="00E02CBD">
      <w:pPr>
        <w:pStyle w:val="P00"/>
        <w:spacing w:before="72"/>
        <w:ind w:left="0" w:right="1134"/>
        <w:rPr>
          <w:rStyle w:val="default"/>
          <w:rFonts w:cs="FrankRuehl" w:hint="cs"/>
          <w:rtl/>
        </w:rPr>
      </w:pPr>
      <w:r>
        <w:rPr>
          <w:rStyle w:val="default"/>
          <w:rFonts w:cs="FrankRuehl" w:hint="cs"/>
          <w:rtl/>
        </w:rPr>
        <w:tab/>
      </w:r>
      <w:r>
        <w:rPr>
          <w:rStyle w:val="default"/>
          <w:rFonts w:cs="FrankRuehl"/>
          <w:rtl/>
        </w:rPr>
        <w:t>"יום עסקים בנקאי" – כמשמעותו בהוראות הבנקאות (שירות ללקוח) (מועד זיכוי וחיוב בשיקים), התשנ"ב</w:t>
      </w:r>
      <w:r>
        <w:rPr>
          <w:rStyle w:val="default"/>
          <w:rFonts w:cs="FrankRuehl" w:hint="cs"/>
          <w:rtl/>
        </w:rPr>
        <w:t>-1992</w:t>
      </w:r>
      <w:r>
        <w:rPr>
          <w:rStyle w:val="default"/>
          <w:rFonts w:cs="FrankRuehl"/>
          <w:rtl/>
        </w:rPr>
        <w:t>;</w:t>
      </w:r>
    </w:p>
    <w:p w14:paraId="257E5033" w14:textId="77777777" w:rsidR="00E02CBD" w:rsidRDefault="00E02CBD">
      <w:pPr>
        <w:pStyle w:val="P00"/>
        <w:spacing w:before="72"/>
        <w:ind w:left="0" w:right="1134"/>
        <w:rPr>
          <w:rStyle w:val="default"/>
          <w:rFonts w:cs="FrankRuehl" w:hint="cs"/>
          <w:rtl/>
        </w:rPr>
      </w:pPr>
      <w:r>
        <w:rPr>
          <w:rStyle w:val="default"/>
          <w:rFonts w:cs="FrankRuehl" w:hint="cs"/>
          <w:rtl/>
        </w:rPr>
        <w:tab/>
      </w:r>
      <w:r>
        <w:rPr>
          <w:rStyle w:val="default"/>
          <w:rFonts w:cs="FrankRuehl"/>
          <w:rtl/>
        </w:rPr>
        <w:t>"מועד התשלום" – המועד לתשלום היטל השתתפות לפי תקנה 7(1);</w:t>
      </w:r>
    </w:p>
    <w:p w14:paraId="79D7788F" w14:textId="77777777" w:rsidR="00E02CBD" w:rsidRDefault="00E02CBD">
      <w:pPr>
        <w:pStyle w:val="P00"/>
        <w:spacing w:before="72"/>
        <w:ind w:left="0" w:right="1134"/>
        <w:rPr>
          <w:rStyle w:val="default"/>
          <w:rFonts w:cs="FrankRuehl" w:hint="cs"/>
          <w:rtl/>
        </w:rPr>
      </w:pPr>
      <w:r>
        <w:rPr>
          <w:rStyle w:val="default"/>
          <w:rFonts w:cs="FrankRuehl" w:hint="cs"/>
          <w:rtl/>
        </w:rPr>
        <w:tab/>
      </w:r>
      <w:r>
        <w:rPr>
          <w:rStyle w:val="default"/>
          <w:rFonts w:cs="FrankRuehl"/>
          <w:rtl/>
        </w:rPr>
        <w:t>"מקבל" – בעל מטען או יבואן המקבל בישראל שמן משתתף, לרבות באמצעות חברה בת,</w:t>
      </w:r>
      <w:r>
        <w:rPr>
          <w:rStyle w:val="default"/>
          <w:rFonts w:cs="FrankRuehl" w:hint="cs"/>
          <w:rtl/>
        </w:rPr>
        <w:t xml:space="preserve"> </w:t>
      </w:r>
      <w:r>
        <w:rPr>
          <w:rStyle w:val="default"/>
          <w:rFonts w:cs="FrankRuehl"/>
          <w:rtl/>
        </w:rPr>
        <w:t>חברה מסונפת או חברה קשורה, כהגדרתן בחוק ניירות ערך, התשכ"ח</w:t>
      </w:r>
      <w:r>
        <w:rPr>
          <w:rStyle w:val="default"/>
          <w:rFonts w:cs="FrankRuehl" w:hint="cs"/>
          <w:rtl/>
        </w:rPr>
        <w:t>-1968</w:t>
      </w:r>
      <w:r>
        <w:rPr>
          <w:rStyle w:val="default"/>
          <w:rFonts w:cs="FrankRuehl"/>
          <w:rtl/>
        </w:rPr>
        <w:t>, ולגבי</w:t>
      </w:r>
      <w:r>
        <w:rPr>
          <w:rStyle w:val="default"/>
          <w:rFonts w:cs="FrankRuehl" w:hint="cs"/>
          <w:rtl/>
        </w:rPr>
        <w:t xml:space="preserve"> </w:t>
      </w:r>
      <w:r>
        <w:rPr>
          <w:rStyle w:val="default"/>
          <w:rFonts w:cs="FrankRuehl"/>
          <w:rtl/>
        </w:rPr>
        <w:t>חברה מסונפת וחברה קשורה כאמור, ובלבד שהיא בשליטה של אותו בעל מטען או יבואן;</w:t>
      </w:r>
    </w:p>
    <w:p w14:paraId="5A390374" w14:textId="77777777" w:rsidR="00E02CBD" w:rsidRDefault="00E02CBD">
      <w:pPr>
        <w:pStyle w:val="P00"/>
        <w:spacing w:before="72"/>
        <w:ind w:left="0" w:right="1134"/>
        <w:rPr>
          <w:rStyle w:val="default"/>
          <w:rFonts w:cs="FrankRuehl" w:hint="cs"/>
          <w:rtl/>
        </w:rPr>
      </w:pPr>
      <w:r>
        <w:rPr>
          <w:rStyle w:val="default"/>
          <w:rFonts w:cs="FrankRuehl" w:hint="cs"/>
          <w:rtl/>
        </w:rPr>
        <w:tab/>
      </w:r>
      <w:r>
        <w:rPr>
          <w:rStyle w:val="default"/>
          <w:rFonts w:cs="FrankRuehl"/>
          <w:rtl/>
        </w:rPr>
        <w:t>"מקבל חייב" – מקבל אשר קיבל בשנת כספים יותר מ</w:t>
      </w:r>
      <w:r>
        <w:rPr>
          <w:rStyle w:val="default"/>
          <w:rFonts w:cs="FrankRuehl" w:hint="cs"/>
          <w:rtl/>
        </w:rPr>
        <w:t>-</w:t>
      </w:r>
      <w:r>
        <w:rPr>
          <w:rStyle w:val="default"/>
          <w:rFonts w:cs="FrankRuehl"/>
          <w:rtl/>
        </w:rPr>
        <w:t>150,000 טון שמן משתתף;</w:t>
      </w:r>
    </w:p>
    <w:p w14:paraId="58465C92" w14:textId="77777777" w:rsidR="00E02CBD" w:rsidRDefault="00E02CBD">
      <w:pPr>
        <w:pStyle w:val="P00"/>
        <w:spacing w:before="72"/>
        <w:ind w:left="0" w:right="1134"/>
        <w:rPr>
          <w:rStyle w:val="default"/>
          <w:rFonts w:cs="FrankRuehl" w:hint="cs"/>
          <w:rtl/>
        </w:rPr>
      </w:pPr>
      <w:r>
        <w:rPr>
          <w:rStyle w:val="default"/>
          <w:rFonts w:cs="FrankRuehl" w:hint="cs"/>
          <w:rtl/>
        </w:rPr>
        <w:tab/>
      </w:r>
      <w:r>
        <w:rPr>
          <w:rStyle w:val="default"/>
          <w:rFonts w:cs="FrankRuehl"/>
          <w:rtl/>
        </w:rPr>
        <w:t>"רבעון" – תקופה של שלושה חודשים שתחילתה באחד בינואר, באחד באפריל, באחד ביולי ובאחד באוקטובר, לפי הענין;</w:t>
      </w:r>
    </w:p>
    <w:p w14:paraId="1E5A284E" w14:textId="77777777" w:rsidR="00E02CBD" w:rsidRDefault="00E02CBD">
      <w:pPr>
        <w:pStyle w:val="P00"/>
        <w:spacing w:before="72"/>
        <w:ind w:left="0" w:right="1134"/>
        <w:rPr>
          <w:rStyle w:val="default"/>
          <w:rFonts w:cs="FrankRuehl" w:hint="cs"/>
          <w:rtl/>
        </w:rPr>
      </w:pPr>
      <w:r>
        <w:rPr>
          <w:rStyle w:val="default"/>
          <w:rFonts w:cs="FrankRuehl" w:hint="cs"/>
          <w:rtl/>
        </w:rPr>
        <w:tab/>
      </w:r>
      <w:r>
        <w:rPr>
          <w:rStyle w:val="default"/>
          <w:rFonts w:cs="FrankRuehl"/>
          <w:rtl/>
        </w:rPr>
        <w:t>"שמן משתתף" – כהגדרתו בסעיף 34(א) לחוק, ובלבד שהוא "שמן משתתף" כהגדרתו בפסקה (3) בסעיף 1 לאמנת הקרן, שנוסחה העברי נתון בתוספת הראשונה, ועל פי הנחיות הקרן הבין</w:t>
      </w:r>
      <w:r>
        <w:rPr>
          <w:rStyle w:val="default"/>
          <w:rFonts w:cs="FrankRuehl" w:hint="cs"/>
          <w:rtl/>
        </w:rPr>
        <w:t>-</w:t>
      </w:r>
      <w:r>
        <w:rPr>
          <w:rStyle w:val="default"/>
          <w:rFonts w:cs="FrankRuehl"/>
          <w:rtl/>
        </w:rPr>
        <w:t>לאומית לענין זה, כפי עדכונן מזמן לזמן, המופקדות לעיון הציבור במשרדי המנהל בחיפה.</w:t>
      </w:r>
    </w:p>
    <w:p w14:paraId="03C8F4F5" w14:textId="77777777" w:rsidR="00E02CBD" w:rsidRDefault="00E02CBD">
      <w:pPr>
        <w:pStyle w:val="P00"/>
        <w:spacing w:before="72"/>
        <w:ind w:left="0" w:right="1134"/>
        <w:rPr>
          <w:rStyle w:val="default"/>
          <w:rFonts w:cs="FrankRuehl" w:hint="cs"/>
          <w:rtl/>
        </w:rPr>
      </w:pPr>
      <w:bookmarkStart w:id="1" w:name="Seif1"/>
      <w:bookmarkEnd w:id="1"/>
      <w:r>
        <w:rPr>
          <w:rFonts w:cs="Miriam"/>
          <w:lang w:val="he-IL"/>
        </w:rPr>
        <w:pict w14:anchorId="645515A2">
          <v:rect id="_x0000_s1214" style="position:absolute;left:0;text-align:left;margin-left:464.35pt;margin-top:7.1pt;width:75.05pt;height:8.95pt;z-index:251654144" o:allowincell="f" filled="f" stroked="f" strokecolor="lime" strokeweight=".25pt">
            <v:textbox style="mso-next-textbox:#_x0000_s1214" inset="0,0,0,0">
              <w:txbxContent>
                <w:p w14:paraId="169F4926" w14:textId="77777777" w:rsidR="00E02CBD" w:rsidRDefault="00E02CBD">
                  <w:pPr>
                    <w:spacing w:line="160" w:lineRule="exact"/>
                    <w:rPr>
                      <w:rFonts w:cs="Miriam" w:hint="cs"/>
                      <w:noProof/>
                      <w:sz w:val="18"/>
                      <w:szCs w:val="18"/>
                      <w:rtl/>
                    </w:rPr>
                  </w:pPr>
                  <w:r>
                    <w:rPr>
                      <w:rFonts w:cs="Miriam" w:hint="cs"/>
                      <w:sz w:val="18"/>
                      <w:szCs w:val="18"/>
                      <w:rtl/>
                    </w:rPr>
                    <w:t>דיווח על כמויות שמן</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rtl/>
        </w:rPr>
        <w:t>עד סוף החודש הראשון של כל רבעון ידווח מקבל למנהל, לפי טופס שהוא הורה עליו, על כמות השמן המשתתף שקיבל כמפורט להלן:</w:t>
      </w:r>
    </w:p>
    <w:p w14:paraId="4F6A0C75" w14:textId="77777777" w:rsidR="00E02CBD" w:rsidRDefault="00E02CBD">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כמות השמן המשתתף שקיבל ברבעון הקודם (להלן – כמות רבעונית);</w:t>
      </w:r>
    </w:p>
    <w:p w14:paraId="326CB9D9" w14:textId="77777777" w:rsidR="00E02CBD" w:rsidRDefault="00E02CBD">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הכמות המצטברת של שמן משתתף שקיבל מתחילת אותה שנת כספים עד תום</w:t>
      </w:r>
      <w:r>
        <w:rPr>
          <w:rStyle w:val="default"/>
          <w:rFonts w:cs="FrankRuehl" w:hint="cs"/>
          <w:rtl/>
        </w:rPr>
        <w:t xml:space="preserve"> </w:t>
      </w:r>
      <w:r>
        <w:rPr>
          <w:rStyle w:val="default"/>
          <w:rFonts w:cs="FrankRuehl"/>
          <w:rtl/>
        </w:rPr>
        <w:t>הרבעון הקודם (להלן – כמות מצטברת), למעט ברבעון שתחילתו בחודש ינואר שבו</w:t>
      </w:r>
      <w:r>
        <w:rPr>
          <w:rStyle w:val="default"/>
          <w:rFonts w:cs="FrankRuehl" w:hint="cs"/>
          <w:rtl/>
        </w:rPr>
        <w:t xml:space="preserve"> </w:t>
      </w:r>
      <w:r>
        <w:rPr>
          <w:rStyle w:val="default"/>
          <w:rFonts w:cs="FrankRuehl"/>
          <w:rtl/>
        </w:rPr>
        <w:t>ידווח על כמות השמן המשתתף השנתית שקיבל בשנת הכספים הקודמת (להלן – כמות שנתית)</w:t>
      </w:r>
      <w:r>
        <w:rPr>
          <w:rStyle w:val="default"/>
          <w:rFonts w:cs="FrankRuehl" w:hint="cs"/>
          <w:rtl/>
        </w:rPr>
        <w:t>.</w:t>
      </w:r>
    </w:p>
    <w:p w14:paraId="10228F67" w14:textId="77777777" w:rsidR="00E02CBD" w:rsidRDefault="00E02CBD">
      <w:pPr>
        <w:pStyle w:val="P00"/>
        <w:spacing w:before="72"/>
        <w:ind w:left="0" w:right="1134"/>
        <w:rPr>
          <w:rStyle w:val="default"/>
          <w:rFonts w:cs="FrankRuehl" w:hint="cs"/>
          <w:rtl/>
        </w:rPr>
      </w:pPr>
      <w:bookmarkStart w:id="2" w:name="Seif2"/>
      <w:bookmarkEnd w:id="2"/>
      <w:r>
        <w:rPr>
          <w:rFonts w:cs="Miriam"/>
          <w:lang w:val="he-IL"/>
        </w:rPr>
        <w:pict w14:anchorId="2F2BC810">
          <v:rect id="_x0000_s1215" style="position:absolute;left:0;text-align:left;margin-left:464.35pt;margin-top:7.1pt;width:75.05pt;height:20.5pt;z-index:251655168" o:allowincell="f" filled="f" stroked="f" strokecolor="lime" strokeweight=".25pt">
            <v:textbox style="mso-next-textbox:#_x0000_s1215" inset="0,0,0,0">
              <w:txbxContent>
                <w:p w14:paraId="358F17F1" w14:textId="77777777" w:rsidR="00E02CBD" w:rsidRDefault="00E02CBD">
                  <w:pPr>
                    <w:spacing w:line="160" w:lineRule="exact"/>
                    <w:rPr>
                      <w:rFonts w:cs="Miriam" w:hint="cs"/>
                      <w:noProof/>
                      <w:sz w:val="18"/>
                      <w:szCs w:val="18"/>
                      <w:rtl/>
                    </w:rPr>
                  </w:pPr>
                  <w:r>
                    <w:rPr>
                      <w:rFonts w:cs="Miriam" w:hint="cs"/>
                      <w:sz w:val="18"/>
                      <w:szCs w:val="18"/>
                      <w:rtl/>
                    </w:rPr>
                    <w:t>קביעת כמות שמן משתתף</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היה למנהל יסוד סביר להניח כי הנתונים שמקבל דיווח עליהם ביחס לכמות</w:t>
      </w:r>
      <w:r>
        <w:rPr>
          <w:rStyle w:val="default"/>
          <w:rFonts w:cs="FrankRuehl" w:hint="cs"/>
          <w:rtl/>
        </w:rPr>
        <w:t xml:space="preserve"> </w:t>
      </w:r>
      <w:r>
        <w:rPr>
          <w:rStyle w:val="default"/>
          <w:rFonts w:cs="FrankRuehl"/>
          <w:rtl/>
        </w:rPr>
        <w:t>רבעונית, כמות מצטברת או כמות שנתית של שמן משתתף שקיבל, אינם נכונים, יחולו הוראות אלה:</w:t>
      </w:r>
    </w:p>
    <w:p w14:paraId="18E42688" w14:textId="77777777" w:rsidR="00E02CBD" w:rsidRDefault="00E02CBD">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המנהל יודיע למקבל על אי</w:t>
      </w:r>
      <w:r>
        <w:rPr>
          <w:rStyle w:val="default"/>
          <w:rFonts w:cs="FrankRuehl" w:hint="cs"/>
          <w:rtl/>
        </w:rPr>
        <w:t>-</w:t>
      </w:r>
      <w:r>
        <w:rPr>
          <w:rStyle w:val="default"/>
          <w:rFonts w:cs="FrankRuehl"/>
          <w:rtl/>
        </w:rPr>
        <w:t>נכונות הנתונים כאמור בתוך 10 ימים מיום שנודע לו עליה;</w:t>
      </w:r>
    </w:p>
    <w:p w14:paraId="03A6E728" w14:textId="77777777" w:rsidR="00E02CBD" w:rsidRDefault="00E02CBD">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המנהל יערוך בירור בנוכחות המקבל הנוגע בדבר, לקביעת כמות השמן המשתתף שהוא קיבל;</w:t>
      </w:r>
    </w:p>
    <w:p w14:paraId="34FEA267" w14:textId="77777777" w:rsidR="00E02CBD" w:rsidRDefault="00E02CBD">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המנהל רשאי לדרוש מהמקבל להציג כל מידע או מסמך לאימות הנתונים</w:t>
      </w:r>
      <w:r>
        <w:rPr>
          <w:rStyle w:val="default"/>
          <w:rFonts w:cs="FrankRuehl" w:hint="cs"/>
          <w:rtl/>
        </w:rPr>
        <w:t xml:space="preserve"> </w:t>
      </w:r>
      <w:r>
        <w:rPr>
          <w:rStyle w:val="default"/>
          <w:rFonts w:cs="FrankRuehl"/>
          <w:rtl/>
        </w:rPr>
        <w:t>שעליהם דיווח; המסמכים והמידע כאמור יוצגו למנהל במסגרת הבירור או עוד קודם לכך, לפי הוראתו;</w:t>
      </w:r>
    </w:p>
    <w:p w14:paraId="27A91E17" w14:textId="77777777" w:rsidR="00E02CBD" w:rsidRDefault="00E02CBD">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בירור ייערך בתוך 30 ימים מיום שהודיע המנהל למקבל כאמור בפסקה (1),</w:t>
      </w:r>
      <w:r>
        <w:rPr>
          <w:rStyle w:val="default"/>
          <w:rFonts w:cs="FrankRuehl" w:hint="cs"/>
          <w:rtl/>
        </w:rPr>
        <w:t xml:space="preserve"> </w:t>
      </w:r>
      <w:r>
        <w:rPr>
          <w:rStyle w:val="default"/>
          <w:rFonts w:cs="FrankRuehl"/>
          <w:rtl/>
        </w:rPr>
        <w:t>על האי</w:t>
      </w:r>
      <w:r>
        <w:rPr>
          <w:rStyle w:val="default"/>
          <w:rFonts w:cs="FrankRuehl" w:hint="cs"/>
          <w:rtl/>
        </w:rPr>
        <w:t>-</w:t>
      </w:r>
      <w:r>
        <w:rPr>
          <w:rStyle w:val="default"/>
          <w:rFonts w:cs="FrankRuehl"/>
          <w:rtl/>
        </w:rPr>
        <w:t>התאמה, ואולם בירור לענין כמות שנתית ייערך לא יאוחר מיום שלושים במרס של שנת הכספים שלאחר שנת הכספים שלגביה מתקיים הבירור;</w:t>
      </w:r>
    </w:p>
    <w:p w14:paraId="1DF41593" w14:textId="77777777" w:rsidR="00E02CBD" w:rsidRDefault="00E02CBD">
      <w:pPr>
        <w:pStyle w:val="P00"/>
        <w:spacing w:before="72"/>
        <w:ind w:left="1021" w:right="1134"/>
        <w:rPr>
          <w:rStyle w:val="default"/>
          <w:rFonts w:cs="FrankRuehl" w:hint="cs"/>
          <w:rtl/>
        </w:rPr>
      </w:pPr>
      <w:r>
        <w:rPr>
          <w:rStyle w:val="default"/>
          <w:rFonts w:cs="FrankRuehl"/>
          <w:rtl/>
        </w:rPr>
        <w:lastRenderedPageBreak/>
        <w:t>(5)</w:t>
      </w:r>
      <w:r>
        <w:rPr>
          <w:rStyle w:val="default"/>
          <w:rFonts w:cs="FrankRuehl" w:hint="cs"/>
          <w:rtl/>
        </w:rPr>
        <w:tab/>
      </w:r>
      <w:r>
        <w:rPr>
          <w:rStyle w:val="default"/>
          <w:rFonts w:cs="FrankRuehl"/>
          <w:rtl/>
        </w:rPr>
        <w:t>המנהל יודיע למקבל על החלטתו בבירור לגבי כמות השמן המשתתף שהוא</w:t>
      </w:r>
      <w:r>
        <w:rPr>
          <w:rStyle w:val="default"/>
          <w:rFonts w:cs="FrankRuehl" w:hint="cs"/>
          <w:rtl/>
        </w:rPr>
        <w:t xml:space="preserve"> </w:t>
      </w:r>
      <w:r>
        <w:rPr>
          <w:rStyle w:val="default"/>
          <w:rFonts w:cs="FrankRuehl"/>
          <w:rtl/>
        </w:rPr>
        <w:t>קיבל, בתוך עשרה ימים מעריכת הבירור; החלטתו של המנהל בבירור לגבי כמות שנתית היא סופית.</w:t>
      </w:r>
    </w:p>
    <w:p w14:paraId="37EC6B3D" w14:textId="77777777" w:rsidR="00E02CBD" w:rsidRDefault="00E02CB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 היה למנהל יסוד סביר להניח כי הנתונים שדיווח עליהם מקבל אינם נכונים, תחושב כמות השמן המשתתף לפי דיווחי אותו מקבל.</w:t>
      </w:r>
    </w:p>
    <w:p w14:paraId="03DADDE7" w14:textId="77777777" w:rsidR="00E02CBD" w:rsidRDefault="00E02CBD">
      <w:pPr>
        <w:pStyle w:val="P00"/>
        <w:spacing w:before="72"/>
        <w:ind w:left="0" w:right="1134"/>
        <w:rPr>
          <w:rStyle w:val="default"/>
          <w:rFonts w:cs="FrankRuehl" w:hint="cs"/>
          <w:rtl/>
        </w:rPr>
      </w:pPr>
      <w:bookmarkStart w:id="3" w:name="Seif3"/>
      <w:bookmarkEnd w:id="3"/>
      <w:r>
        <w:rPr>
          <w:rFonts w:cs="Miriam"/>
          <w:lang w:val="he-IL"/>
        </w:rPr>
        <w:pict w14:anchorId="3DA6E0FC">
          <v:rect id="_x0000_s1216" style="position:absolute;left:0;text-align:left;margin-left:464.35pt;margin-top:7.1pt;width:75.05pt;height:18.75pt;z-index:251656192" o:allowincell="f" filled="f" stroked="f" strokecolor="lime" strokeweight=".25pt">
            <v:textbox style="mso-next-textbox:#_x0000_s1216" inset="0,0,0,0">
              <w:txbxContent>
                <w:p w14:paraId="063684A8" w14:textId="77777777" w:rsidR="00E02CBD" w:rsidRDefault="00E02CBD">
                  <w:pPr>
                    <w:spacing w:line="160" w:lineRule="exact"/>
                    <w:rPr>
                      <w:rFonts w:cs="Miriam" w:hint="cs"/>
                      <w:noProof/>
                      <w:sz w:val="18"/>
                      <w:szCs w:val="18"/>
                      <w:rtl/>
                    </w:rPr>
                  </w:pPr>
                  <w:r>
                    <w:rPr>
                      <w:rFonts w:cs="Miriam" w:hint="cs"/>
                      <w:sz w:val="18"/>
                      <w:szCs w:val="18"/>
                      <w:rtl/>
                    </w:rPr>
                    <w:t>הודעה למקבל החב בהיטל השתתפות</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המנהל יודיע לכל מקבל חייב, מהי הכמות השנתית של שמן משתתף שקיבל ואשר</w:t>
      </w:r>
      <w:r>
        <w:rPr>
          <w:rStyle w:val="default"/>
          <w:rFonts w:cs="FrankRuehl" w:hint="cs"/>
          <w:rtl/>
        </w:rPr>
        <w:t xml:space="preserve"> </w:t>
      </w:r>
      <w:r>
        <w:rPr>
          <w:rStyle w:val="default"/>
          <w:rFonts w:cs="FrankRuehl"/>
          <w:rtl/>
        </w:rPr>
        <w:t>בשלה הוא חב בהיטל השתתפות (בתקנה זו – הודעת המנהל) לפי הנתונים שדיווח עליהם אותו מקבל חייב לפי תקנה 2 או לפי הכרעת המנהל בבירור לפי תקנה 3, לפי הענין.</w:t>
      </w:r>
    </w:p>
    <w:p w14:paraId="7E7F991E" w14:textId="77777777" w:rsidR="00E02CBD" w:rsidRDefault="00E02CB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מקבל חייב יאשר בחתימתו ובחותמתו את הודעת המנהל ויחזירה למנהל כשהיא חתומה כאמור בתוך 14 ימים מיום קבלתה; לא החזיר מקבל חייב את הודעת המנהל כשהיא חתומה במועד כאמור, לא יהיה בכך כדי לגרוע מסמכותו של המנהל לכלול בהודעתו לקרן</w:t>
      </w:r>
      <w:r>
        <w:rPr>
          <w:rStyle w:val="default"/>
          <w:rFonts w:cs="FrankRuehl" w:hint="cs"/>
          <w:rtl/>
        </w:rPr>
        <w:t xml:space="preserve"> </w:t>
      </w:r>
      <w:r>
        <w:rPr>
          <w:rStyle w:val="default"/>
          <w:rFonts w:cs="FrankRuehl"/>
          <w:rtl/>
        </w:rPr>
        <w:t>הבין</w:t>
      </w:r>
      <w:r>
        <w:rPr>
          <w:rStyle w:val="default"/>
          <w:rFonts w:cs="FrankRuehl" w:hint="cs"/>
          <w:rtl/>
        </w:rPr>
        <w:t>-</w:t>
      </w:r>
      <w:r>
        <w:rPr>
          <w:rStyle w:val="default"/>
          <w:rFonts w:cs="FrankRuehl"/>
          <w:rtl/>
        </w:rPr>
        <w:t>לאומית לפי תקנה 5, את כמות השמן המשתתף שקיבל אותו מקבל חייב לפי הודעת המנהל.</w:t>
      </w:r>
    </w:p>
    <w:p w14:paraId="00220891" w14:textId="77777777" w:rsidR="00E02CBD" w:rsidRDefault="00E02CBD">
      <w:pPr>
        <w:pStyle w:val="P00"/>
        <w:spacing w:before="72"/>
        <w:ind w:left="0" w:right="1134"/>
        <w:rPr>
          <w:rStyle w:val="default"/>
          <w:rFonts w:cs="FrankRuehl" w:hint="cs"/>
          <w:rtl/>
        </w:rPr>
      </w:pPr>
      <w:bookmarkStart w:id="4" w:name="Seif4"/>
      <w:bookmarkEnd w:id="4"/>
      <w:r>
        <w:rPr>
          <w:rFonts w:cs="Miriam"/>
          <w:lang w:val="he-IL"/>
        </w:rPr>
        <w:pict w14:anchorId="4611EEDA">
          <v:rect id="_x0000_s1217" style="position:absolute;left:0;text-align:left;margin-left:464.35pt;margin-top:7.1pt;width:75.05pt;height:8.95pt;z-index:251657216" o:allowincell="f" filled="f" stroked="f" strokecolor="lime" strokeweight=".25pt">
            <v:textbox style="mso-next-textbox:#_x0000_s1217" inset="0,0,0,0">
              <w:txbxContent>
                <w:p w14:paraId="3143DDC9" w14:textId="77777777" w:rsidR="00E02CBD" w:rsidRDefault="00E02CBD">
                  <w:pPr>
                    <w:spacing w:line="160" w:lineRule="exact"/>
                    <w:rPr>
                      <w:rFonts w:cs="Miriam" w:hint="cs"/>
                      <w:noProof/>
                      <w:sz w:val="18"/>
                      <w:szCs w:val="18"/>
                      <w:rtl/>
                    </w:rPr>
                  </w:pPr>
                  <w:r>
                    <w:rPr>
                      <w:rFonts w:cs="Miriam" w:hint="cs"/>
                      <w:sz w:val="18"/>
                      <w:szCs w:val="18"/>
                      <w:rtl/>
                    </w:rPr>
                    <w:t>הודעה לקרן</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המנהל יודיע לקרן הבין</w:t>
      </w:r>
      <w:r>
        <w:rPr>
          <w:rStyle w:val="default"/>
          <w:rFonts w:cs="FrankRuehl" w:hint="cs"/>
          <w:rtl/>
        </w:rPr>
        <w:t>-</w:t>
      </w:r>
      <w:r>
        <w:rPr>
          <w:rStyle w:val="default"/>
          <w:rFonts w:cs="FrankRuehl"/>
          <w:rtl/>
        </w:rPr>
        <w:t>לאומית על הכמות הכוללת של שמן משתתף שנתקבלה</w:t>
      </w:r>
      <w:r>
        <w:rPr>
          <w:rStyle w:val="default"/>
          <w:rFonts w:cs="FrankRuehl" w:hint="cs"/>
          <w:rtl/>
        </w:rPr>
        <w:t xml:space="preserve"> </w:t>
      </w:r>
      <w:r>
        <w:rPr>
          <w:rStyle w:val="default"/>
          <w:rFonts w:cs="FrankRuehl"/>
          <w:rtl/>
        </w:rPr>
        <w:t>בידי כלל המקבלים החייבים בישראל בשנת כספים מסוימת, עד יום שלושים באפריל של שנת הכספים הבאה אחריה.</w:t>
      </w:r>
    </w:p>
    <w:p w14:paraId="34AF4F1C" w14:textId="77777777" w:rsidR="00E02CBD" w:rsidRDefault="00E02CB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אין בפתיחת הליך משפטי או הליך אחר נגד פעולות המנהל לפי תקנה 3 או 4, כולן או מקצתן, כדי למנוע או לעכב מסירת הודעה לקרן הבין</w:t>
      </w:r>
      <w:r>
        <w:rPr>
          <w:rStyle w:val="default"/>
          <w:rFonts w:cs="FrankRuehl" w:hint="cs"/>
          <w:rtl/>
        </w:rPr>
        <w:t>-</w:t>
      </w:r>
      <w:r>
        <w:rPr>
          <w:rStyle w:val="default"/>
          <w:rFonts w:cs="FrankRuehl"/>
          <w:rtl/>
        </w:rPr>
        <w:t>לאומית לפי תקנת משנה (א).</w:t>
      </w:r>
    </w:p>
    <w:p w14:paraId="447AB3FF" w14:textId="77777777" w:rsidR="00E02CBD" w:rsidRDefault="00E02CBD">
      <w:pPr>
        <w:pStyle w:val="P00"/>
        <w:spacing w:before="72"/>
        <w:ind w:left="0" w:right="1134"/>
        <w:rPr>
          <w:rStyle w:val="default"/>
          <w:rFonts w:cs="FrankRuehl" w:hint="cs"/>
          <w:rtl/>
        </w:rPr>
      </w:pPr>
      <w:bookmarkStart w:id="5" w:name="Seif5"/>
      <w:bookmarkEnd w:id="5"/>
      <w:r>
        <w:rPr>
          <w:rFonts w:cs="Miriam"/>
          <w:lang w:val="he-IL"/>
        </w:rPr>
        <w:pict w14:anchorId="3904E9BA">
          <v:rect id="_x0000_s1218" style="position:absolute;left:0;text-align:left;margin-left:464.35pt;margin-top:7.1pt;width:75.05pt;height:21.7pt;z-index:251658240" o:allowincell="f" filled="f" stroked="f" strokecolor="lime" strokeweight=".25pt">
            <v:textbox style="mso-next-textbox:#_x0000_s1218" inset="0,0,0,0">
              <w:txbxContent>
                <w:p w14:paraId="5EF9FAA5" w14:textId="77777777" w:rsidR="00E02CBD" w:rsidRDefault="00E02CBD">
                  <w:pPr>
                    <w:spacing w:line="160" w:lineRule="exact"/>
                    <w:rPr>
                      <w:rFonts w:cs="Miriam" w:hint="cs"/>
                      <w:noProof/>
                      <w:sz w:val="18"/>
                      <w:szCs w:val="18"/>
                      <w:rtl/>
                    </w:rPr>
                  </w:pPr>
                  <w:r>
                    <w:rPr>
                      <w:rFonts w:cs="Miriam" w:hint="cs"/>
                      <w:sz w:val="18"/>
                      <w:szCs w:val="18"/>
                      <w:rtl/>
                    </w:rPr>
                    <w:t>חישוב היטל ההשתתפות</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rtl/>
        </w:rPr>
        <w:t>המנהל יחשב את שיעור היטל ההשתתפות השנתי, כולו או חלקו, החל על מקבל חייב,</w:t>
      </w:r>
      <w:r>
        <w:rPr>
          <w:rStyle w:val="default"/>
          <w:rFonts w:cs="FrankRuehl" w:hint="cs"/>
          <w:rtl/>
        </w:rPr>
        <w:t xml:space="preserve"> </w:t>
      </w:r>
      <w:r>
        <w:rPr>
          <w:rStyle w:val="default"/>
          <w:rFonts w:cs="FrankRuehl"/>
          <w:rtl/>
        </w:rPr>
        <w:t>כמכפלה של היטל ההשתתפות השנתי, כולו או חלקו, החל על כלל מקבלי השמן המשתתף</w:t>
      </w:r>
      <w:r>
        <w:rPr>
          <w:rStyle w:val="default"/>
          <w:rFonts w:cs="FrankRuehl" w:hint="cs"/>
          <w:rtl/>
        </w:rPr>
        <w:t xml:space="preserve"> </w:t>
      </w:r>
      <w:r>
        <w:rPr>
          <w:rStyle w:val="default"/>
          <w:rFonts w:cs="FrankRuehl"/>
          <w:rtl/>
        </w:rPr>
        <w:t>בישראל לפי הודעת הקרן, בכמות השמן המשתתף שקיבל אותו מקבל חייב בשנת הכספים</w:t>
      </w:r>
      <w:r>
        <w:rPr>
          <w:rStyle w:val="default"/>
          <w:rFonts w:cs="FrankRuehl" w:hint="cs"/>
          <w:rtl/>
        </w:rPr>
        <w:t xml:space="preserve"> </w:t>
      </w:r>
      <w:r>
        <w:rPr>
          <w:rStyle w:val="default"/>
          <w:rFonts w:cs="FrankRuehl"/>
          <w:rtl/>
        </w:rPr>
        <w:t>הקודמת להודעת הקרן, כשהיא מחולקת בכמות השמן המשתתף הכוללת שקיבלו כלל</w:t>
      </w:r>
      <w:r>
        <w:rPr>
          <w:rStyle w:val="default"/>
          <w:rFonts w:cs="FrankRuehl" w:hint="cs"/>
          <w:rtl/>
        </w:rPr>
        <w:t xml:space="preserve"> </w:t>
      </w:r>
      <w:r>
        <w:rPr>
          <w:rStyle w:val="default"/>
          <w:rFonts w:cs="FrankRuehl"/>
          <w:rtl/>
        </w:rPr>
        <w:t>המקבלים החייבים בישראל בשנת הכספים הקודמת להודעת הקרן, ויודיע על כך למקבל החייב בהודעת תשלום לפי הטופס שבתוספת השניה (להלן – הודעת התשלום).</w:t>
      </w:r>
    </w:p>
    <w:p w14:paraId="32582929" w14:textId="77777777" w:rsidR="00E02CBD" w:rsidRDefault="00E02CBD">
      <w:pPr>
        <w:pStyle w:val="P00"/>
        <w:spacing w:before="72"/>
        <w:ind w:left="0" w:right="1134"/>
        <w:rPr>
          <w:rStyle w:val="default"/>
          <w:rFonts w:cs="FrankRuehl" w:hint="cs"/>
          <w:rtl/>
        </w:rPr>
      </w:pPr>
      <w:bookmarkStart w:id="6" w:name="Seif6"/>
      <w:bookmarkEnd w:id="6"/>
      <w:r>
        <w:rPr>
          <w:rFonts w:cs="Miriam"/>
          <w:lang w:val="he-IL"/>
        </w:rPr>
        <w:pict w14:anchorId="0C8757D2">
          <v:rect id="_x0000_s1219" style="position:absolute;left:0;text-align:left;margin-left:464.35pt;margin-top:7.1pt;width:75.05pt;height:17.8pt;z-index:251659264" o:allowincell="f" filled="f" stroked="f" strokecolor="lime" strokeweight=".25pt">
            <v:textbox style="mso-next-textbox:#_x0000_s1219" inset="0,0,0,0">
              <w:txbxContent>
                <w:p w14:paraId="6E9DB3FD" w14:textId="77777777" w:rsidR="00E02CBD" w:rsidRDefault="00E02CBD">
                  <w:pPr>
                    <w:spacing w:line="160" w:lineRule="exact"/>
                    <w:rPr>
                      <w:rFonts w:cs="Miriam" w:hint="cs"/>
                      <w:noProof/>
                      <w:sz w:val="18"/>
                      <w:szCs w:val="18"/>
                      <w:rtl/>
                    </w:rPr>
                  </w:pPr>
                  <w:r>
                    <w:rPr>
                      <w:rFonts w:cs="Miriam" w:hint="cs"/>
                      <w:sz w:val="18"/>
                      <w:szCs w:val="18"/>
                      <w:rtl/>
                    </w:rPr>
                    <w:t>תשלום היטל השתתפות</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rtl/>
        </w:rPr>
        <w:t>היטל ההשתתפות ישולם למנהל במועד, בדרך ובתנאים אלה:</w:t>
      </w:r>
    </w:p>
    <w:p w14:paraId="7B2FD678" w14:textId="77777777" w:rsidR="00E02CBD" w:rsidRDefault="00E02CBD">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בתוך 30 ימים לאחר המצאת הודעת התשלום למקבל החב בהיטל השתתפות, או בתוך תקופה קצרה ממנה אשר לא תפחת מ</w:t>
      </w:r>
      <w:r>
        <w:rPr>
          <w:rStyle w:val="default"/>
          <w:rFonts w:cs="FrankRuehl" w:hint="cs"/>
          <w:rtl/>
        </w:rPr>
        <w:t>-</w:t>
      </w:r>
      <w:r>
        <w:rPr>
          <w:rStyle w:val="default"/>
          <w:rFonts w:cs="FrankRuehl"/>
          <w:rtl/>
        </w:rPr>
        <w:t>20 ימים, שהורה עליה המנהל בהודעת התשלום ביום עסקים בנקאי, עד שעה 10:00 בבוקר של יום העסקים הבנקאי האחרון לתשלום כאמור;</w:t>
      </w:r>
    </w:p>
    <w:p w14:paraId="7543ABDB" w14:textId="77777777" w:rsidR="00E02CBD" w:rsidRDefault="00E02CBD">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באמצעות העברה בנקאית בלבד לחשבון הבנק שצוין בהודעת התשלום;</w:t>
      </w:r>
    </w:p>
    <w:p w14:paraId="4024F0E9" w14:textId="77777777" w:rsidR="00E02CBD" w:rsidRDefault="00E02CBD">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בשקלים חדשים לפי שער העברות גבוה או במטבע חוץ שצוין בהודעת התשלום.</w:t>
      </w:r>
    </w:p>
    <w:p w14:paraId="643AFA53" w14:textId="77777777" w:rsidR="00E02CBD" w:rsidRDefault="00E02CBD">
      <w:pPr>
        <w:pStyle w:val="P00"/>
        <w:spacing w:before="72"/>
        <w:ind w:left="0" w:right="1134"/>
        <w:rPr>
          <w:rStyle w:val="default"/>
          <w:rFonts w:cs="FrankRuehl" w:hint="cs"/>
          <w:rtl/>
        </w:rPr>
      </w:pPr>
      <w:bookmarkStart w:id="7" w:name="Seif7"/>
      <w:bookmarkEnd w:id="7"/>
      <w:r>
        <w:rPr>
          <w:rFonts w:cs="Miriam"/>
          <w:lang w:val="he-IL"/>
        </w:rPr>
        <w:pict w14:anchorId="3F40BF33">
          <v:rect id="_x0000_s1220" style="position:absolute;left:0;text-align:left;margin-left:464.35pt;margin-top:7.1pt;width:75.05pt;height:17.05pt;z-index:251660288" o:allowincell="f" filled="f" stroked="f" strokecolor="lime" strokeweight=".25pt">
            <v:textbox style="mso-next-textbox:#_x0000_s1220" inset="0,0,0,0">
              <w:txbxContent>
                <w:p w14:paraId="3C596DC2" w14:textId="77777777" w:rsidR="00E02CBD" w:rsidRDefault="00E02CBD">
                  <w:pPr>
                    <w:spacing w:line="160" w:lineRule="exact"/>
                    <w:rPr>
                      <w:rFonts w:cs="Miriam" w:hint="cs"/>
                      <w:noProof/>
                      <w:sz w:val="18"/>
                      <w:szCs w:val="18"/>
                      <w:rtl/>
                    </w:rPr>
                  </w:pPr>
                  <w:r>
                    <w:rPr>
                      <w:rFonts w:cs="Miriam" w:hint="cs"/>
                      <w:sz w:val="18"/>
                      <w:szCs w:val="18"/>
                      <w:rtl/>
                    </w:rPr>
                    <w:t>היטל השתתפות שלא שולם במועד</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לא שילם מקבל חייב היטל השתתפות החל עליו או כל חלק ממנו, במועד התשלום,</w:t>
      </w:r>
      <w:r>
        <w:rPr>
          <w:rStyle w:val="default"/>
          <w:rFonts w:cs="FrankRuehl" w:hint="cs"/>
          <w:rtl/>
        </w:rPr>
        <w:t xml:space="preserve"> </w:t>
      </w:r>
      <w:r>
        <w:rPr>
          <w:rStyle w:val="default"/>
          <w:rFonts w:cs="FrankRuehl"/>
          <w:rtl/>
        </w:rPr>
        <w:t>תיווסף להיטל או לכל חלק ממנו שלא שולם ריבית פיגורים חודשית בשיעור שקובע החשב</w:t>
      </w:r>
      <w:r>
        <w:rPr>
          <w:rStyle w:val="default"/>
          <w:rFonts w:cs="FrankRuehl" w:hint="cs"/>
          <w:rtl/>
        </w:rPr>
        <w:t xml:space="preserve"> </w:t>
      </w:r>
      <w:r>
        <w:rPr>
          <w:rStyle w:val="default"/>
          <w:rFonts w:cs="FrankRuehl"/>
          <w:rtl/>
        </w:rPr>
        <w:t>הכללי במשרד האוצר מזמן לזמן, לכל חודש החל ביום שלאחר מועד התשלום, שתחושב נוסף על ריבית הפיגורים שלפי הוראות אמנת הקרן.</w:t>
      </w:r>
    </w:p>
    <w:p w14:paraId="45A240A2" w14:textId="77777777" w:rsidR="00E02CBD" w:rsidRDefault="00E02CB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סכום ששולם או שנגבה על חשבון היטל השתתפות שנוספה עליו ריבית נוספת לפי תקנת משנה (א), ייזקף תחילה על חשבון ריבית כאמור.</w:t>
      </w:r>
    </w:p>
    <w:p w14:paraId="7C9651B4" w14:textId="77777777" w:rsidR="00E02CBD" w:rsidRDefault="00E02CBD">
      <w:pPr>
        <w:pStyle w:val="P00"/>
        <w:spacing w:before="72"/>
        <w:ind w:left="0" w:right="1134"/>
        <w:rPr>
          <w:rStyle w:val="default"/>
          <w:rFonts w:cs="FrankRuehl" w:hint="cs"/>
          <w:rtl/>
        </w:rPr>
      </w:pPr>
      <w:bookmarkStart w:id="8" w:name="Seif8"/>
      <w:bookmarkEnd w:id="8"/>
      <w:r>
        <w:rPr>
          <w:rFonts w:cs="Miriam"/>
          <w:lang w:val="he-IL"/>
        </w:rPr>
        <w:pict w14:anchorId="31F3CBF0">
          <v:rect id="_x0000_s1221" style="position:absolute;left:0;text-align:left;margin-left:464.35pt;margin-top:7.1pt;width:75.05pt;height:27.55pt;z-index:251661312" o:allowincell="f" filled="f" stroked="f" strokecolor="lime" strokeweight=".25pt">
            <v:textbox style="mso-next-textbox:#_x0000_s1221" inset="0,0,0,0">
              <w:txbxContent>
                <w:p w14:paraId="13CAA612" w14:textId="77777777" w:rsidR="00E02CBD" w:rsidRDefault="00E02CBD">
                  <w:pPr>
                    <w:spacing w:line="160" w:lineRule="exact"/>
                    <w:rPr>
                      <w:rFonts w:cs="Miriam" w:hint="cs"/>
                      <w:noProof/>
                      <w:sz w:val="18"/>
                      <w:szCs w:val="18"/>
                      <w:rtl/>
                    </w:rPr>
                  </w:pPr>
                  <w:r>
                    <w:rPr>
                      <w:rFonts w:cs="Miriam" w:hint="cs"/>
                      <w:sz w:val="18"/>
                      <w:szCs w:val="18"/>
                      <w:rtl/>
                    </w:rPr>
                    <w:t>העברת היטל ההשתתפות לקרן הבין-לאומית</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שולם היטל ההשתתפות במועד התשלום, כולו או חלקו, יעביר המנהל כל סכום ששולם כאמור לקרן הבין</w:t>
      </w:r>
      <w:r>
        <w:rPr>
          <w:rStyle w:val="default"/>
          <w:rFonts w:cs="FrankRuehl" w:hint="cs"/>
          <w:rtl/>
        </w:rPr>
        <w:t>-</w:t>
      </w:r>
      <w:r>
        <w:rPr>
          <w:rStyle w:val="default"/>
          <w:rFonts w:cs="FrankRuehl"/>
          <w:rtl/>
        </w:rPr>
        <w:t>לאומית עד יום אחד במרס שלאחר מועד התשלום.</w:t>
      </w:r>
    </w:p>
    <w:p w14:paraId="2DC951D7" w14:textId="77777777" w:rsidR="00E02CBD" w:rsidRDefault="00E02CB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 שולם היטל ההשתתפות במועד התשלום, כולו או חלקו, יעביר המנהל לקרן הבין</w:t>
      </w:r>
      <w:r>
        <w:rPr>
          <w:rStyle w:val="default"/>
          <w:rFonts w:cs="FrankRuehl" w:hint="cs"/>
          <w:rtl/>
        </w:rPr>
        <w:t>-</w:t>
      </w:r>
      <w:r>
        <w:rPr>
          <w:rStyle w:val="default"/>
          <w:rFonts w:cs="FrankRuehl"/>
          <w:rtl/>
        </w:rPr>
        <w:t>לאומית כל סכום ששולם באיחור, לרבות ריבית החלה עליו כאמור בסעיף 34(ג) לחוק, בהקדם האפשרי לאחר תשלומו.</w:t>
      </w:r>
    </w:p>
    <w:p w14:paraId="1F556ADE" w14:textId="77777777" w:rsidR="00E02CBD" w:rsidRDefault="00E02CBD">
      <w:pPr>
        <w:pStyle w:val="P00"/>
        <w:spacing w:before="72"/>
        <w:ind w:left="0" w:right="1134"/>
        <w:rPr>
          <w:rStyle w:val="default"/>
          <w:rFonts w:cs="FrankRuehl" w:hint="cs"/>
          <w:rtl/>
        </w:rPr>
      </w:pPr>
      <w:bookmarkStart w:id="9" w:name="Seif9"/>
      <w:bookmarkEnd w:id="9"/>
      <w:r>
        <w:rPr>
          <w:rFonts w:cs="Miriam"/>
          <w:lang w:val="he-IL"/>
        </w:rPr>
        <w:pict w14:anchorId="70E389CE">
          <v:rect id="_x0000_s1222" style="position:absolute;left:0;text-align:left;margin-left:464.35pt;margin-top:7.1pt;width:75.05pt;height:8.95pt;z-index:251662336" o:allowincell="f" filled="f" stroked="f" strokecolor="lime" strokeweight=".25pt">
            <v:textbox style="mso-next-textbox:#_x0000_s1222" inset="0,0,0,0">
              <w:txbxContent>
                <w:p w14:paraId="0EBCBE73" w14:textId="77777777" w:rsidR="00E02CBD" w:rsidRDefault="00E02CBD">
                  <w:pPr>
                    <w:spacing w:line="160" w:lineRule="exact"/>
                    <w:rPr>
                      <w:rFonts w:cs="Miriam" w:hint="cs"/>
                      <w:noProof/>
                      <w:sz w:val="18"/>
                      <w:szCs w:val="18"/>
                      <w:rtl/>
                    </w:rPr>
                  </w:pPr>
                  <w:r>
                    <w:rPr>
                      <w:rFonts w:cs="Miriam" w:hint="cs"/>
                      <w:sz w:val="18"/>
                      <w:szCs w:val="18"/>
                      <w:rtl/>
                    </w:rPr>
                    <w:t>החזרים למקבל</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rtl/>
        </w:rPr>
        <w:t>שלח מנהל הקרן הבין</w:t>
      </w:r>
      <w:r>
        <w:rPr>
          <w:rStyle w:val="default"/>
          <w:rFonts w:cs="FrankRuehl" w:hint="cs"/>
          <w:rtl/>
        </w:rPr>
        <w:t>-</w:t>
      </w:r>
      <w:r>
        <w:rPr>
          <w:rStyle w:val="default"/>
          <w:rFonts w:cs="FrankRuehl"/>
          <w:rtl/>
        </w:rPr>
        <w:t>לאומית למנהל החזר כספי בשל תשלומי היטל השתתפות, יחזירו המנהל, בתוך 14 ימים מיום שקיבל את ההחזר כאמור, למקבלים שנגבה מהם היטל ההשתתפות באותה שנת כספים שלגביה מתייחס ההחזר כאמור, לפי יחס כמויות השמן המשתתף שקבלו אותם מקבלים בשנת הכספים הקודמת לשנה האמורה.</w:t>
      </w:r>
    </w:p>
    <w:p w14:paraId="2AF17E3F" w14:textId="77777777" w:rsidR="00E02CBD" w:rsidRDefault="00E02CBD">
      <w:pPr>
        <w:pStyle w:val="P00"/>
        <w:spacing w:before="72"/>
        <w:ind w:left="0" w:right="1134"/>
        <w:rPr>
          <w:rStyle w:val="default"/>
          <w:rFonts w:cs="FrankRuehl" w:hint="cs"/>
          <w:rtl/>
        </w:rPr>
      </w:pPr>
    </w:p>
    <w:p w14:paraId="0D850830" w14:textId="77777777" w:rsidR="00E02CBD" w:rsidRDefault="00E02CBD">
      <w:pPr>
        <w:pStyle w:val="P00"/>
        <w:spacing w:before="72"/>
        <w:ind w:left="0" w:right="1134"/>
        <w:jc w:val="center"/>
        <w:rPr>
          <w:rStyle w:val="default"/>
          <w:rFonts w:cs="FrankRuehl" w:hint="cs"/>
          <w:b/>
          <w:bCs/>
          <w:rtl/>
        </w:rPr>
      </w:pPr>
      <w:r>
        <w:rPr>
          <w:rStyle w:val="default"/>
          <w:rFonts w:cs="FrankRuehl"/>
          <w:b/>
          <w:bCs/>
          <w:rtl/>
        </w:rPr>
        <w:t>תוספת ראשונה</w:t>
      </w:r>
    </w:p>
    <w:p w14:paraId="4397CFFC" w14:textId="77777777" w:rsidR="00E02CBD" w:rsidRDefault="00E02CBD">
      <w:pPr>
        <w:pStyle w:val="P00"/>
        <w:spacing w:before="72"/>
        <w:ind w:left="0" w:right="1134"/>
        <w:jc w:val="center"/>
        <w:rPr>
          <w:rStyle w:val="default"/>
          <w:rFonts w:cs="FrankRuehl" w:hint="cs"/>
          <w:sz w:val="24"/>
          <w:szCs w:val="24"/>
          <w:rtl/>
        </w:rPr>
      </w:pPr>
      <w:r>
        <w:rPr>
          <w:rStyle w:val="default"/>
          <w:rFonts w:cs="FrankRuehl" w:hint="cs"/>
          <w:sz w:val="24"/>
          <w:szCs w:val="24"/>
          <w:rtl/>
        </w:rPr>
        <w:t>(תקנה 1)</w:t>
      </w:r>
    </w:p>
    <w:p w14:paraId="3212D961" w14:textId="77777777" w:rsidR="00E02CBD" w:rsidRDefault="00E02CBD">
      <w:pPr>
        <w:pStyle w:val="P00"/>
        <w:spacing w:before="72"/>
        <w:ind w:left="0" w:right="1134"/>
        <w:jc w:val="center"/>
        <w:rPr>
          <w:rStyle w:val="default"/>
          <w:rFonts w:cs="FrankRuehl" w:hint="cs"/>
          <w:b/>
          <w:bCs/>
          <w:sz w:val="22"/>
          <w:szCs w:val="22"/>
          <w:rtl/>
        </w:rPr>
      </w:pPr>
      <w:r>
        <w:rPr>
          <w:rStyle w:val="default"/>
          <w:rFonts w:cs="FrankRuehl"/>
          <w:b/>
          <w:bCs/>
          <w:sz w:val="22"/>
          <w:szCs w:val="22"/>
          <w:rtl/>
        </w:rPr>
        <w:t>תרגום נוסח פסקה (3) של ההגדרה שמן משתתף באמנת הקרן</w:t>
      </w:r>
    </w:p>
    <w:p w14:paraId="182A281F" w14:textId="77777777" w:rsidR="00E02CBD" w:rsidRDefault="00E02CBD">
      <w:pPr>
        <w:pStyle w:val="P00"/>
        <w:spacing w:before="72"/>
        <w:ind w:left="0" w:right="1134"/>
        <w:rPr>
          <w:rStyle w:val="default"/>
          <w:rFonts w:cs="FrankRuehl" w:hint="cs"/>
          <w:rtl/>
        </w:rPr>
      </w:pPr>
      <w:r>
        <w:rPr>
          <w:rStyle w:val="default"/>
          <w:rFonts w:cs="FrankRuehl"/>
          <w:rtl/>
        </w:rPr>
        <w:t>שמן משתתף פירושו שמן גולמי ושמן לדלק כמוגדר בתת</w:t>
      </w:r>
      <w:r>
        <w:rPr>
          <w:rStyle w:val="default"/>
          <w:rFonts w:cs="FrankRuehl" w:hint="cs"/>
          <w:rtl/>
        </w:rPr>
        <w:t>-</w:t>
      </w:r>
      <w:r>
        <w:rPr>
          <w:rStyle w:val="default"/>
          <w:rFonts w:cs="FrankRuehl"/>
          <w:rtl/>
        </w:rPr>
        <w:t>סעיף (א) ו</w:t>
      </w:r>
      <w:r>
        <w:rPr>
          <w:rStyle w:val="default"/>
          <w:rFonts w:cs="FrankRuehl" w:hint="cs"/>
          <w:rtl/>
        </w:rPr>
        <w:t>-</w:t>
      </w:r>
      <w:r>
        <w:rPr>
          <w:rStyle w:val="default"/>
          <w:rFonts w:cs="FrankRuehl"/>
          <w:rtl/>
        </w:rPr>
        <w:t>(ב) להלן:</w:t>
      </w:r>
    </w:p>
    <w:p w14:paraId="2451E47C" w14:textId="77777777" w:rsidR="00E02CBD" w:rsidRDefault="00E02CBD">
      <w:pPr>
        <w:pStyle w:val="P00"/>
        <w:spacing w:before="72"/>
        <w:ind w:left="1021" w:right="1134" w:hanging="397"/>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"שמן גולמי" – פירושו כל תערובת פחמימנית נוזלית הנוצרת באופן טבעי באדמה,</w:t>
      </w:r>
      <w:r>
        <w:rPr>
          <w:rStyle w:val="default"/>
          <w:rFonts w:cs="FrankRuehl" w:hint="cs"/>
          <w:rtl/>
        </w:rPr>
        <w:t xml:space="preserve"> </w:t>
      </w:r>
      <w:r>
        <w:rPr>
          <w:rStyle w:val="default"/>
          <w:rFonts w:cs="FrankRuehl"/>
          <w:rtl/>
        </w:rPr>
        <w:t>בין אם עברה טיפול כדי להפוך אותה למתאימה להובלה ובין אם לאו. המונח</w:t>
      </w:r>
      <w:r>
        <w:rPr>
          <w:rStyle w:val="default"/>
          <w:rFonts w:cs="FrankRuehl" w:hint="cs"/>
          <w:rtl/>
        </w:rPr>
        <w:t xml:space="preserve"> </w:t>
      </w:r>
      <w:r>
        <w:rPr>
          <w:rStyle w:val="default"/>
          <w:rFonts w:cs="FrankRuehl"/>
          <w:rtl/>
        </w:rPr>
        <w:t>כולל גם סוגי שמן גולמי שתזקיקים מסוימים הוצאו מהם (מכונים לעתים גולמיים</w:t>
      </w:r>
      <w:r>
        <w:rPr>
          <w:rStyle w:val="default"/>
          <w:rFonts w:cs="FrankRuehl" w:hint="cs"/>
          <w:rtl/>
        </w:rPr>
        <w:t xml:space="preserve"> </w:t>
      </w:r>
      <w:r>
        <w:rPr>
          <w:rStyle w:val="default"/>
          <w:rFonts w:cs="FrankRuehl"/>
          <w:rtl/>
        </w:rPr>
        <w:t>מוספים) או כאלה שתזקיקים מסוימים נוספו להם (מכונים לעתים גולמיים מהולים או משוחזרים);</w:t>
      </w:r>
    </w:p>
    <w:p w14:paraId="74B73DDD" w14:textId="77777777" w:rsidR="00E02CBD" w:rsidRDefault="00E02CBD">
      <w:pPr>
        <w:pStyle w:val="P00"/>
        <w:spacing w:before="72"/>
        <w:ind w:left="1021" w:right="1134" w:hanging="397"/>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"שמן לדלק" – פירושו תזקיקים או משקעים כבדים משמן גולמי או מתערובות</w:t>
      </w:r>
      <w:r>
        <w:rPr>
          <w:rStyle w:val="default"/>
          <w:rFonts w:cs="FrankRuehl" w:hint="cs"/>
          <w:rtl/>
        </w:rPr>
        <w:t xml:space="preserve"> </w:t>
      </w:r>
      <w:r>
        <w:rPr>
          <w:rStyle w:val="default"/>
          <w:rFonts w:cs="FrankRuehl"/>
          <w:rtl/>
        </w:rPr>
        <w:t>של חומרים כאמור, המיועדים לשימוש כדלק לייצור חימום או חשמל מאיכות</w:t>
      </w:r>
      <w:r>
        <w:rPr>
          <w:rStyle w:val="default"/>
          <w:rFonts w:cs="FrankRuehl" w:hint="cs"/>
          <w:rtl/>
        </w:rPr>
        <w:t xml:space="preserve"> </w:t>
      </w:r>
      <w:r>
        <w:rPr>
          <w:rStyle w:val="default"/>
          <w:rFonts w:cs="FrankRuehl"/>
          <w:rtl/>
        </w:rPr>
        <w:t xml:space="preserve">המקבילה למפרט האיגוד האמריקני לניסוי ולחומרים לדלק מס' ארבע (ציון </w:t>
      </w:r>
      <w:r>
        <w:rPr>
          <w:rStyle w:val="default"/>
          <w:rFonts w:cs="FrankRuehl"/>
          <w:sz w:val="20"/>
          <w:szCs w:val="20"/>
        </w:rPr>
        <w:t>D396-69</w:t>
      </w:r>
      <w:r>
        <w:rPr>
          <w:rStyle w:val="default"/>
          <w:rFonts w:cs="FrankRuehl"/>
          <w:rtl/>
        </w:rPr>
        <w:t>), או כבד יותר.</w:t>
      </w:r>
    </w:p>
    <w:p w14:paraId="34CD38CD" w14:textId="77777777" w:rsidR="00E02CBD" w:rsidRDefault="00E02CBD">
      <w:pPr>
        <w:pStyle w:val="P00"/>
        <w:spacing w:before="72"/>
        <w:ind w:left="0" w:right="1134"/>
        <w:rPr>
          <w:rStyle w:val="default"/>
          <w:rFonts w:cs="FrankRuehl" w:hint="cs"/>
          <w:rtl/>
        </w:rPr>
      </w:pPr>
    </w:p>
    <w:p w14:paraId="4008F181" w14:textId="77777777" w:rsidR="00E02CBD" w:rsidRDefault="00E02CBD">
      <w:pPr>
        <w:pStyle w:val="P00"/>
        <w:spacing w:before="72"/>
        <w:ind w:left="0" w:right="1134"/>
        <w:jc w:val="center"/>
        <w:rPr>
          <w:rStyle w:val="default"/>
          <w:rFonts w:cs="FrankRuehl" w:hint="cs"/>
          <w:b/>
          <w:bCs/>
          <w:rtl/>
        </w:rPr>
      </w:pPr>
      <w:r>
        <w:rPr>
          <w:rStyle w:val="default"/>
          <w:rFonts w:cs="FrankRuehl"/>
          <w:b/>
          <w:bCs/>
          <w:rtl/>
        </w:rPr>
        <w:t>תוספת שניה</w:t>
      </w:r>
    </w:p>
    <w:p w14:paraId="3225C452" w14:textId="77777777" w:rsidR="00E02CBD" w:rsidRDefault="00E02CBD">
      <w:pPr>
        <w:pStyle w:val="P00"/>
        <w:spacing w:before="72"/>
        <w:ind w:left="0" w:right="1134"/>
        <w:jc w:val="center"/>
        <w:rPr>
          <w:rStyle w:val="default"/>
          <w:rFonts w:cs="FrankRuehl" w:hint="cs"/>
          <w:sz w:val="24"/>
          <w:szCs w:val="24"/>
          <w:rtl/>
        </w:rPr>
      </w:pPr>
      <w:r>
        <w:rPr>
          <w:rStyle w:val="default"/>
          <w:rFonts w:cs="FrankRuehl"/>
          <w:sz w:val="24"/>
          <w:szCs w:val="24"/>
          <w:rtl/>
        </w:rPr>
        <w:t>(תקנה 6)</w:t>
      </w:r>
    </w:p>
    <w:p w14:paraId="6DE94B30" w14:textId="77777777" w:rsidR="00E02CBD" w:rsidRDefault="00E02CBD">
      <w:pPr>
        <w:pStyle w:val="P00"/>
        <w:spacing w:before="72"/>
        <w:ind w:left="0" w:right="1134"/>
        <w:jc w:val="center"/>
        <w:rPr>
          <w:rStyle w:val="default"/>
          <w:rFonts w:cs="FrankRuehl" w:hint="cs"/>
          <w:b/>
          <w:bCs/>
          <w:sz w:val="22"/>
          <w:szCs w:val="22"/>
          <w:rtl/>
        </w:rPr>
      </w:pPr>
      <w:r>
        <w:rPr>
          <w:rStyle w:val="default"/>
          <w:rFonts w:cs="FrankRuehl"/>
          <w:b/>
          <w:bCs/>
          <w:sz w:val="22"/>
          <w:szCs w:val="22"/>
          <w:rtl/>
        </w:rPr>
        <w:t>הודעת תשלום</w:t>
      </w:r>
    </w:p>
    <w:p w14:paraId="29F662A1" w14:textId="77777777" w:rsidR="00E02CBD" w:rsidRDefault="00E02CBD">
      <w:pPr>
        <w:pStyle w:val="P00"/>
        <w:spacing w:before="72"/>
        <w:ind w:left="0" w:right="1134"/>
        <w:jc w:val="right"/>
        <w:rPr>
          <w:rStyle w:val="default"/>
          <w:rFonts w:cs="FrankRuehl"/>
          <w:rtl/>
        </w:rPr>
      </w:pPr>
      <w:r>
        <w:rPr>
          <w:rStyle w:val="default"/>
          <w:rFonts w:cs="FrankRuehl"/>
          <w:rtl/>
        </w:rPr>
        <w:t xml:space="preserve">תאריך: </w:t>
      </w:r>
      <w:r>
        <w:rPr>
          <w:rStyle w:val="default"/>
          <w:rFonts w:cs="FrankRuehl"/>
          <w:rtl/>
        </w:rPr>
        <w:fldChar w:fldCharType="begin">
          <w:ffData>
            <w:name w:val="טקסט1"/>
            <w:enabled/>
            <w:calcOnExit w:val="0"/>
            <w:textInput/>
          </w:ffData>
        </w:fldChar>
      </w:r>
      <w:bookmarkStart w:id="10" w:name="טקסט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0"/>
    </w:p>
    <w:p w14:paraId="6C328D6E" w14:textId="77777777" w:rsidR="00E02CBD" w:rsidRDefault="00E02CBD">
      <w:pPr>
        <w:pStyle w:val="P00"/>
        <w:spacing w:before="72"/>
        <w:ind w:left="0" w:right="1134"/>
        <w:rPr>
          <w:rStyle w:val="default"/>
          <w:rFonts w:cs="FrankRuehl" w:hint="cs"/>
          <w:rtl/>
        </w:rPr>
      </w:pPr>
      <w:r>
        <w:rPr>
          <w:rStyle w:val="default"/>
          <w:rFonts w:cs="FrankRuehl"/>
          <w:rtl/>
        </w:rPr>
        <w:t>אל:</w:t>
      </w:r>
    </w:p>
    <w:p w14:paraId="6A68B815" w14:textId="77777777" w:rsidR="00E02CBD" w:rsidRDefault="00E02CBD">
      <w:pPr>
        <w:pStyle w:val="P00"/>
        <w:spacing w:before="72"/>
        <w:ind w:left="0" w:right="1134"/>
        <w:rPr>
          <w:rStyle w:val="default"/>
          <w:rFonts w:cs="FrankRuehl"/>
          <w:rtl/>
        </w:rPr>
      </w:pPr>
      <w:r>
        <w:rPr>
          <w:rStyle w:val="default"/>
          <w:rFonts w:cs="FrankRuehl"/>
          <w:rtl/>
        </w:rPr>
        <w:t xml:space="preserve">שם החברה: </w:t>
      </w:r>
      <w:r>
        <w:rPr>
          <w:rStyle w:val="default"/>
          <w:rFonts w:cs="FrankRuehl"/>
          <w:rtl/>
        </w:rPr>
        <w:fldChar w:fldCharType="begin">
          <w:ffData>
            <w:name w:val="טקסט2"/>
            <w:enabled/>
            <w:calcOnExit w:val="0"/>
            <w:textInput/>
          </w:ffData>
        </w:fldChar>
      </w:r>
      <w:bookmarkStart w:id="11" w:name="טקסט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1"/>
    </w:p>
    <w:p w14:paraId="4E6AF909" w14:textId="77777777" w:rsidR="00E02CBD" w:rsidRDefault="00E02CBD">
      <w:pPr>
        <w:pStyle w:val="P00"/>
        <w:spacing w:before="72"/>
        <w:ind w:left="0" w:right="1134"/>
        <w:rPr>
          <w:rStyle w:val="default"/>
          <w:rFonts w:cs="FrankRuehl"/>
          <w:rtl/>
        </w:rPr>
      </w:pPr>
      <w:r>
        <w:rPr>
          <w:rStyle w:val="default"/>
          <w:rFonts w:cs="FrankRuehl"/>
          <w:rtl/>
        </w:rPr>
        <w:t xml:space="preserve">מספר חברה (ח"פ): </w:t>
      </w:r>
      <w:r>
        <w:rPr>
          <w:rStyle w:val="default"/>
          <w:rFonts w:cs="FrankRuehl"/>
          <w:rtl/>
        </w:rPr>
        <w:fldChar w:fldCharType="begin">
          <w:ffData>
            <w:name w:val="טקסט3"/>
            <w:enabled/>
            <w:calcOnExit w:val="0"/>
            <w:textInput/>
          </w:ffData>
        </w:fldChar>
      </w:r>
      <w:bookmarkStart w:id="12" w:name="טקסט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2"/>
    </w:p>
    <w:p w14:paraId="78E0AE53" w14:textId="77777777" w:rsidR="00E02CBD" w:rsidRDefault="00E02CBD">
      <w:pPr>
        <w:pStyle w:val="P00"/>
        <w:spacing w:before="72"/>
        <w:ind w:left="0" w:right="1134"/>
        <w:jc w:val="center"/>
        <w:rPr>
          <w:rStyle w:val="default"/>
          <w:rFonts w:cs="FrankRuehl"/>
          <w:b/>
          <w:bCs/>
          <w:sz w:val="22"/>
          <w:szCs w:val="22"/>
          <w:rtl/>
        </w:rPr>
      </w:pPr>
      <w:r>
        <w:rPr>
          <w:rStyle w:val="default"/>
          <w:rFonts w:cs="FrankRuehl"/>
          <w:b/>
          <w:bCs/>
          <w:sz w:val="22"/>
          <w:szCs w:val="22"/>
          <w:rtl/>
        </w:rPr>
        <w:t xml:space="preserve">הנדון: הודעת תשלום – מספר </w:t>
      </w:r>
      <w:r>
        <w:rPr>
          <w:rStyle w:val="default"/>
          <w:rFonts w:cs="FrankRuehl"/>
          <w:b/>
          <w:bCs/>
          <w:sz w:val="22"/>
          <w:szCs w:val="22"/>
          <w:rtl/>
        </w:rPr>
        <w:fldChar w:fldCharType="begin">
          <w:ffData>
            <w:name w:val="טקסט4"/>
            <w:enabled/>
            <w:calcOnExit w:val="0"/>
            <w:textInput/>
          </w:ffData>
        </w:fldChar>
      </w:r>
      <w:bookmarkStart w:id="13" w:name="טקסט4"/>
      <w:r>
        <w:rPr>
          <w:rStyle w:val="default"/>
          <w:rFonts w:cs="FrankRuehl"/>
          <w:b/>
          <w:bCs/>
          <w:sz w:val="22"/>
          <w:szCs w:val="22"/>
          <w:rtl/>
        </w:rPr>
        <w:instrText xml:space="preserve"> </w:instrText>
      </w:r>
      <w:r>
        <w:rPr>
          <w:rStyle w:val="default"/>
          <w:rFonts w:cs="FrankRuehl"/>
          <w:b/>
          <w:bCs/>
          <w:sz w:val="22"/>
          <w:szCs w:val="22"/>
        </w:rPr>
        <w:instrText>FORMTEXT</w:instrText>
      </w:r>
      <w:r>
        <w:rPr>
          <w:rStyle w:val="default"/>
          <w:rFonts w:cs="FrankRuehl"/>
          <w:b/>
          <w:bCs/>
          <w:sz w:val="22"/>
          <w:szCs w:val="22"/>
          <w:rtl/>
        </w:rPr>
        <w:instrText xml:space="preserve"> </w:instrText>
      </w:r>
      <w:r>
        <w:rPr>
          <w:rFonts w:cs="FrankRuehl"/>
          <w:b/>
          <w:bCs/>
          <w:sz w:val="22"/>
          <w:szCs w:val="22"/>
        </w:rPr>
      </w:r>
      <w:r>
        <w:rPr>
          <w:rStyle w:val="default"/>
          <w:rFonts w:cs="FrankRuehl"/>
          <w:b/>
          <w:bCs/>
          <w:sz w:val="22"/>
          <w:szCs w:val="22"/>
          <w:rtl/>
        </w:rPr>
        <w:fldChar w:fldCharType="separate"/>
      </w:r>
      <w:r>
        <w:rPr>
          <w:rStyle w:val="default"/>
          <w:rFonts w:cs="FrankRuehl"/>
          <w:b/>
          <w:bCs/>
          <w:sz w:val="22"/>
          <w:szCs w:val="22"/>
          <w:rtl/>
        </w:rPr>
        <w:t> </w:t>
      </w:r>
      <w:r>
        <w:rPr>
          <w:rStyle w:val="default"/>
          <w:rFonts w:cs="FrankRuehl"/>
          <w:b/>
          <w:bCs/>
          <w:sz w:val="22"/>
          <w:szCs w:val="22"/>
          <w:rtl/>
        </w:rPr>
        <w:t> </w:t>
      </w:r>
      <w:r>
        <w:rPr>
          <w:rStyle w:val="default"/>
          <w:rFonts w:cs="FrankRuehl"/>
          <w:b/>
          <w:bCs/>
          <w:sz w:val="22"/>
          <w:szCs w:val="22"/>
          <w:rtl/>
        </w:rPr>
        <w:t> </w:t>
      </w:r>
      <w:r>
        <w:rPr>
          <w:rStyle w:val="default"/>
          <w:rFonts w:cs="FrankRuehl"/>
          <w:b/>
          <w:bCs/>
          <w:sz w:val="22"/>
          <w:szCs w:val="22"/>
          <w:rtl/>
        </w:rPr>
        <w:t> </w:t>
      </w:r>
      <w:r>
        <w:rPr>
          <w:rStyle w:val="default"/>
          <w:rFonts w:cs="FrankRuehl"/>
          <w:b/>
          <w:bCs/>
          <w:sz w:val="22"/>
          <w:szCs w:val="22"/>
          <w:rtl/>
        </w:rPr>
        <w:t> </w:t>
      </w:r>
      <w:r>
        <w:rPr>
          <w:rStyle w:val="default"/>
          <w:rFonts w:cs="FrankRuehl"/>
          <w:b/>
          <w:bCs/>
          <w:sz w:val="22"/>
          <w:szCs w:val="22"/>
          <w:rtl/>
        </w:rPr>
        <w:fldChar w:fldCharType="end"/>
      </w:r>
      <w:bookmarkEnd w:id="13"/>
    </w:p>
    <w:p w14:paraId="5E8CA11C" w14:textId="77777777" w:rsidR="00E02CBD" w:rsidRDefault="00E02C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בהתאם לכמות השמן המשתתף שקיבלה חברתכם בשנת</w:t>
      </w:r>
      <w:r>
        <w:rPr>
          <w:rStyle w:val="default"/>
          <w:rFonts w:cs="FrankRuehl" w:hint="cs"/>
          <w:rtl/>
        </w:rPr>
        <w:t xml:space="preserve"> </w:t>
      </w:r>
      <w:r>
        <w:rPr>
          <w:rStyle w:val="default"/>
          <w:rFonts w:cs="FrankRuehl"/>
          <w:rtl/>
        </w:rPr>
        <w:fldChar w:fldCharType="begin">
          <w:ffData>
            <w:name w:val="טקסט5"/>
            <w:enabled/>
            <w:calcOnExit w:val="0"/>
            <w:textInput/>
          </w:ffData>
        </w:fldChar>
      </w:r>
      <w:bookmarkStart w:id="14" w:name="טקסט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4"/>
      <w:r>
        <w:rPr>
          <w:rStyle w:val="default"/>
          <w:rFonts w:cs="FrankRuehl"/>
          <w:rtl/>
        </w:rPr>
        <w:t>, אתם נדרשים בזה</w:t>
      </w:r>
      <w:r>
        <w:rPr>
          <w:rStyle w:val="default"/>
          <w:rFonts w:cs="FrankRuehl" w:hint="cs"/>
          <w:rtl/>
        </w:rPr>
        <w:t xml:space="preserve"> </w:t>
      </w:r>
      <w:r>
        <w:rPr>
          <w:rStyle w:val="default"/>
          <w:rFonts w:cs="FrankRuehl"/>
          <w:rtl/>
        </w:rPr>
        <w:t>לשלם למנהל, היטל השתתפות לקרן הבין</w:t>
      </w:r>
      <w:r>
        <w:rPr>
          <w:rStyle w:val="default"/>
          <w:rFonts w:cs="FrankRuehl" w:hint="cs"/>
          <w:rtl/>
        </w:rPr>
        <w:t>-</w:t>
      </w:r>
      <w:r>
        <w:rPr>
          <w:rStyle w:val="default"/>
          <w:rFonts w:cs="FrankRuehl"/>
          <w:rtl/>
        </w:rPr>
        <w:t>לאומית, בשל קבלת שמן משתתף באותה שנה,</w:t>
      </w:r>
      <w:r>
        <w:rPr>
          <w:rStyle w:val="default"/>
          <w:rFonts w:cs="FrankRuehl" w:hint="cs"/>
          <w:rtl/>
        </w:rPr>
        <w:t xml:space="preserve"> </w:t>
      </w:r>
      <w:r>
        <w:rPr>
          <w:rStyle w:val="default"/>
          <w:rFonts w:cs="FrankRuehl"/>
          <w:rtl/>
        </w:rPr>
        <w:t xml:space="preserve">בסכום של </w:t>
      </w:r>
      <w:r>
        <w:rPr>
          <w:rStyle w:val="default"/>
          <w:rFonts w:cs="FrankRuehl"/>
          <w:rtl/>
        </w:rPr>
        <w:fldChar w:fldCharType="begin">
          <w:ffData>
            <w:name w:val="טקסט6"/>
            <w:enabled/>
            <w:calcOnExit w:val="0"/>
            <w:textInput/>
          </w:ffData>
        </w:fldChar>
      </w:r>
      <w:bookmarkStart w:id="15" w:name="טקסט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5"/>
      <w:r>
        <w:rPr>
          <w:rStyle w:val="default"/>
          <w:rFonts w:cs="FrankRuehl" w:hint="cs"/>
          <w:rtl/>
        </w:rPr>
        <w:t xml:space="preserve"> </w:t>
      </w:r>
      <w:r>
        <w:rPr>
          <w:rStyle w:val="default"/>
          <w:rFonts w:cs="FrankRuehl"/>
          <w:rtl/>
        </w:rPr>
        <w:t>לירות שטרלינג* או לשלם את שווי הסכום האמור בשקלים חדשים, לפי שער העברות גבוה של בנק</w:t>
      </w:r>
      <w:r>
        <w:rPr>
          <w:rStyle w:val="default"/>
          <w:rFonts w:cs="FrankRuehl" w:hint="cs"/>
          <w:rtl/>
        </w:rPr>
        <w:t xml:space="preserve"> </w:t>
      </w:r>
      <w:r>
        <w:rPr>
          <w:rStyle w:val="default"/>
          <w:rFonts w:cs="FrankRuehl"/>
          <w:rtl/>
        </w:rPr>
        <w:fldChar w:fldCharType="begin">
          <w:ffData>
            <w:name w:val="טקסט7"/>
            <w:enabled/>
            <w:calcOnExit w:val="0"/>
            <w:textInput/>
          </w:ffData>
        </w:fldChar>
      </w:r>
      <w:bookmarkStart w:id="16" w:name="טקסט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6"/>
      <w:r>
        <w:rPr>
          <w:rStyle w:val="default"/>
          <w:rFonts w:cs="FrankRuehl"/>
          <w:rtl/>
        </w:rPr>
        <w:t xml:space="preserve"> ליום העברה;</w:t>
      </w:r>
    </w:p>
    <w:p w14:paraId="540D8BDB" w14:textId="77777777" w:rsidR="00E02CBD" w:rsidRDefault="00E02C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אתם נדרשים לשלם למנהל את הסכום האמור בפסקה (1), בתוך 30 ימים מיום המצאת הודעת תשלום זו</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 xml:space="preserve">בתוך </w:t>
      </w:r>
      <w:r>
        <w:rPr>
          <w:rStyle w:val="default"/>
          <w:rFonts w:cs="FrankRuehl"/>
          <w:rtl/>
        </w:rPr>
        <w:fldChar w:fldCharType="begin">
          <w:ffData>
            <w:name w:val="טקסט8"/>
            <w:enabled/>
            <w:calcOnExit w:val="0"/>
            <w:textInput/>
          </w:ffData>
        </w:fldChar>
      </w:r>
      <w:bookmarkStart w:id="17" w:name="טקסט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7"/>
      <w:r>
        <w:rPr>
          <w:rStyle w:val="default"/>
          <w:rFonts w:cs="FrankRuehl"/>
          <w:rtl/>
        </w:rPr>
        <w:t xml:space="preserve"> ימים מיום המצאת הודעת תשלום זו (תקופה קצרה</w:t>
      </w:r>
      <w:r>
        <w:rPr>
          <w:rStyle w:val="default"/>
          <w:rFonts w:cs="FrankRuehl" w:hint="cs"/>
          <w:rtl/>
        </w:rPr>
        <w:t xml:space="preserve"> </w:t>
      </w:r>
      <w:r>
        <w:rPr>
          <w:rStyle w:val="default"/>
          <w:rFonts w:cs="FrankRuehl"/>
          <w:rtl/>
        </w:rPr>
        <w:t>ממנה שלא תפחת מ</w:t>
      </w:r>
      <w:r>
        <w:rPr>
          <w:rStyle w:val="default"/>
          <w:rFonts w:cs="FrankRuehl" w:hint="cs"/>
          <w:rtl/>
        </w:rPr>
        <w:t>-</w:t>
      </w:r>
      <w:r>
        <w:rPr>
          <w:rStyle w:val="default"/>
          <w:rFonts w:cs="FrankRuehl"/>
          <w:rtl/>
        </w:rPr>
        <w:t>20 )**, ביום עסקים בנקאי כמשמעותו בהוראות הבנקאות (שירות ללקוח) (מועד זיכוי וחיוב בשיקים), התשנ"ב</w:t>
      </w:r>
      <w:r>
        <w:rPr>
          <w:rStyle w:val="default"/>
          <w:rFonts w:cs="FrankRuehl" w:hint="cs"/>
          <w:rtl/>
        </w:rPr>
        <w:t>-1992</w:t>
      </w:r>
      <w:r>
        <w:rPr>
          <w:rStyle w:val="default"/>
          <w:rFonts w:cs="FrankRuehl"/>
          <w:rtl/>
        </w:rPr>
        <w:t>.</w:t>
      </w:r>
    </w:p>
    <w:p w14:paraId="26BB44D9" w14:textId="77777777" w:rsidR="00E02CBD" w:rsidRDefault="00E02C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rtl/>
        </w:rPr>
        <w:t>(3)</w:t>
      </w:r>
      <w:r>
        <w:rPr>
          <w:rStyle w:val="default"/>
          <w:rFonts w:cs="FrankRuehl" w:hint="cs"/>
          <w:rtl/>
        </w:rPr>
        <w:tab/>
      </w:r>
      <w:r>
        <w:rPr>
          <w:rStyle w:val="default"/>
          <w:rFonts w:cs="FrankRuehl"/>
          <w:rtl/>
        </w:rPr>
        <w:t xml:space="preserve">התשלום יתבצע בהעברה בנקאית, עד שעה 10:00 בבוקר של המועד האחרון לתשלום כאמור בפסקה (2), לבנק </w:t>
      </w:r>
      <w:r>
        <w:rPr>
          <w:rStyle w:val="default"/>
          <w:rFonts w:cs="FrankRuehl"/>
          <w:rtl/>
        </w:rPr>
        <w:fldChar w:fldCharType="begin">
          <w:ffData>
            <w:name w:val="טקסט9"/>
            <w:enabled/>
            <w:calcOnExit w:val="0"/>
            <w:textInput/>
          </w:ffData>
        </w:fldChar>
      </w:r>
      <w:bookmarkStart w:id="18" w:name="טקסט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8"/>
      <w:r>
        <w:rPr>
          <w:rStyle w:val="default"/>
          <w:rFonts w:cs="FrankRuehl"/>
          <w:rtl/>
        </w:rPr>
        <w:t xml:space="preserve">, חשבון מס' </w:t>
      </w:r>
      <w:r>
        <w:rPr>
          <w:rStyle w:val="default"/>
          <w:rFonts w:cs="FrankRuehl"/>
          <w:rtl/>
        </w:rPr>
        <w:fldChar w:fldCharType="begin">
          <w:ffData>
            <w:name w:val="טקסט10"/>
            <w:enabled/>
            <w:calcOnExit w:val="0"/>
            <w:textInput/>
          </w:ffData>
        </w:fldChar>
      </w:r>
      <w:bookmarkStart w:id="19" w:name="טקסט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9"/>
      <w:r>
        <w:rPr>
          <w:rStyle w:val="default"/>
          <w:rFonts w:cs="FrankRuehl"/>
          <w:rtl/>
        </w:rPr>
        <w:t xml:space="preserve">, בסניף </w:t>
      </w:r>
      <w:r>
        <w:rPr>
          <w:rStyle w:val="default"/>
          <w:rFonts w:cs="FrankRuehl"/>
          <w:rtl/>
        </w:rPr>
        <w:fldChar w:fldCharType="begin">
          <w:ffData>
            <w:name w:val="טקסט11"/>
            <w:enabled/>
            <w:calcOnExit w:val="0"/>
            <w:textInput/>
          </w:ffData>
        </w:fldChar>
      </w:r>
      <w:bookmarkStart w:id="20" w:name="טקסט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20"/>
      <w:r>
        <w:rPr>
          <w:rStyle w:val="default"/>
          <w:rFonts w:cs="FrankRuehl"/>
          <w:rtl/>
        </w:rPr>
        <w:t>;</w:t>
      </w:r>
    </w:p>
    <w:p w14:paraId="794D0F12" w14:textId="77777777" w:rsidR="00E02CBD" w:rsidRDefault="00E02C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rtl/>
        </w:rPr>
        <w:t>(4)</w:t>
      </w:r>
      <w:r>
        <w:rPr>
          <w:rStyle w:val="default"/>
          <w:rFonts w:cs="FrankRuehl" w:hint="cs"/>
          <w:rtl/>
        </w:rPr>
        <w:tab/>
      </w:r>
      <w:r>
        <w:rPr>
          <w:rStyle w:val="default"/>
          <w:rFonts w:cs="FrankRuehl"/>
          <w:rtl/>
        </w:rPr>
        <w:t>להלן הנתונים שלפיהם חושב שיעור היטל ההשתתפות:</w:t>
      </w:r>
    </w:p>
    <w:tbl>
      <w:tblPr>
        <w:bidiVisual/>
        <w:tblW w:w="7541"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3"/>
        <w:gridCol w:w="1882"/>
        <w:gridCol w:w="1932"/>
        <w:gridCol w:w="1924"/>
      </w:tblGrid>
      <w:tr w:rsidR="00A61DC4" w14:paraId="13C0A323" w14:textId="77777777">
        <w:tblPrEx>
          <w:tblCellMar>
            <w:top w:w="0" w:type="dxa"/>
            <w:bottom w:w="0" w:type="dxa"/>
          </w:tblCellMar>
        </w:tblPrEx>
        <w:tc>
          <w:tcPr>
            <w:tcW w:w="2322" w:type="dxa"/>
          </w:tcPr>
          <w:p w14:paraId="1C48285E" w14:textId="77777777" w:rsidR="00A61DC4" w:rsidRDefault="00A61DC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Pr>
            </w:pPr>
            <w:r>
              <w:rPr>
                <w:rStyle w:val="default"/>
                <w:rFonts w:cs="FrankRuehl" w:hint="cs"/>
                <w:sz w:val="24"/>
                <w:szCs w:val="24"/>
                <w:rtl/>
              </w:rPr>
              <w:t>שנה</w:t>
            </w:r>
          </w:p>
        </w:tc>
        <w:tc>
          <w:tcPr>
            <w:tcW w:w="2322" w:type="dxa"/>
          </w:tcPr>
          <w:p w14:paraId="17415752" w14:textId="77777777" w:rsidR="00A61DC4" w:rsidRDefault="00A61DC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Pr>
            </w:pPr>
            <w:r>
              <w:rPr>
                <w:rStyle w:val="default"/>
                <w:rFonts w:cs="FrankRuehl" w:hint="cs"/>
                <w:sz w:val="24"/>
                <w:szCs w:val="24"/>
                <w:rtl/>
              </w:rPr>
              <w:t>כמות שמן משתתף</w:t>
            </w:r>
          </w:p>
        </w:tc>
        <w:tc>
          <w:tcPr>
            <w:tcW w:w="2322" w:type="dxa"/>
          </w:tcPr>
          <w:p w14:paraId="40BFAEF8" w14:textId="77777777" w:rsidR="00A61DC4" w:rsidRDefault="00A61DC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Pr>
            </w:pPr>
            <w:r>
              <w:rPr>
                <w:rStyle w:val="default"/>
                <w:rFonts w:cs="FrankRuehl" w:hint="cs"/>
                <w:sz w:val="24"/>
                <w:szCs w:val="24"/>
                <w:rtl/>
              </w:rPr>
              <w:t>תעריף היטל השתתפות לטון בלירות סטרלינג*</w:t>
            </w:r>
          </w:p>
        </w:tc>
        <w:tc>
          <w:tcPr>
            <w:tcW w:w="2322" w:type="dxa"/>
          </w:tcPr>
          <w:p w14:paraId="14A83331" w14:textId="77777777" w:rsidR="00A61DC4" w:rsidRDefault="00A61DC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rPr>
            </w:pPr>
            <w:r>
              <w:rPr>
                <w:rStyle w:val="default"/>
                <w:rFonts w:cs="FrankRuehl" w:hint="cs"/>
                <w:sz w:val="24"/>
                <w:szCs w:val="24"/>
                <w:rtl/>
              </w:rPr>
              <w:t>סך הכל לתשלום בלירות סטרלינג*</w:t>
            </w:r>
          </w:p>
        </w:tc>
      </w:tr>
      <w:tr w:rsidR="00A61DC4" w14:paraId="273532A2" w14:textId="77777777">
        <w:tblPrEx>
          <w:tblCellMar>
            <w:top w:w="0" w:type="dxa"/>
            <w:bottom w:w="0" w:type="dxa"/>
          </w:tblCellMar>
        </w:tblPrEx>
        <w:tc>
          <w:tcPr>
            <w:tcW w:w="2322" w:type="dxa"/>
          </w:tcPr>
          <w:p w14:paraId="603F425D" w14:textId="77777777" w:rsidR="00A61DC4" w:rsidRDefault="00A61DC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4"/>
                <w:szCs w:val="24"/>
              </w:rPr>
            </w:pPr>
          </w:p>
        </w:tc>
        <w:tc>
          <w:tcPr>
            <w:tcW w:w="2322" w:type="dxa"/>
          </w:tcPr>
          <w:p w14:paraId="75E1E304" w14:textId="77777777" w:rsidR="00A61DC4" w:rsidRDefault="00A61DC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4"/>
                <w:szCs w:val="24"/>
              </w:rPr>
            </w:pPr>
          </w:p>
        </w:tc>
        <w:tc>
          <w:tcPr>
            <w:tcW w:w="2322" w:type="dxa"/>
          </w:tcPr>
          <w:p w14:paraId="75CF0C9B" w14:textId="77777777" w:rsidR="00A61DC4" w:rsidRDefault="00A61DC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4"/>
                <w:szCs w:val="24"/>
              </w:rPr>
            </w:pPr>
          </w:p>
        </w:tc>
        <w:tc>
          <w:tcPr>
            <w:tcW w:w="2322" w:type="dxa"/>
          </w:tcPr>
          <w:p w14:paraId="232395C4" w14:textId="77777777" w:rsidR="00A61DC4" w:rsidRDefault="00A61DC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4"/>
                <w:szCs w:val="24"/>
              </w:rPr>
            </w:pPr>
          </w:p>
        </w:tc>
      </w:tr>
    </w:tbl>
    <w:p w14:paraId="3EE42DB2" w14:textId="77777777" w:rsidR="00E02CBD" w:rsidRDefault="00E02C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rtl/>
        </w:rPr>
        <w:t>(5)</w:t>
      </w:r>
      <w:r>
        <w:rPr>
          <w:rStyle w:val="default"/>
          <w:rFonts w:cs="FrankRuehl" w:hint="cs"/>
          <w:rtl/>
        </w:rPr>
        <w:tab/>
      </w:r>
      <w:r>
        <w:rPr>
          <w:rStyle w:val="default"/>
          <w:rFonts w:cs="FrankRuehl"/>
          <w:rtl/>
        </w:rPr>
        <w:t>נא להודיע דבר ביצוע התשלום עד השעה 10:00 בבוקר של יום ההעברה ל</w:t>
      </w:r>
      <w:r>
        <w:rPr>
          <w:rStyle w:val="default"/>
          <w:rFonts w:cs="FrankRuehl"/>
          <w:rtl/>
        </w:rPr>
        <w:fldChar w:fldCharType="begin">
          <w:ffData>
            <w:name w:val="טקסט12"/>
            <w:enabled/>
            <w:calcOnExit w:val="0"/>
            <w:textInput/>
          </w:ffData>
        </w:fldChar>
      </w:r>
      <w:bookmarkStart w:id="21" w:name="טקסט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21"/>
      <w:r>
        <w:rPr>
          <w:rStyle w:val="default"/>
          <w:rFonts w:cs="FrankRuehl"/>
          <w:rtl/>
        </w:rPr>
        <w:t>;</w:t>
      </w:r>
      <w:r>
        <w:rPr>
          <w:rStyle w:val="default"/>
          <w:rFonts w:cs="FrankRuehl" w:hint="cs"/>
          <w:rtl/>
        </w:rPr>
        <w:t xml:space="preserve"> </w:t>
      </w:r>
      <w:r>
        <w:rPr>
          <w:rStyle w:val="default"/>
          <w:rFonts w:cs="FrankRuehl"/>
          <w:rtl/>
        </w:rPr>
        <w:t xml:space="preserve">את ההודעה יש לשלוח בפקסימילה למספר </w:t>
      </w:r>
      <w:r>
        <w:rPr>
          <w:rStyle w:val="default"/>
          <w:rFonts w:cs="FrankRuehl"/>
          <w:rtl/>
        </w:rPr>
        <w:fldChar w:fldCharType="begin">
          <w:ffData>
            <w:name w:val="טקסט13"/>
            <w:enabled/>
            <w:calcOnExit w:val="0"/>
            <w:textInput/>
          </w:ffData>
        </w:fldChar>
      </w:r>
      <w:bookmarkStart w:id="22" w:name="טקסט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22"/>
      <w:r>
        <w:rPr>
          <w:rStyle w:val="default"/>
          <w:rFonts w:cs="FrankRuehl"/>
          <w:rtl/>
        </w:rPr>
        <w:t xml:space="preserve">; כמו כן יש לוודא קבלת שדר הפקסימילה בטלפון מס' </w:t>
      </w:r>
      <w:r>
        <w:rPr>
          <w:rStyle w:val="default"/>
          <w:rFonts w:cs="FrankRuehl"/>
          <w:rtl/>
        </w:rPr>
        <w:fldChar w:fldCharType="begin">
          <w:ffData>
            <w:name w:val="טקסט14"/>
            <w:enabled/>
            <w:calcOnExit w:val="0"/>
            <w:textInput/>
          </w:ffData>
        </w:fldChar>
      </w:r>
      <w:bookmarkStart w:id="23" w:name="טקסט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23"/>
      <w:r>
        <w:rPr>
          <w:rStyle w:val="default"/>
          <w:rFonts w:cs="FrankRuehl"/>
          <w:rtl/>
        </w:rPr>
        <w:t>;</w:t>
      </w:r>
    </w:p>
    <w:p w14:paraId="52B9CC05" w14:textId="77777777" w:rsidR="00E02CBD" w:rsidRDefault="00E02C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rtl/>
        </w:rPr>
        <w:t>(6)</w:t>
      </w:r>
      <w:r>
        <w:rPr>
          <w:rStyle w:val="default"/>
          <w:rFonts w:cs="FrankRuehl" w:hint="cs"/>
          <w:rtl/>
        </w:rPr>
        <w:tab/>
      </w:r>
      <w:r>
        <w:rPr>
          <w:rStyle w:val="default"/>
          <w:rFonts w:cs="FrankRuehl"/>
          <w:b/>
          <w:bCs/>
          <w:sz w:val="22"/>
          <w:szCs w:val="22"/>
          <w:rtl/>
        </w:rPr>
        <w:t>היטל השתתפות שלא שולם במועד</w:t>
      </w:r>
      <w:r>
        <w:rPr>
          <w:rStyle w:val="default"/>
          <w:rFonts w:cs="FrankRuehl"/>
          <w:rtl/>
        </w:rPr>
        <w:t>:</w:t>
      </w:r>
    </w:p>
    <w:p w14:paraId="3CD4CB29" w14:textId="77777777" w:rsidR="00E02CBD" w:rsidRDefault="00E02C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לידיעתכם, לפי חוק האחריות לפיצויי נזקי זיהום בשמן, התשס"ד</w:t>
      </w:r>
      <w:r>
        <w:rPr>
          <w:rStyle w:val="default"/>
          <w:rFonts w:cs="FrankRuehl" w:hint="cs"/>
          <w:rtl/>
        </w:rPr>
        <w:t>-2004</w:t>
      </w:r>
      <w:r>
        <w:rPr>
          <w:rStyle w:val="default"/>
          <w:rFonts w:cs="FrankRuehl"/>
          <w:rtl/>
        </w:rPr>
        <w:t>, אי</w:t>
      </w:r>
      <w:r>
        <w:rPr>
          <w:rStyle w:val="default"/>
          <w:rFonts w:cs="FrankRuehl" w:hint="cs"/>
          <w:rtl/>
        </w:rPr>
        <w:t>-</w:t>
      </w:r>
      <w:r>
        <w:rPr>
          <w:rStyle w:val="default"/>
          <w:rFonts w:cs="FrankRuehl"/>
          <w:rtl/>
        </w:rPr>
        <w:t>תשלום ההיטל</w:t>
      </w:r>
      <w:r>
        <w:rPr>
          <w:rStyle w:val="default"/>
          <w:rFonts w:cs="FrankRuehl" w:hint="cs"/>
          <w:rtl/>
        </w:rPr>
        <w:t xml:space="preserve"> </w:t>
      </w:r>
      <w:r>
        <w:rPr>
          <w:rStyle w:val="default"/>
          <w:rFonts w:cs="FrankRuehl"/>
          <w:rtl/>
        </w:rPr>
        <w:t>במועדו, יגרור ריבית פיגורים חודשית בשיעור שקובע החשב הכללי במשרד האוצר מזמן</w:t>
      </w:r>
      <w:r>
        <w:rPr>
          <w:rStyle w:val="default"/>
          <w:rFonts w:cs="FrankRuehl" w:hint="cs"/>
          <w:rtl/>
        </w:rPr>
        <w:t xml:space="preserve"> </w:t>
      </w:r>
      <w:r>
        <w:rPr>
          <w:rStyle w:val="default"/>
          <w:rFonts w:cs="FrankRuehl"/>
          <w:rtl/>
        </w:rPr>
        <w:t>לזמן, החל ביום שלאחר מועד התשלום, נוסף על ריבית הפיגורים שלפי הוראות אמנת הקרן.</w:t>
      </w:r>
    </w:p>
    <w:p w14:paraId="4A82BA96" w14:textId="77777777" w:rsidR="00E02CBD" w:rsidRDefault="00E02CBD">
      <w:pPr>
        <w:pStyle w:val="P00"/>
        <w:spacing w:before="72"/>
        <w:ind w:left="0" w:right="1134"/>
        <w:rPr>
          <w:rStyle w:val="default"/>
          <w:rFonts w:cs="FrankRuehl" w:hint="cs"/>
          <w:rtl/>
        </w:rPr>
      </w:pPr>
    </w:p>
    <w:p w14:paraId="143CEC67" w14:textId="77777777" w:rsidR="00E02CBD" w:rsidRDefault="00E02CBD">
      <w:pPr>
        <w:pStyle w:val="P00"/>
        <w:spacing w:before="0"/>
        <w:ind w:left="0" w:right="1134"/>
        <w:rPr>
          <w:rStyle w:val="default"/>
          <w:rFonts w:cs="FrankRuehl"/>
          <w:sz w:val="22"/>
          <w:szCs w:val="22"/>
          <w:rtl/>
        </w:rPr>
      </w:pPr>
      <w:r>
        <w:rPr>
          <w:rStyle w:val="default"/>
          <w:rFonts w:cs="FrankRuehl" w:hint="cs"/>
          <w:sz w:val="22"/>
          <w:szCs w:val="22"/>
          <w:rtl/>
        </w:rPr>
        <w:t>----------------</w:t>
      </w:r>
      <w:r>
        <w:rPr>
          <w:rStyle w:val="default"/>
          <w:rFonts w:cs="FrankRuehl"/>
          <w:sz w:val="22"/>
          <w:szCs w:val="22"/>
          <w:rtl/>
        </w:rPr>
        <w:t xml:space="preserve"> </w:t>
      </w:r>
    </w:p>
    <w:p w14:paraId="0045F214" w14:textId="77777777" w:rsidR="00E02CBD" w:rsidRDefault="00E02CBD">
      <w:pPr>
        <w:pStyle w:val="P00"/>
        <w:spacing w:before="0"/>
        <w:ind w:left="0" w:right="1134"/>
        <w:rPr>
          <w:rStyle w:val="default"/>
          <w:rFonts w:cs="FrankRuehl" w:hint="cs"/>
          <w:sz w:val="22"/>
          <w:szCs w:val="22"/>
          <w:rtl/>
        </w:rPr>
      </w:pPr>
      <w:r>
        <w:rPr>
          <w:rStyle w:val="default"/>
          <w:rFonts w:cs="FrankRuehl"/>
          <w:sz w:val="22"/>
          <w:szCs w:val="22"/>
          <w:rtl/>
        </w:rPr>
        <w:t>* או מטבע חוץ אחר, לפי הודעת הקרן הבין</w:t>
      </w:r>
      <w:r>
        <w:rPr>
          <w:rStyle w:val="default"/>
          <w:rFonts w:cs="FrankRuehl" w:hint="cs"/>
          <w:sz w:val="22"/>
          <w:szCs w:val="22"/>
          <w:rtl/>
        </w:rPr>
        <w:t>-</w:t>
      </w:r>
      <w:r>
        <w:rPr>
          <w:rStyle w:val="default"/>
          <w:rFonts w:cs="FrankRuehl"/>
          <w:sz w:val="22"/>
          <w:szCs w:val="22"/>
          <w:rtl/>
        </w:rPr>
        <w:t>לאומית.</w:t>
      </w:r>
    </w:p>
    <w:p w14:paraId="1664A7C2" w14:textId="77777777" w:rsidR="00E02CBD" w:rsidRDefault="00E02CBD">
      <w:pPr>
        <w:pStyle w:val="P00"/>
        <w:spacing w:before="0"/>
        <w:ind w:left="0" w:right="1134"/>
        <w:rPr>
          <w:rStyle w:val="default"/>
          <w:rFonts w:cs="FrankRuehl" w:hint="cs"/>
          <w:sz w:val="22"/>
          <w:szCs w:val="22"/>
          <w:rtl/>
        </w:rPr>
      </w:pPr>
      <w:r>
        <w:rPr>
          <w:rStyle w:val="default"/>
          <w:rFonts w:cs="FrankRuehl"/>
          <w:sz w:val="22"/>
          <w:szCs w:val="22"/>
          <w:rtl/>
        </w:rPr>
        <w:t>** מחק את המיותר.</w:t>
      </w:r>
    </w:p>
    <w:p w14:paraId="2E8483B0" w14:textId="77777777" w:rsidR="00E02CBD" w:rsidRDefault="00E02CBD">
      <w:pPr>
        <w:pStyle w:val="P00"/>
        <w:spacing w:before="72"/>
        <w:ind w:left="0" w:right="1134"/>
        <w:rPr>
          <w:rStyle w:val="default"/>
          <w:rFonts w:cs="FrankRuehl" w:hint="cs"/>
          <w:rtl/>
        </w:rPr>
      </w:pPr>
    </w:p>
    <w:p w14:paraId="2CBCC05A" w14:textId="77777777" w:rsidR="00E02CBD" w:rsidRDefault="00E02CBD">
      <w:pPr>
        <w:pStyle w:val="P00"/>
        <w:spacing w:before="72"/>
        <w:ind w:left="0" w:right="1134"/>
        <w:rPr>
          <w:rStyle w:val="default"/>
          <w:rFonts w:cs="FrankRuehl" w:hint="cs"/>
          <w:rtl/>
        </w:rPr>
      </w:pPr>
    </w:p>
    <w:p w14:paraId="602BF856" w14:textId="77777777" w:rsidR="00E02CBD" w:rsidRDefault="00E02CBD">
      <w:pPr>
        <w:pStyle w:val="P00"/>
        <w:spacing w:before="72"/>
        <w:ind w:left="0" w:right="1134"/>
        <w:rPr>
          <w:rStyle w:val="default"/>
          <w:rFonts w:cs="FrankRuehl" w:hint="cs"/>
          <w:rtl/>
        </w:rPr>
      </w:pPr>
      <w:r>
        <w:rPr>
          <w:rStyle w:val="default"/>
          <w:rFonts w:cs="FrankRuehl" w:hint="cs"/>
          <w:rtl/>
        </w:rPr>
        <w:t>ל' בשבט התשס"ז (18 בפברואר 2007)</w:t>
      </w:r>
    </w:p>
    <w:p w14:paraId="11E2EB90" w14:textId="77777777" w:rsidR="00E02CBD" w:rsidRDefault="00E02CBD">
      <w:pPr>
        <w:pStyle w:val="sig-0"/>
        <w:tabs>
          <w:tab w:val="clear" w:pos="4820"/>
          <w:tab w:val="center" w:pos="5103"/>
        </w:tabs>
        <w:ind w:left="0" w:right="1134"/>
        <w:rPr>
          <w:rFonts w:cs="FrankRuehl" w:hint="cs"/>
          <w:sz w:val="26"/>
          <w:rtl/>
        </w:rPr>
      </w:pPr>
      <w:r>
        <w:rPr>
          <w:rFonts w:cs="FrankRuehl" w:hint="cs"/>
          <w:sz w:val="26"/>
          <w:rtl/>
        </w:rPr>
        <w:tab/>
        <w:t>שאול מופז</w:t>
      </w:r>
    </w:p>
    <w:p w14:paraId="4973B181" w14:textId="77777777" w:rsidR="00E02CBD" w:rsidRDefault="00E02CBD">
      <w:pPr>
        <w:pStyle w:val="sig-0"/>
        <w:tabs>
          <w:tab w:val="clear" w:pos="4820"/>
          <w:tab w:val="center" w:pos="5103"/>
        </w:tabs>
        <w:ind w:left="0" w:right="1134"/>
        <w:rPr>
          <w:rFonts w:cs="FrankRuehl" w:hint="cs"/>
          <w:sz w:val="22"/>
          <w:szCs w:val="22"/>
          <w:rtl/>
        </w:rPr>
      </w:pPr>
      <w:r>
        <w:rPr>
          <w:rFonts w:cs="FrankRuehl" w:hint="cs"/>
          <w:sz w:val="22"/>
          <w:szCs w:val="22"/>
          <w:rtl/>
        </w:rPr>
        <w:tab/>
        <w:t>שר התחבורה והבטיחות בדרכים</w:t>
      </w:r>
    </w:p>
    <w:p w14:paraId="766D728F" w14:textId="77777777" w:rsidR="00E02CBD" w:rsidRDefault="00E02CBD">
      <w:pPr>
        <w:pStyle w:val="sig-0"/>
        <w:tabs>
          <w:tab w:val="clear" w:pos="4820"/>
          <w:tab w:val="center" w:pos="5670"/>
        </w:tabs>
        <w:ind w:left="0" w:right="1134"/>
        <w:rPr>
          <w:rFonts w:cs="FrankRuehl" w:hint="cs"/>
          <w:sz w:val="26"/>
          <w:rtl/>
        </w:rPr>
      </w:pPr>
    </w:p>
    <w:p w14:paraId="5FD0C9D7" w14:textId="77777777" w:rsidR="00E02CBD" w:rsidRDefault="00E02CBD">
      <w:pPr>
        <w:pStyle w:val="sig-0"/>
        <w:tabs>
          <w:tab w:val="clear" w:pos="4820"/>
          <w:tab w:val="center" w:pos="5670"/>
        </w:tabs>
        <w:ind w:left="0" w:right="1134"/>
        <w:rPr>
          <w:rFonts w:cs="FrankRuehl" w:hint="cs"/>
          <w:sz w:val="26"/>
          <w:rtl/>
        </w:rPr>
      </w:pPr>
    </w:p>
    <w:p w14:paraId="67DC1A8A" w14:textId="77777777" w:rsidR="00E02CBD" w:rsidRDefault="00E02CBD">
      <w:pPr>
        <w:pStyle w:val="sig-0"/>
        <w:ind w:left="0" w:right="1134"/>
        <w:rPr>
          <w:rFonts w:cs="FrankRuehl"/>
          <w:sz w:val="26"/>
          <w:rtl/>
        </w:rPr>
      </w:pPr>
    </w:p>
    <w:sectPr w:rsidR="00E02CBD">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40E74" w14:textId="77777777" w:rsidR="00CF5378" w:rsidRDefault="00CF5378">
      <w:r>
        <w:separator/>
      </w:r>
    </w:p>
  </w:endnote>
  <w:endnote w:type="continuationSeparator" w:id="0">
    <w:p w14:paraId="6ADE5944" w14:textId="77777777" w:rsidR="00CF5378" w:rsidRDefault="00CF5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E2B1A" w14:textId="77777777" w:rsidR="00E02CBD" w:rsidRDefault="00E02CB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8884D81" w14:textId="77777777" w:rsidR="00E02CBD" w:rsidRDefault="00E02CB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0120528" w14:textId="77777777" w:rsidR="00E02CBD" w:rsidRDefault="00E02CB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C:\Yael\hakika\051407\999_739.doc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4EDAE" w14:textId="77777777" w:rsidR="00E02CBD" w:rsidRDefault="00E02CB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55E20">
      <w:rPr>
        <w:rFonts w:hAnsi="FrankRuehl" w:cs="FrankRuehl"/>
        <w:noProof/>
        <w:sz w:val="24"/>
        <w:szCs w:val="24"/>
        <w:rtl/>
      </w:rPr>
      <w:t>2</w:t>
    </w:r>
    <w:r>
      <w:rPr>
        <w:rFonts w:hAnsi="FrankRuehl" w:cs="FrankRuehl"/>
        <w:sz w:val="24"/>
        <w:szCs w:val="24"/>
        <w:rtl/>
      </w:rPr>
      <w:fldChar w:fldCharType="end"/>
    </w:r>
  </w:p>
  <w:p w14:paraId="6E7F1495" w14:textId="77777777" w:rsidR="00E02CBD" w:rsidRDefault="00E02CB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C45994F" w14:textId="77777777" w:rsidR="00E02CBD" w:rsidRDefault="00E02CB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C:\Yael\hakika\051407\999_739.doc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A98F2" w14:textId="77777777" w:rsidR="00CF5378" w:rsidRDefault="00CF5378">
      <w:pPr>
        <w:spacing w:before="60"/>
        <w:ind w:right="1134"/>
      </w:pPr>
      <w:r>
        <w:separator/>
      </w:r>
    </w:p>
  </w:footnote>
  <w:footnote w:type="continuationSeparator" w:id="0">
    <w:p w14:paraId="4B2E62C7" w14:textId="77777777" w:rsidR="00CF5378" w:rsidRDefault="00CF5378">
      <w:pPr>
        <w:spacing w:before="60"/>
        <w:ind w:right="1134"/>
      </w:pPr>
      <w:r>
        <w:separator/>
      </w:r>
    </w:p>
  </w:footnote>
  <w:footnote w:id="1">
    <w:p w14:paraId="777AAFE5" w14:textId="77777777" w:rsidR="00E02CBD" w:rsidRDefault="00E02CB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פורסמו </w:t>
      </w:r>
      <w:hyperlink r:id="rId1" w:history="1">
        <w:r>
          <w:rPr>
            <w:rStyle w:val="Hyperlink"/>
            <w:rFonts w:cs="FrankRuehl" w:hint="cs"/>
            <w:rtl/>
          </w:rPr>
          <w:t>ק"ת תשס"ז מס' 6569</w:t>
        </w:r>
      </w:hyperlink>
      <w:r>
        <w:rPr>
          <w:rFonts w:cs="FrankRuehl" w:hint="cs"/>
          <w:rtl/>
        </w:rPr>
        <w:t xml:space="preserve"> מיום 22.2.2007 עמ' 608.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931A2" w14:textId="77777777" w:rsidR="00E02CBD" w:rsidRDefault="00E02CB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1391ECF2" w14:textId="77777777" w:rsidR="00E02CBD" w:rsidRDefault="00E02CB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03BB244" w14:textId="77777777" w:rsidR="00E02CBD" w:rsidRDefault="00E02CB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10607" w14:textId="77777777" w:rsidR="00E02CBD" w:rsidRDefault="00E02CB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האחריות לפיצוי נזקי זיהום בשמן (היטל השתתפות בקרן הבין-לאומית), </w:t>
    </w:r>
    <w:r>
      <w:rPr>
        <w:rFonts w:hAnsi="FrankRuehl" w:cs="FrankRuehl"/>
        <w:color w:val="000000"/>
        <w:sz w:val="28"/>
        <w:szCs w:val="28"/>
        <w:rtl/>
      </w:rPr>
      <w:br/>
    </w:r>
    <w:r>
      <w:rPr>
        <w:rFonts w:hAnsi="FrankRuehl" w:cs="FrankRuehl" w:hint="cs"/>
        <w:color w:val="000000"/>
        <w:sz w:val="28"/>
        <w:szCs w:val="28"/>
        <w:rtl/>
      </w:rPr>
      <w:t>תשס"ז-2007</w:t>
    </w:r>
  </w:p>
  <w:p w14:paraId="357129AA" w14:textId="77777777" w:rsidR="00E02CBD" w:rsidRDefault="00E02CB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158208B" w14:textId="77777777" w:rsidR="00E02CBD" w:rsidRDefault="00E02CB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636759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1DC4"/>
    <w:rsid w:val="00555E20"/>
    <w:rsid w:val="00A421F6"/>
    <w:rsid w:val="00A61DC4"/>
    <w:rsid w:val="00CF5378"/>
    <w:rsid w:val="00E02CBD"/>
    <w:rsid w:val="00EF4EF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2345B37"/>
  <w15:chartTrackingRefBased/>
  <w15:docId w15:val="{DB988D12-0328-4771-8AEB-9F3E47988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56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8921</CharactersWithSpaces>
  <SharedDoc>false</SharedDoc>
  <HLinks>
    <vt:vector size="66" baseType="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7929860</vt:i4>
      </vt:variant>
      <vt:variant>
        <vt:i4>0</vt:i4>
      </vt:variant>
      <vt:variant>
        <vt:i4>0</vt:i4>
      </vt:variant>
      <vt:variant>
        <vt:i4>5</vt:i4>
      </vt:variant>
      <vt:variant>
        <vt:lpwstr>http://www.nevo.co.il/Law_word/law06/tak-6569.pdf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האחריות לפיצוי נזקי זיהום בשמן (היטל השתתפות בקרן הבין-לאומית), תשס"ז-2007</vt:lpwstr>
  </property>
  <property fmtid="{D5CDD505-2E9C-101B-9397-08002B2CF9AE}" pid="4" name="LAWNUMBER">
    <vt:lpwstr>0739</vt:lpwstr>
  </property>
  <property fmtid="{D5CDD505-2E9C-101B-9397-08002B2CF9AE}" pid="5" name="TYPE">
    <vt:lpwstr>01</vt:lpwstr>
  </property>
  <property fmtid="{D5CDD505-2E9C-101B-9397-08002B2CF9AE}" pid="6" name="CHNAME">
    <vt:lpwstr>איכות הסביבה</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http://www.nevo.co.il/Law_word/law06/tak-6569.pdf;רשומות - תקנות כלליות#פורסמו ק"ת תשס"ז מס' 6569 #מיום 22.2.2007 עמ' 608</vt:lpwstr>
  </property>
  <property fmtid="{D5CDD505-2E9C-101B-9397-08002B2CF9AE}" pid="22" name="NOSE11">
    <vt:lpwstr>חקלאות טבע וסביבה</vt:lpwstr>
  </property>
  <property fmtid="{D5CDD505-2E9C-101B-9397-08002B2CF9AE}" pid="23" name="NOSE21">
    <vt:lpwstr>איכות הסביבה</vt:lpwstr>
  </property>
  <property fmtid="{D5CDD505-2E9C-101B-9397-08002B2CF9AE}" pid="24" name="NOSE31">
    <vt:lpwstr>מניעת זיהום</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האחריות לפיצוי נזקי זיהום בשמן</vt:lpwstr>
  </property>
  <property fmtid="{D5CDD505-2E9C-101B-9397-08002B2CF9AE}" pid="63" name="MEKOR_SAIF1">
    <vt:lpwstr>34XהX;38XאX</vt:lpwstr>
  </property>
</Properties>
</file>