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3049" w14:textId="77777777" w:rsidR="00451E4B" w:rsidRDefault="00451E4B" w:rsidP="005575A3">
      <w:pPr>
        <w:pStyle w:val="big-header"/>
        <w:ind w:left="0" w:right="1134"/>
        <w:rPr>
          <w:rFonts w:cs="FrankRuehl" w:hint="cs"/>
          <w:sz w:val="32"/>
          <w:rtl/>
        </w:rPr>
      </w:pPr>
      <w:r>
        <w:rPr>
          <w:rFonts w:cs="FrankRuehl"/>
          <w:sz w:val="32"/>
          <w:rtl/>
        </w:rPr>
        <w:t>תקנות האפוטרופוס הכללי (</w:t>
      </w:r>
      <w:r w:rsidR="005575A3">
        <w:rPr>
          <w:rFonts w:cs="FrankRuehl" w:hint="cs"/>
          <w:sz w:val="32"/>
          <w:rtl/>
        </w:rPr>
        <w:t>השקעת כספים), תשע"ד-2014</w:t>
      </w:r>
    </w:p>
    <w:p w14:paraId="57665B67" w14:textId="77777777" w:rsidR="005575A3" w:rsidRPr="005575A3" w:rsidRDefault="005575A3" w:rsidP="005575A3">
      <w:pPr>
        <w:spacing w:line="320" w:lineRule="auto"/>
        <w:jc w:val="left"/>
        <w:rPr>
          <w:rFonts w:cs="FrankRuehl"/>
          <w:szCs w:val="26"/>
          <w:rtl/>
        </w:rPr>
      </w:pPr>
    </w:p>
    <w:p w14:paraId="0CCD5F87" w14:textId="77777777" w:rsidR="005575A3" w:rsidRDefault="005575A3" w:rsidP="005575A3">
      <w:pPr>
        <w:spacing w:line="320" w:lineRule="auto"/>
        <w:jc w:val="left"/>
        <w:rPr>
          <w:rtl/>
        </w:rPr>
      </w:pPr>
    </w:p>
    <w:p w14:paraId="3DD6811B" w14:textId="77777777" w:rsidR="005575A3" w:rsidRPr="005575A3" w:rsidRDefault="005575A3" w:rsidP="005575A3">
      <w:pPr>
        <w:spacing w:line="320" w:lineRule="auto"/>
        <w:jc w:val="left"/>
        <w:rPr>
          <w:rFonts w:cs="Miriam" w:hint="cs"/>
          <w:szCs w:val="22"/>
          <w:rtl/>
        </w:rPr>
      </w:pPr>
      <w:r w:rsidRPr="005575A3">
        <w:rPr>
          <w:rFonts w:cs="Miriam"/>
          <w:szCs w:val="22"/>
          <w:rtl/>
        </w:rPr>
        <w:t>רשויות ומשפט מנהלי</w:t>
      </w:r>
      <w:r w:rsidRPr="005575A3">
        <w:rPr>
          <w:rFonts w:cs="FrankRuehl"/>
          <w:szCs w:val="26"/>
          <w:rtl/>
        </w:rPr>
        <w:t xml:space="preserve"> – האפוטרופוס הכללי</w:t>
      </w:r>
    </w:p>
    <w:p w14:paraId="6923B216" w14:textId="77777777" w:rsidR="00451E4B" w:rsidRDefault="00451E4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35EB" w:rsidRPr="007135EB" w14:paraId="68F54E5C" w14:textId="77777777" w:rsidTr="007135EB">
        <w:tblPrEx>
          <w:tblCellMar>
            <w:top w:w="0" w:type="dxa"/>
            <w:bottom w:w="0" w:type="dxa"/>
          </w:tblCellMar>
        </w:tblPrEx>
        <w:tc>
          <w:tcPr>
            <w:tcW w:w="1247" w:type="dxa"/>
          </w:tcPr>
          <w:p w14:paraId="1973E88F" w14:textId="77777777" w:rsidR="007135EB" w:rsidRPr="007135EB" w:rsidRDefault="007135EB" w:rsidP="007135EB">
            <w:pPr>
              <w:spacing w:line="240" w:lineRule="auto"/>
              <w:jc w:val="left"/>
              <w:rPr>
                <w:rFonts w:cs="Frankruhel"/>
                <w:sz w:val="24"/>
                <w:rtl/>
              </w:rPr>
            </w:pPr>
            <w:r>
              <w:rPr>
                <w:sz w:val="24"/>
                <w:rtl/>
              </w:rPr>
              <w:t xml:space="preserve">סעיף 1 </w:t>
            </w:r>
          </w:p>
        </w:tc>
        <w:tc>
          <w:tcPr>
            <w:tcW w:w="5669" w:type="dxa"/>
          </w:tcPr>
          <w:p w14:paraId="0EAD8560" w14:textId="77777777" w:rsidR="007135EB" w:rsidRPr="007135EB" w:rsidRDefault="007135EB" w:rsidP="007135EB">
            <w:pPr>
              <w:spacing w:line="240" w:lineRule="auto"/>
              <w:jc w:val="left"/>
              <w:rPr>
                <w:rFonts w:cs="Frankruhel"/>
                <w:sz w:val="24"/>
                <w:rtl/>
              </w:rPr>
            </w:pPr>
            <w:r>
              <w:rPr>
                <w:sz w:val="24"/>
                <w:rtl/>
              </w:rPr>
              <w:t>הגדרות</w:t>
            </w:r>
          </w:p>
        </w:tc>
        <w:tc>
          <w:tcPr>
            <w:tcW w:w="567" w:type="dxa"/>
          </w:tcPr>
          <w:p w14:paraId="31E27C08" w14:textId="77777777" w:rsidR="007135EB" w:rsidRPr="007135EB" w:rsidRDefault="007135EB" w:rsidP="007135EB">
            <w:pPr>
              <w:spacing w:line="240" w:lineRule="auto"/>
              <w:jc w:val="left"/>
              <w:rPr>
                <w:rStyle w:val="Hyperlink"/>
                <w:rtl/>
              </w:rPr>
            </w:pPr>
            <w:hyperlink w:anchor="Seif1" w:tooltip="הגדרות" w:history="1">
              <w:r w:rsidRPr="007135EB">
                <w:rPr>
                  <w:rStyle w:val="Hyperlink"/>
                </w:rPr>
                <w:t>Go</w:t>
              </w:r>
            </w:hyperlink>
          </w:p>
        </w:tc>
        <w:tc>
          <w:tcPr>
            <w:tcW w:w="850" w:type="dxa"/>
          </w:tcPr>
          <w:p w14:paraId="58BD15AC"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135EB" w:rsidRPr="007135EB" w14:paraId="534DDCA4" w14:textId="77777777" w:rsidTr="007135EB">
        <w:tblPrEx>
          <w:tblCellMar>
            <w:top w:w="0" w:type="dxa"/>
            <w:bottom w:w="0" w:type="dxa"/>
          </w:tblCellMar>
        </w:tblPrEx>
        <w:tc>
          <w:tcPr>
            <w:tcW w:w="1247" w:type="dxa"/>
          </w:tcPr>
          <w:p w14:paraId="25CC0853" w14:textId="77777777" w:rsidR="007135EB" w:rsidRPr="007135EB" w:rsidRDefault="007135EB" w:rsidP="007135EB">
            <w:pPr>
              <w:spacing w:line="240" w:lineRule="auto"/>
              <w:jc w:val="left"/>
              <w:rPr>
                <w:rFonts w:cs="Frankruhel"/>
                <w:sz w:val="24"/>
                <w:rtl/>
              </w:rPr>
            </w:pPr>
            <w:r>
              <w:rPr>
                <w:sz w:val="24"/>
                <w:rtl/>
              </w:rPr>
              <w:t xml:space="preserve">סעיף 2 </w:t>
            </w:r>
          </w:p>
        </w:tc>
        <w:tc>
          <w:tcPr>
            <w:tcW w:w="5669" w:type="dxa"/>
          </w:tcPr>
          <w:p w14:paraId="1F681705" w14:textId="77777777" w:rsidR="007135EB" w:rsidRPr="007135EB" w:rsidRDefault="007135EB" w:rsidP="007135EB">
            <w:pPr>
              <w:spacing w:line="240" w:lineRule="auto"/>
              <w:jc w:val="left"/>
              <w:rPr>
                <w:rFonts w:cs="Frankruhel"/>
                <w:sz w:val="24"/>
                <w:rtl/>
              </w:rPr>
            </w:pPr>
            <w:r>
              <w:rPr>
                <w:sz w:val="24"/>
                <w:rtl/>
              </w:rPr>
              <w:t>דרכי השקעת כספים</w:t>
            </w:r>
          </w:p>
        </w:tc>
        <w:tc>
          <w:tcPr>
            <w:tcW w:w="567" w:type="dxa"/>
          </w:tcPr>
          <w:p w14:paraId="7747DD80" w14:textId="77777777" w:rsidR="007135EB" w:rsidRPr="007135EB" w:rsidRDefault="007135EB" w:rsidP="007135EB">
            <w:pPr>
              <w:spacing w:line="240" w:lineRule="auto"/>
              <w:jc w:val="left"/>
              <w:rPr>
                <w:rStyle w:val="Hyperlink"/>
                <w:rtl/>
              </w:rPr>
            </w:pPr>
            <w:hyperlink w:anchor="Seif2" w:tooltip="דרכי השקעת כספים" w:history="1">
              <w:r w:rsidRPr="007135EB">
                <w:rPr>
                  <w:rStyle w:val="Hyperlink"/>
                </w:rPr>
                <w:t>Go</w:t>
              </w:r>
            </w:hyperlink>
          </w:p>
        </w:tc>
        <w:tc>
          <w:tcPr>
            <w:tcW w:w="850" w:type="dxa"/>
          </w:tcPr>
          <w:p w14:paraId="1B096AAB"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135EB" w:rsidRPr="007135EB" w14:paraId="30180ABF" w14:textId="77777777" w:rsidTr="007135EB">
        <w:tblPrEx>
          <w:tblCellMar>
            <w:top w:w="0" w:type="dxa"/>
            <w:bottom w:w="0" w:type="dxa"/>
          </w:tblCellMar>
        </w:tblPrEx>
        <w:tc>
          <w:tcPr>
            <w:tcW w:w="1247" w:type="dxa"/>
          </w:tcPr>
          <w:p w14:paraId="6D165418" w14:textId="77777777" w:rsidR="007135EB" w:rsidRPr="007135EB" w:rsidRDefault="007135EB" w:rsidP="007135EB">
            <w:pPr>
              <w:spacing w:line="240" w:lineRule="auto"/>
              <w:jc w:val="left"/>
              <w:rPr>
                <w:rFonts w:cs="Frankruhel"/>
                <w:sz w:val="24"/>
                <w:rtl/>
              </w:rPr>
            </w:pPr>
            <w:r>
              <w:rPr>
                <w:sz w:val="24"/>
                <w:rtl/>
              </w:rPr>
              <w:t xml:space="preserve">סעיף 3 </w:t>
            </w:r>
          </w:p>
        </w:tc>
        <w:tc>
          <w:tcPr>
            <w:tcW w:w="5669" w:type="dxa"/>
          </w:tcPr>
          <w:p w14:paraId="0CA518BB" w14:textId="77777777" w:rsidR="007135EB" w:rsidRPr="007135EB" w:rsidRDefault="007135EB" w:rsidP="007135EB">
            <w:pPr>
              <w:spacing w:line="240" w:lineRule="auto"/>
              <w:jc w:val="left"/>
              <w:rPr>
                <w:rFonts w:cs="Frankruhel"/>
                <w:sz w:val="24"/>
                <w:rtl/>
              </w:rPr>
            </w:pPr>
            <w:r>
              <w:rPr>
                <w:sz w:val="24"/>
                <w:rtl/>
              </w:rPr>
              <w:t>השקעה בפיקדון במשרד האוצר</w:t>
            </w:r>
          </w:p>
        </w:tc>
        <w:tc>
          <w:tcPr>
            <w:tcW w:w="567" w:type="dxa"/>
          </w:tcPr>
          <w:p w14:paraId="34B262B9" w14:textId="77777777" w:rsidR="007135EB" w:rsidRPr="007135EB" w:rsidRDefault="007135EB" w:rsidP="007135EB">
            <w:pPr>
              <w:spacing w:line="240" w:lineRule="auto"/>
              <w:jc w:val="left"/>
              <w:rPr>
                <w:rStyle w:val="Hyperlink"/>
                <w:rtl/>
              </w:rPr>
            </w:pPr>
            <w:hyperlink w:anchor="Seif3" w:tooltip="השקעה בפיקדון במשרד האוצר" w:history="1">
              <w:r w:rsidRPr="007135EB">
                <w:rPr>
                  <w:rStyle w:val="Hyperlink"/>
                </w:rPr>
                <w:t>Go</w:t>
              </w:r>
            </w:hyperlink>
          </w:p>
        </w:tc>
        <w:tc>
          <w:tcPr>
            <w:tcW w:w="850" w:type="dxa"/>
          </w:tcPr>
          <w:p w14:paraId="3A82342A"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135EB" w:rsidRPr="007135EB" w14:paraId="4B127D18" w14:textId="77777777" w:rsidTr="007135EB">
        <w:tblPrEx>
          <w:tblCellMar>
            <w:top w:w="0" w:type="dxa"/>
            <w:bottom w:w="0" w:type="dxa"/>
          </w:tblCellMar>
        </w:tblPrEx>
        <w:tc>
          <w:tcPr>
            <w:tcW w:w="1247" w:type="dxa"/>
          </w:tcPr>
          <w:p w14:paraId="256112E9" w14:textId="77777777" w:rsidR="007135EB" w:rsidRPr="007135EB" w:rsidRDefault="007135EB" w:rsidP="007135EB">
            <w:pPr>
              <w:spacing w:line="240" w:lineRule="auto"/>
              <w:jc w:val="left"/>
              <w:rPr>
                <w:rFonts w:cs="Frankruhel"/>
                <w:sz w:val="24"/>
                <w:rtl/>
              </w:rPr>
            </w:pPr>
            <w:r>
              <w:rPr>
                <w:sz w:val="24"/>
                <w:rtl/>
              </w:rPr>
              <w:t xml:space="preserve">סעיף 4 </w:t>
            </w:r>
          </w:p>
        </w:tc>
        <w:tc>
          <w:tcPr>
            <w:tcW w:w="5669" w:type="dxa"/>
          </w:tcPr>
          <w:p w14:paraId="181F401A" w14:textId="77777777" w:rsidR="007135EB" w:rsidRPr="007135EB" w:rsidRDefault="007135EB" w:rsidP="007135EB">
            <w:pPr>
              <w:spacing w:line="240" w:lineRule="auto"/>
              <w:jc w:val="left"/>
              <w:rPr>
                <w:rFonts w:cs="Frankruhel"/>
                <w:sz w:val="24"/>
                <w:rtl/>
              </w:rPr>
            </w:pPr>
            <w:r>
              <w:rPr>
                <w:sz w:val="24"/>
                <w:rtl/>
              </w:rPr>
              <w:t>השקעה באמצעות ועדת השקעות</w:t>
            </w:r>
          </w:p>
        </w:tc>
        <w:tc>
          <w:tcPr>
            <w:tcW w:w="567" w:type="dxa"/>
          </w:tcPr>
          <w:p w14:paraId="01EAD58E" w14:textId="77777777" w:rsidR="007135EB" w:rsidRPr="007135EB" w:rsidRDefault="007135EB" w:rsidP="007135EB">
            <w:pPr>
              <w:spacing w:line="240" w:lineRule="auto"/>
              <w:jc w:val="left"/>
              <w:rPr>
                <w:rStyle w:val="Hyperlink"/>
                <w:rtl/>
              </w:rPr>
            </w:pPr>
            <w:hyperlink w:anchor="Seif4" w:tooltip="השקעה באמצעות ועדת השקעות" w:history="1">
              <w:r w:rsidRPr="007135EB">
                <w:rPr>
                  <w:rStyle w:val="Hyperlink"/>
                </w:rPr>
                <w:t>Go</w:t>
              </w:r>
            </w:hyperlink>
          </w:p>
        </w:tc>
        <w:tc>
          <w:tcPr>
            <w:tcW w:w="850" w:type="dxa"/>
          </w:tcPr>
          <w:p w14:paraId="290F4D3A"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5EB" w:rsidRPr="007135EB" w14:paraId="7E45AD94" w14:textId="77777777" w:rsidTr="007135EB">
        <w:tblPrEx>
          <w:tblCellMar>
            <w:top w:w="0" w:type="dxa"/>
            <w:bottom w:w="0" w:type="dxa"/>
          </w:tblCellMar>
        </w:tblPrEx>
        <w:tc>
          <w:tcPr>
            <w:tcW w:w="1247" w:type="dxa"/>
          </w:tcPr>
          <w:p w14:paraId="1F55D617" w14:textId="77777777" w:rsidR="007135EB" w:rsidRPr="007135EB" w:rsidRDefault="007135EB" w:rsidP="007135EB">
            <w:pPr>
              <w:spacing w:line="240" w:lineRule="auto"/>
              <w:jc w:val="left"/>
              <w:rPr>
                <w:rFonts w:cs="Frankruhel"/>
                <w:sz w:val="24"/>
                <w:rtl/>
              </w:rPr>
            </w:pPr>
            <w:r>
              <w:rPr>
                <w:sz w:val="24"/>
                <w:rtl/>
              </w:rPr>
              <w:t xml:space="preserve">סעיף 5 </w:t>
            </w:r>
          </w:p>
        </w:tc>
        <w:tc>
          <w:tcPr>
            <w:tcW w:w="5669" w:type="dxa"/>
          </w:tcPr>
          <w:p w14:paraId="3B02F810" w14:textId="77777777" w:rsidR="007135EB" w:rsidRPr="007135EB" w:rsidRDefault="007135EB" w:rsidP="007135EB">
            <w:pPr>
              <w:spacing w:line="240" w:lineRule="auto"/>
              <w:jc w:val="left"/>
              <w:rPr>
                <w:rFonts w:cs="Frankruhel"/>
                <w:sz w:val="24"/>
                <w:rtl/>
              </w:rPr>
            </w:pPr>
            <w:r>
              <w:rPr>
                <w:sz w:val="24"/>
                <w:rtl/>
              </w:rPr>
              <w:t>נוהלי ועדת ההשקעות</w:t>
            </w:r>
          </w:p>
        </w:tc>
        <w:tc>
          <w:tcPr>
            <w:tcW w:w="567" w:type="dxa"/>
          </w:tcPr>
          <w:p w14:paraId="7BF35121" w14:textId="77777777" w:rsidR="007135EB" w:rsidRPr="007135EB" w:rsidRDefault="007135EB" w:rsidP="007135EB">
            <w:pPr>
              <w:spacing w:line="240" w:lineRule="auto"/>
              <w:jc w:val="left"/>
              <w:rPr>
                <w:rStyle w:val="Hyperlink"/>
                <w:rtl/>
              </w:rPr>
            </w:pPr>
            <w:hyperlink w:anchor="Seif5" w:tooltip="נוהלי ועדת ההשקעות" w:history="1">
              <w:r w:rsidRPr="007135EB">
                <w:rPr>
                  <w:rStyle w:val="Hyperlink"/>
                </w:rPr>
                <w:t>Go</w:t>
              </w:r>
            </w:hyperlink>
          </w:p>
        </w:tc>
        <w:tc>
          <w:tcPr>
            <w:tcW w:w="850" w:type="dxa"/>
          </w:tcPr>
          <w:p w14:paraId="407C5E97"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135EB" w:rsidRPr="007135EB" w14:paraId="7C1E061B" w14:textId="77777777" w:rsidTr="007135EB">
        <w:tblPrEx>
          <w:tblCellMar>
            <w:top w:w="0" w:type="dxa"/>
            <w:bottom w:w="0" w:type="dxa"/>
          </w:tblCellMar>
        </w:tblPrEx>
        <w:tc>
          <w:tcPr>
            <w:tcW w:w="1247" w:type="dxa"/>
          </w:tcPr>
          <w:p w14:paraId="52210817" w14:textId="77777777" w:rsidR="007135EB" w:rsidRPr="007135EB" w:rsidRDefault="007135EB" w:rsidP="007135EB">
            <w:pPr>
              <w:spacing w:line="240" w:lineRule="auto"/>
              <w:jc w:val="left"/>
              <w:rPr>
                <w:rFonts w:cs="Frankruhel"/>
                <w:sz w:val="24"/>
                <w:rtl/>
              </w:rPr>
            </w:pPr>
            <w:r>
              <w:rPr>
                <w:sz w:val="24"/>
                <w:rtl/>
              </w:rPr>
              <w:t xml:space="preserve">סעיף 6 </w:t>
            </w:r>
          </w:p>
        </w:tc>
        <w:tc>
          <w:tcPr>
            <w:tcW w:w="5669" w:type="dxa"/>
          </w:tcPr>
          <w:p w14:paraId="584047F9" w14:textId="77777777" w:rsidR="007135EB" w:rsidRPr="007135EB" w:rsidRDefault="007135EB" w:rsidP="007135EB">
            <w:pPr>
              <w:spacing w:line="240" w:lineRule="auto"/>
              <w:jc w:val="left"/>
              <w:rPr>
                <w:rFonts w:cs="Frankruhel"/>
                <w:sz w:val="24"/>
                <w:rtl/>
              </w:rPr>
            </w:pPr>
            <w:r>
              <w:rPr>
                <w:sz w:val="24"/>
                <w:rtl/>
              </w:rPr>
              <w:t>תחולה והוראת מעבר</w:t>
            </w:r>
          </w:p>
        </w:tc>
        <w:tc>
          <w:tcPr>
            <w:tcW w:w="567" w:type="dxa"/>
          </w:tcPr>
          <w:p w14:paraId="351611B2" w14:textId="77777777" w:rsidR="007135EB" w:rsidRPr="007135EB" w:rsidRDefault="007135EB" w:rsidP="007135EB">
            <w:pPr>
              <w:spacing w:line="240" w:lineRule="auto"/>
              <w:jc w:val="left"/>
              <w:rPr>
                <w:rStyle w:val="Hyperlink"/>
                <w:rtl/>
              </w:rPr>
            </w:pPr>
            <w:hyperlink w:anchor="Seif6" w:tooltip="תחולה והוראת מעבר" w:history="1">
              <w:r w:rsidRPr="007135EB">
                <w:rPr>
                  <w:rStyle w:val="Hyperlink"/>
                </w:rPr>
                <w:t>Go</w:t>
              </w:r>
            </w:hyperlink>
          </w:p>
        </w:tc>
        <w:tc>
          <w:tcPr>
            <w:tcW w:w="850" w:type="dxa"/>
          </w:tcPr>
          <w:p w14:paraId="2AB1A545"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135EB" w:rsidRPr="007135EB" w14:paraId="70F112B2" w14:textId="77777777" w:rsidTr="007135EB">
        <w:tblPrEx>
          <w:tblCellMar>
            <w:top w:w="0" w:type="dxa"/>
            <w:bottom w:w="0" w:type="dxa"/>
          </w:tblCellMar>
        </w:tblPrEx>
        <w:tc>
          <w:tcPr>
            <w:tcW w:w="1247" w:type="dxa"/>
          </w:tcPr>
          <w:p w14:paraId="26DD22EF" w14:textId="77777777" w:rsidR="007135EB" w:rsidRPr="007135EB" w:rsidRDefault="007135EB" w:rsidP="007135EB">
            <w:pPr>
              <w:spacing w:line="240" w:lineRule="auto"/>
              <w:jc w:val="left"/>
              <w:rPr>
                <w:rFonts w:cs="Frankruhel"/>
                <w:sz w:val="24"/>
                <w:rtl/>
              </w:rPr>
            </w:pPr>
          </w:p>
        </w:tc>
        <w:tc>
          <w:tcPr>
            <w:tcW w:w="5669" w:type="dxa"/>
          </w:tcPr>
          <w:p w14:paraId="0C91FEAC" w14:textId="77777777" w:rsidR="007135EB" w:rsidRPr="007135EB" w:rsidRDefault="007135EB" w:rsidP="007135EB">
            <w:pPr>
              <w:spacing w:line="240" w:lineRule="auto"/>
              <w:jc w:val="left"/>
              <w:rPr>
                <w:rFonts w:cs="Frankruhel"/>
                <w:sz w:val="24"/>
                <w:rtl/>
              </w:rPr>
            </w:pPr>
            <w:r>
              <w:rPr>
                <w:sz w:val="24"/>
                <w:rtl/>
              </w:rPr>
              <w:t>תוספת ראשונה</w:t>
            </w:r>
          </w:p>
        </w:tc>
        <w:tc>
          <w:tcPr>
            <w:tcW w:w="567" w:type="dxa"/>
          </w:tcPr>
          <w:p w14:paraId="57E3C9C6" w14:textId="77777777" w:rsidR="007135EB" w:rsidRPr="007135EB" w:rsidRDefault="007135EB" w:rsidP="007135EB">
            <w:pPr>
              <w:spacing w:line="240" w:lineRule="auto"/>
              <w:jc w:val="left"/>
              <w:rPr>
                <w:rStyle w:val="Hyperlink"/>
                <w:rtl/>
              </w:rPr>
            </w:pPr>
            <w:hyperlink w:anchor="med0" w:tooltip="תוספת ראשונה" w:history="1">
              <w:r w:rsidRPr="007135EB">
                <w:rPr>
                  <w:rStyle w:val="Hyperlink"/>
                </w:rPr>
                <w:t>Go</w:t>
              </w:r>
            </w:hyperlink>
          </w:p>
        </w:tc>
        <w:tc>
          <w:tcPr>
            <w:tcW w:w="850" w:type="dxa"/>
          </w:tcPr>
          <w:p w14:paraId="58C0A119" w14:textId="77777777" w:rsidR="007135EB" w:rsidRPr="007135EB" w:rsidRDefault="007135EB" w:rsidP="007135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6B6735F7" w14:textId="77777777" w:rsidR="00451E4B" w:rsidRDefault="00451E4B">
      <w:pPr>
        <w:pStyle w:val="big-header"/>
        <w:ind w:left="0" w:right="1134"/>
        <w:rPr>
          <w:rFonts w:cs="FrankRuehl"/>
          <w:sz w:val="32"/>
          <w:rtl/>
        </w:rPr>
      </w:pPr>
    </w:p>
    <w:p w14:paraId="718E35F2" w14:textId="77777777" w:rsidR="00451E4B" w:rsidRDefault="00451E4B" w:rsidP="005575A3">
      <w:pPr>
        <w:pStyle w:val="big-header"/>
        <w:ind w:left="0" w:right="1134"/>
        <w:rPr>
          <w:rStyle w:val="default"/>
          <w:rFonts w:cs="FrankRuehl" w:hint="cs"/>
          <w:rtl/>
        </w:rPr>
      </w:pPr>
      <w:r>
        <w:rPr>
          <w:rtl/>
        </w:rPr>
        <w:br w:type="page"/>
      </w:r>
      <w:r w:rsidR="005575A3">
        <w:rPr>
          <w:rFonts w:cs="FrankRuehl"/>
          <w:sz w:val="32"/>
          <w:rtl/>
        </w:rPr>
        <w:lastRenderedPageBreak/>
        <w:t>תקנות האפוטרופוס הכללי (</w:t>
      </w:r>
      <w:r w:rsidR="005575A3">
        <w:rPr>
          <w:rFonts w:cs="FrankRuehl" w:hint="cs"/>
          <w:sz w:val="32"/>
          <w:rtl/>
        </w:rPr>
        <w:t>השקעת כספים), תשע"ד-2014</w:t>
      </w:r>
      <w:r>
        <w:rPr>
          <w:rStyle w:val="default"/>
          <w:rtl/>
        </w:rPr>
        <w:footnoteReference w:customMarkFollows="1" w:id="1"/>
        <w:t>*</w:t>
      </w:r>
    </w:p>
    <w:p w14:paraId="77B8706F" w14:textId="77777777" w:rsidR="00451E4B" w:rsidRDefault="00451E4B" w:rsidP="005575A3">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סעיף 23(א)(</w:t>
      </w:r>
      <w:r w:rsidR="005575A3">
        <w:rPr>
          <w:rStyle w:val="default"/>
          <w:rFonts w:cs="FrankRuehl" w:hint="cs"/>
          <w:rtl/>
        </w:rPr>
        <w:t>3</w:t>
      </w:r>
      <w:r>
        <w:rPr>
          <w:rStyle w:val="default"/>
          <w:rFonts w:cs="FrankRuehl" w:hint="cs"/>
          <w:rtl/>
        </w:rPr>
        <w:t xml:space="preserve">) לחוק האפוטרופוס הכללי, </w:t>
      </w:r>
      <w:r w:rsidR="005575A3">
        <w:rPr>
          <w:rStyle w:val="default"/>
          <w:rFonts w:cs="FrankRuehl" w:hint="cs"/>
          <w:rtl/>
        </w:rPr>
        <w:t>ה</w:t>
      </w:r>
      <w:r>
        <w:rPr>
          <w:rStyle w:val="default"/>
          <w:rFonts w:cs="FrankRuehl" w:hint="cs"/>
          <w:rtl/>
        </w:rPr>
        <w:t>תשל"ח-</w:t>
      </w:r>
      <w:r>
        <w:rPr>
          <w:rStyle w:val="default"/>
          <w:rFonts w:cs="FrankRuehl"/>
          <w:rtl/>
        </w:rPr>
        <w:t>1978 (</w:t>
      </w:r>
      <w:r>
        <w:rPr>
          <w:rStyle w:val="default"/>
          <w:rFonts w:cs="FrankRuehl" w:hint="cs"/>
          <w:rtl/>
        </w:rPr>
        <w:t xml:space="preserve">להלן </w:t>
      </w:r>
      <w:r w:rsidR="005575A3">
        <w:rPr>
          <w:rStyle w:val="default"/>
          <w:rFonts w:cs="FrankRuehl"/>
          <w:rtl/>
        </w:rPr>
        <w:t>–</w:t>
      </w:r>
      <w:r>
        <w:rPr>
          <w:rStyle w:val="default"/>
          <w:rFonts w:cs="FrankRuehl"/>
          <w:rtl/>
        </w:rPr>
        <w:t xml:space="preserve"> </w:t>
      </w:r>
      <w:r>
        <w:rPr>
          <w:rStyle w:val="default"/>
          <w:rFonts w:cs="FrankRuehl" w:hint="cs"/>
          <w:rtl/>
        </w:rPr>
        <w:t>החוק)</w:t>
      </w:r>
      <w:r w:rsidR="005575A3">
        <w:rPr>
          <w:rStyle w:val="default"/>
          <w:rFonts w:cs="FrankRuehl" w:hint="cs"/>
          <w:rtl/>
        </w:rPr>
        <w:t>,</w:t>
      </w:r>
      <w:r>
        <w:rPr>
          <w:rStyle w:val="default"/>
          <w:rFonts w:cs="FrankRuehl" w:hint="cs"/>
          <w:rtl/>
        </w:rPr>
        <w:t xml:space="preserve"> ובאישור ועדת </w:t>
      </w:r>
      <w:r w:rsidR="005575A3">
        <w:rPr>
          <w:rStyle w:val="default"/>
          <w:rFonts w:cs="FrankRuehl" w:hint="cs"/>
          <w:rtl/>
        </w:rPr>
        <w:t>הכלכלה</w:t>
      </w:r>
      <w:r>
        <w:rPr>
          <w:rStyle w:val="default"/>
          <w:rFonts w:cs="FrankRuehl" w:hint="cs"/>
          <w:rtl/>
        </w:rPr>
        <w:t xml:space="preserve"> של הכנסת, אני מתקי</w:t>
      </w:r>
      <w:r w:rsidR="005575A3">
        <w:rPr>
          <w:rStyle w:val="default"/>
          <w:rFonts w:cs="FrankRuehl" w:hint="cs"/>
          <w:rtl/>
        </w:rPr>
        <w:t>נה</w:t>
      </w:r>
      <w:r>
        <w:rPr>
          <w:rStyle w:val="default"/>
          <w:rFonts w:cs="FrankRuehl" w:hint="cs"/>
          <w:rtl/>
        </w:rPr>
        <w:t xml:space="preserve"> תקנות אלה:</w:t>
      </w:r>
    </w:p>
    <w:p w14:paraId="79BE4556" w14:textId="77777777" w:rsidR="00451E4B" w:rsidRDefault="00451E4B" w:rsidP="005575A3">
      <w:pPr>
        <w:pStyle w:val="P00"/>
        <w:spacing w:before="72"/>
        <w:ind w:left="0" w:right="1134"/>
        <w:rPr>
          <w:rStyle w:val="default"/>
          <w:rFonts w:cs="FrankRuehl" w:hint="cs"/>
          <w:rtl/>
        </w:rPr>
      </w:pPr>
      <w:bookmarkStart w:id="0" w:name="Seif1"/>
      <w:bookmarkEnd w:id="0"/>
      <w:r>
        <w:rPr>
          <w:lang w:val="he-IL"/>
        </w:rPr>
        <w:pict w14:anchorId="5462DC33">
          <v:rect id="_x0000_s1026" style="position:absolute;left:0;text-align:left;margin-left:464.5pt;margin-top:8.05pt;width:75.05pt;height:13.95pt;z-index:251655168" o:allowincell="f" filled="f" stroked="f" strokecolor="lime" strokeweight=".25pt">
            <v:textbox inset="0,0,0,0">
              <w:txbxContent>
                <w:p w14:paraId="54A3D93D" w14:textId="77777777" w:rsidR="00451E4B" w:rsidRDefault="005575A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5575A3">
        <w:rPr>
          <w:rStyle w:val="default"/>
          <w:rFonts w:cs="FrankRuehl" w:hint="cs"/>
          <w:rtl/>
        </w:rPr>
        <w:t xml:space="preserve">בתקנות אלה </w:t>
      </w:r>
      <w:r w:rsidR="005575A3">
        <w:rPr>
          <w:rStyle w:val="default"/>
          <w:rFonts w:cs="FrankRuehl"/>
          <w:rtl/>
        </w:rPr>
        <w:t>–</w:t>
      </w:r>
    </w:p>
    <w:p w14:paraId="1376ED8E"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"איגרת חוב" </w:t>
      </w:r>
      <w:r>
        <w:rPr>
          <w:rStyle w:val="default"/>
          <w:rFonts w:cs="FrankRuehl"/>
          <w:rtl/>
        </w:rPr>
        <w:t>–</w:t>
      </w:r>
      <w:r>
        <w:rPr>
          <w:rStyle w:val="default"/>
          <w:rFonts w:cs="FrankRuehl" w:hint="cs"/>
          <w:rtl/>
        </w:rPr>
        <w:t xml:space="preserve"> כהגדרתה בתקנות קופות גמל;</w:t>
      </w:r>
    </w:p>
    <w:p w14:paraId="5484170F"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"איגרת חוב ממשלתית צמודה" </w:t>
      </w:r>
      <w:r>
        <w:rPr>
          <w:rStyle w:val="default"/>
          <w:rFonts w:cs="FrankRuehl"/>
          <w:rtl/>
        </w:rPr>
        <w:t>–</w:t>
      </w:r>
      <w:r>
        <w:rPr>
          <w:rStyle w:val="default"/>
          <w:rFonts w:cs="FrankRuehl" w:hint="cs"/>
          <w:rtl/>
        </w:rPr>
        <w:t xml:space="preserve"> אגרת חוב שהנפיקה המדינה לפי חוק מילווה המדינה, התשל"ט-1979, הצמודה למדד;</w:t>
      </w:r>
    </w:p>
    <w:p w14:paraId="6A75764F"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"בורסה" </w:t>
      </w:r>
      <w:r>
        <w:rPr>
          <w:rStyle w:val="default"/>
          <w:rFonts w:cs="FrankRuehl"/>
          <w:rtl/>
        </w:rPr>
        <w:t>–</w:t>
      </w:r>
      <w:r>
        <w:rPr>
          <w:rStyle w:val="default"/>
          <w:rFonts w:cs="FrankRuehl" w:hint="cs"/>
          <w:rtl/>
        </w:rPr>
        <w:t xml:space="preserve"> הבורסה לניירות ערך בתל אביב, בע"מ;</w:t>
      </w:r>
    </w:p>
    <w:p w14:paraId="3748A910"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"דירוג" </w:t>
      </w:r>
      <w:r>
        <w:rPr>
          <w:rStyle w:val="default"/>
          <w:rFonts w:cs="FrankRuehl"/>
          <w:rtl/>
        </w:rPr>
        <w:t>–</w:t>
      </w:r>
      <w:r>
        <w:rPr>
          <w:rStyle w:val="default"/>
          <w:rFonts w:cs="FrankRuehl" w:hint="cs"/>
          <w:rtl/>
        </w:rPr>
        <w:t xml:space="preserve"> דירוג חוב, שקבעה חברה מדרגת;</w:t>
      </w:r>
    </w:p>
    <w:p w14:paraId="798AA805"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575CC685"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"ועדת ההשקעות" </w:t>
      </w:r>
      <w:r>
        <w:rPr>
          <w:rStyle w:val="default"/>
          <w:rFonts w:cs="FrankRuehl"/>
          <w:rtl/>
        </w:rPr>
        <w:t>–</w:t>
      </w:r>
      <w:r>
        <w:rPr>
          <w:rStyle w:val="default"/>
          <w:rFonts w:cs="FrankRuehl" w:hint="cs"/>
          <w:rtl/>
        </w:rPr>
        <w:t xml:space="preserve"> כמשמעותה בסעיף 10 לחוק;</w:t>
      </w:r>
    </w:p>
    <w:p w14:paraId="1D38BC27"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"חברה מדרגת" </w:t>
      </w:r>
      <w:r>
        <w:rPr>
          <w:rStyle w:val="default"/>
          <w:rFonts w:cs="FrankRuehl"/>
          <w:rtl/>
        </w:rPr>
        <w:t>–</w:t>
      </w:r>
      <w:r>
        <w:rPr>
          <w:rStyle w:val="default"/>
          <w:rFonts w:cs="FrankRuehl" w:hint="cs"/>
          <w:rtl/>
        </w:rPr>
        <w:t xml:space="preserve"> חברה שעיסוקה דירוג חוב לפי כושר הפירעון של מי שהוציא את איגרות החוב, שאושרה לפי כל דין;</w:t>
      </w:r>
    </w:p>
    <w:p w14:paraId="2496E3DC"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"חוק השקעות משותפות בנאמנות" </w:t>
      </w:r>
      <w:r>
        <w:rPr>
          <w:rStyle w:val="default"/>
          <w:rFonts w:cs="FrankRuehl"/>
          <w:rtl/>
        </w:rPr>
        <w:t>–</w:t>
      </w:r>
      <w:r>
        <w:rPr>
          <w:rStyle w:val="default"/>
          <w:rFonts w:cs="FrankRuehl" w:hint="cs"/>
          <w:rtl/>
        </w:rPr>
        <w:t xml:space="preserve"> חוק השקעות משותפות בנאמנות, התשנ"ד-1994;</w:t>
      </w:r>
    </w:p>
    <w:p w14:paraId="4BB03188"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"יועץ השקעות", "מנהל תיקים" </w:t>
      </w:r>
      <w:r>
        <w:rPr>
          <w:rStyle w:val="default"/>
          <w:rFonts w:cs="FrankRuehl"/>
          <w:rtl/>
        </w:rPr>
        <w:t>–</w:t>
      </w:r>
      <w:r>
        <w:rPr>
          <w:rStyle w:val="default"/>
          <w:rFonts w:cs="FrankRuehl" w:hint="cs"/>
          <w:rtl/>
        </w:rPr>
        <w:t xml:space="preserve"> כהגדרתם בחוק הסדרת העיסוק בייעוץ השקעות, בשיווק השקעות ובניהול תיקי השקעות, התשנ"ה-1995;</w:t>
      </w:r>
    </w:p>
    <w:p w14:paraId="41691A9A"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"כספים עודפים" </w:t>
      </w:r>
      <w:r>
        <w:rPr>
          <w:rStyle w:val="default"/>
          <w:rFonts w:cs="FrankRuehl"/>
          <w:rtl/>
        </w:rPr>
        <w:t>–</w:t>
      </w:r>
      <w:r>
        <w:rPr>
          <w:rStyle w:val="default"/>
          <w:rFonts w:cs="FrankRuehl" w:hint="cs"/>
          <w:rtl/>
        </w:rPr>
        <w:t xml:space="preserve"> כספים כאמור בסעיף 10(ג) לחוק;</w:t>
      </w:r>
    </w:p>
    <w:p w14:paraId="782E6ADF"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"כתב אופציה" </w:t>
      </w:r>
      <w:r>
        <w:rPr>
          <w:rStyle w:val="default"/>
          <w:rFonts w:cs="FrankRuehl"/>
          <w:rtl/>
        </w:rPr>
        <w:t>–</w:t>
      </w:r>
      <w:r>
        <w:rPr>
          <w:rStyle w:val="default"/>
          <w:rFonts w:cs="FrankRuehl" w:hint="cs"/>
          <w:rtl/>
        </w:rPr>
        <w:t xml:space="preserve"> נייר ערך המקנה לבעליו זכות לרכוש מניות או איגרות חוב סחירות שהוציא מנפיק תמורת תוספת מימוש במחיר או בתנאים הקבועים בנייר הערך;</w:t>
      </w:r>
    </w:p>
    <w:p w14:paraId="27C6E08E"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"מטבע חוץ" </w:t>
      </w:r>
      <w:r>
        <w:rPr>
          <w:rStyle w:val="default"/>
          <w:rFonts w:cs="FrankRuehl"/>
          <w:rtl/>
        </w:rPr>
        <w:t>–</w:t>
      </w:r>
      <w:r>
        <w:rPr>
          <w:rStyle w:val="default"/>
          <w:rFonts w:cs="FrankRuehl" w:hint="cs"/>
          <w:rtl/>
        </w:rPr>
        <w:t xml:space="preserve"> כהגדרתו בחוק בנק ישראל, התש"ע-2010;</w:t>
      </w:r>
    </w:p>
    <w:p w14:paraId="13A15EA9"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"מנפיק" </w:t>
      </w:r>
      <w:r>
        <w:rPr>
          <w:rStyle w:val="default"/>
          <w:rFonts w:cs="FrankRuehl"/>
          <w:rtl/>
        </w:rPr>
        <w:t>–</w:t>
      </w:r>
      <w:r>
        <w:rPr>
          <w:rStyle w:val="default"/>
          <w:rFonts w:cs="FrankRuehl" w:hint="cs"/>
          <w:rtl/>
        </w:rPr>
        <w:t xml:space="preserve"> תאגיד שהנפיק ניירות ערך, למעט מדינת ישראל;</w:t>
      </w:r>
    </w:p>
    <w:p w14:paraId="30B94047"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"נייר ערך" </w:t>
      </w:r>
      <w:r>
        <w:rPr>
          <w:rStyle w:val="default"/>
          <w:rFonts w:cs="FrankRuehl"/>
          <w:rtl/>
        </w:rPr>
        <w:t>–</w:t>
      </w:r>
      <w:r>
        <w:rPr>
          <w:rStyle w:val="default"/>
          <w:rFonts w:cs="FrankRuehl" w:hint="cs"/>
          <w:rtl/>
        </w:rPr>
        <w:t xml:space="preserve"> כהגדרתו בחוק החברות, התשנ"ט-1999;</w:t>
      </w:r>
    </w:p>
    <w:p w14:paraId="4DE3B730"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"קרן נאמנות" </w:t>
      </w:r>
      <w:r>
        <w:rPr>
          <w:rStyle w:val="default"/>
          <w:rFonts w:cs="FrankRuehl"/>
          <w:rtl/>
        </w:rPr>
        <w:t>–</w:t>
      </w:r>
      <w:r>
        <w:rPr>
          <w:rStyle w:val="default"/>
          <w:rFonts w:cs="FrankRuehl" w:hint="cs"/>
          <w:rtl/>
        </w:rPr>
        <w:t xml:space="preserve"> קרן להשקעות משותפות בנאמנות כמשמעותה בסעיף 3 לחוק השקעות משותפות בנאמנות;</w:t>
      </w:r>
    </w:p>
    <w:p w14:paraId="33F78CA6"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"שליטה" ו"בעל עניין" </w:t>
      </w:r>
      <w:r>
        <w:rPr>
          <w:rStyle w:val="default"/>
          <w:rFonts w:cs="FrankRuehl"/>
          <w:rtl/>
        </w:rPr>
        <w:t>–</w:t>
      </w:r>
      <w:r>
        <w:rPr>
          <w:rStyle w:val="default"/>
          <w:rFonts w:cs="FrankRuehl" w:hint="cs"/>
          <w:rtl/>
        </w:rPr>
        <w:t xml:space="preserve"> כהגדרתם בחוק ניירות ערך, התשכ"ח-1968;</w:t>
      </w:r>
    </w:p>
    <w:p w14:paraId="3ADB7879"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"תקנות קופות גמל" </w:t>
      </w:r>
      <w:r>
        <w:rPr>
          <w:rStyle w:val="default"/>
          <w:rFonts w:cs="FrankRuehl"/>
          <w:rtl/>
        </w:rPr>
        <w:t>–</w:t>
      </w:r>
      <w:r>
        <w:rPr>
          <w:rStyle w:val="default"/>
          <w:rFonts w:cs="FrankRuehl" w:hint="cs"/>
          <w:rtl/>
        </w:rPr>
        <w:t xml:space="preserve"> תקנות הפיקוח על שירותים פיננסיים (קופות גמל) (כללי השקעה החלים על גופים מוסדיים), התשע"ב-2012;</w:t>
      </w:r>
    </w:p>
    <w:p w14:paraId="10A98E54" w14:textId="77777777" w:rsidR="005575A3" w:rsidRDefault="005575A3" w:rsidP="005575A3">
      <w:pPr>
        <w:pStyle w:val="P00"/>
        <w:spacing w:before="72"/>
        <w:ind w:left="0" w:right="1134"/>
        <w:rPr>
          <w:rStyle w:val="default"/>
          <w:rFonts w:cs="FrankRuehl" w:hint="cs"/>
          <w:rtl/>
        </w:rPr>
      </w:pPr>
      <w:r>
        <w:rPr>
          <w:rStyle w:val="default"/>
          <w:rFonts w:cs="FrankRuehl" w:hint="cs"/>
          <w:rtl/>
        </w:rPr>
        <w:tab/>
        <w:t xml:space="preserve">"תעודת סל" </w:t>
      </w:r>
      <w:r>
        <w:rPr>
          <w:rStyle w:val="default"/>
          <w:rFonts w:cs="FrankRuehl"/>
          <w:rtl/>
        </w:rPr>
        <w:t>–</w:t>
      </w:r>
      <w:r>
        <w:rPr>
          <w:rStyle w:val="default"/>
          <w:rFonts w:cs="FrankRuehl" w:hint="cs"/>
          <w:rtl/>
        </w:rPr>
        <w:t xml:space="preserve"> כהגדרתה בתקנון הבורסה כמשמעותו בסעיף 46 לחוק ניירות ערך, התשכ"ח-1968.</w:t>
      </w:r>
    </w:p>
    <w:p w14:paraId="53C5F439" w14:textId="77777777" w:rsidR="00451E4B" w:rsidRDefault="00451E4B" w:rsidP="005575A3">
      <w:pPr>
        <w:pStyle w:val="P00"/>
        <w:spacing w:before="72"/>
        <w:ind w:left="0" w:right="1134"/>
        <w:rPr>
          <w:rStyle w:val="default"/>
          <w:rFonts w:cs="FrankRuehl" w:hint="cs"/>
          <w:rtl/>
        </w:rPr>
      </w:pPr>
      <w:bookmarkStart w:id="1" w:name="Seif2"/>
      <w:bookmarkEnd w:id="1"/>
      <w:r>
        <w:rPr>
          <w:lang w:val="he-IL"/>
        </w:rPr>
        <w:pict w14:anchorId="6FA67920">
          <v:rect id="_x0000_s1034" style="position:absolute;left:0;text-align:left;margin-left:464.5pt;margin-top:8.05pt;width:75.05pt;height:13.05pt;z-index:251656192" o:allowincell="f" filled="f" stroked="f" strokecolor="lime" strokeweight=".25pt">
            <v:textbox inset="0,0,0,0">
              <w:txbxContent>
                <w:p w14:paraId="5637495D" w14:textId="77777777" w:rsidR="00451E4B" w:rsidRDefault="005575A3">
                  <w:pPr>
                    <w:spacing w:line="160" w:lineRule="exact"/>
                    <w:jc w:val="left"/>
                    <w:rPr>
                      <w:rFonts w:cs="Miriam" w:hint="cs"/>
                      <w:noProof/>
                      <w:sz w:val="18"/>
                      <w:szCs w:val="18"/>
                      <w:rtl/>
                    </w:rPr>
                  </w:pPr>
                  <w:r>
                    <w:rPr>
                      <w:rFonts w:cs="Miriam" w:hint="cs"/>
                      <w:sz w:val="18"/>
                      <w:szCs w:val="18"/>
                      <w:rtl/>
                    </w:rPr>
                    <w:t>דרכי השקעת כספים</w:t>
                  </w:r>
                </w:p>
              </w:txbxContent>
            </v:textbox>
            <w10:anchorlock/>
          </v:rect>
        </w:pict>
      </w:r>
      <w:r>
        <w:rPr>
          <w:rStyle w:val="big-number"/>
          <w:rFonts w:cs="Miriam"/>
          <w:rtl/>
        </w:rPr>
        <w:t>2.</w:t>
      </w:r>
      <w:r>
        <w:rPr>
          <w:rStyle w:val="big-number"/>
          <w:rFonts w:cs="Miriam"/>
          <w:rtl/>
        </w:rPr>
        <w:tab/>
      </w:r>
      <w:r w:rsidR="005575A3">
        <w:rPr>
          <w:rStyle w:val="default"/>
          <w:rFonts w:cs="FrankRuehl" w:hint="cs"/>
          <w:rtl/>
        </w:rPr>
        <w:t>האפוטרופוס הכללי ישקיע את הכספים העודפים בפיקדון נושא תשואה שינוהל במשרד האוצר לפי תקנה 3 או באחת הדרכים שקבעה ועדת ההשקעות לפי תקנה 4, והכול אלא אם כן הורה בית המשפט אחרת; דרך ההשקעה תיבחר לפי טובת בעלי הזכויות בנכסים ותפקידי האפוטרופוס הכללי לפי החוק, והכול בכפוף להוראות תקנות אלה</w:t>
      </w:r>
      <w:r>
        <w:rPr>
          <w:rStyle w:val="default"/>
          <w:rFonts w:cs="FrankRuehl" w:hint="cs"/>
          <w:rtl/>
        </w:rPr>
        <w:t>.</w:t>
      </w:r>
    </w:p>
    <w:p w14:paraId="6C370206" w14:textId="77777777" w:rsidR="00451E4B" w:rsidRDefault="00451E4B" w:rsidP="005575A3">
      <w:pPr>
        <w:pStyle w:val="P00"/>
        <w:spacing w:before="72"/>
        <w:ind w:left="0" w:right="1134"/>
        <w:rPr>
          <w:rStyle w:val="default"/>
          <w:rFonts w:cs="FrankRuehl" w:hint="cs"/>
          <w:rtl/>
        </w:rPr>
      </w:pPr>
      <w:bookmarkStart w:id="2" w:name="Seif3"/>
      <w:bookmarkEnd w:id="2"/>
      <w:r>
        <w:rPr>
          <w:lang w:val="he-IL"/>
        </w:rPr>
        <w:pict w14:anchorId="6081B057">
          <v:rect id="_x0000_s1036" style="position:absolute;left:0;text-align:left;margin-left:464.5pt;margin-top:8.05pt;width:75.05pt;height:21.3pt;z-index:251657216" o:allowincell="f" filled="f" stroked="f" strokecolor="lime" strokeweight=".25pt">
            <v:textbox style="mso-next-textbox:#_x0000_s1036" inset="0,0,0,0">
              <w:txbxContent>
                <w:p w14:paraId="5045DF1B" w14:textId="77777777" w:rsidR="00451E4B" w:rsidRDefault="005575A3">
                  <w:pPr>
                    <w:spacing w:line="160" w:lineRule="exact"/>
                    <w:jc w:val="left"/>
                    <w:rPr>
                      <w:rFonts w:cs="Miriam" w:hint="cs"/>
                      <w:noProof/>
                      <w:sz w:val="18"/>
                      <w:szCs w:val="18"/>
                      <w:rtl/>
                    </w:rPr>
                  </w:pPr>
                  <w:r>
                    <w:rPr>
                      <w:rFonts w:cs="Miriam" w:hint="cs"/>
                      <w:sz w:val="18"/>
                      <w:szCs w:val="18"/>
                      <w:rtl/>
                    </w:rPr>
                    <w:t>השקעה בפיקדון במשרד האוצר</w:t>
                  </w:r>
                </w:p>
              </w:txbxContent>
            </v:textbox>
            <w10:anchorlock/>
          </v:rect>
        </w:pict>
      </w:r>
      <w:r>
        <w:rPr>
          <w:rStyle w:val="big-number"/>
          <w:rFonts w:cs="Miriam"/>
          <w:rtl/>
        </w:rPr>
        <w:t>3.</w:t>
      </w:r>
      <w:r>
        <w:rPr>
          <w:rStyle w:val="big-number"/>
          <w:rFonts w:cs="Miriam"/>
          <w:rtl/>
        </w:rPr>
        <w:tab/>
      </w:r>
      <w:r w:rsidR="005575A3">
        <w:rPr>
          <w:rStyle w:val="default"/>
          <w:rFonts w:cs="FrankRuehl" w:hint="cs"/>
          <w:rtl/>
        </w:rPr>
        <w:t>(א)</w:t>
      </w:r>
      <w:r w:rsidR="005575A3">
        <w:rPr>
          <w:rStyle w:val="default"/>
          <w:rFonts w:cs="FrankRuehl" w:hint="cs"/>
          <w:rtl/>
        </w:rPr>
        <w:tab/>
        <w:t>האפוטרופוס הכללי רשאי להשקיע, אחת לחמש שנים, חלק מתוך הכספים העודפים בפיקדון נושא תשואה שינוהל במשרד האוצר, ובלבד שיתקיימו כל התנאים האלה:</w:t>
      </w:r>
    </w:p>
    <w:p w14:paraId="15559FC9" w14:textId="77777777" w:rsidR="005575A3" w:rsidRDefault="005575A3" w:rsidP="009929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ההשקעה בפיקדון לפי תקנה זו לא יעלה על הסכום המחושב לפי הנוסחה שבתוספת הראשונה;</w:t>
      </w:r>
    </w:p>
    <w:p w14:paraId="10DFA263" w14:textId="77777777" w:rsidR="005575A3" w:rsidRDefault="005575A3" w:rsidP="009929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B321D2">
        <w:rPr>
          <w:rStyle w:val="default"/>
          <w:rFonts w:cs="FrankRuehl" w:hint="cs"/>
          <w:rtl/>
        </w:rPr>
        <w:t xml:space="preserve">הפיקדון יישא תשואה שתשולם במועד משיכת הכספים מהפיקדון; לעניין זה, "תשואה" </w:t>
      </w:r>
      <w:r w:rsidR="00B321D2">
        <w:rPr>
          <w:rStyle w:val="default"/>
          <w:rFonts w:cs="FrankRuehl"/>
          <w:rtl/>
        </w:rPr>
        <w:t>–</w:t>
      </w:r>
      <w:r w:rsidR="00B321D2">
        <w:rPr>
          <w:rStyle w:val="default"/>
          <w:rFonts w:cs="FrankRuehl" w:hint="cs"/>
          <w:rtl/>
        </w:rPr>
        <w:t xml:space="preserve"> כפי שתיקבע בהסכם בין החשב הכללי במשרד האוצר לבין האפוטרופוס הכללי, ואשר לא תפחת מממוצע משוקלל של התשואות של איגרת חוב ממשלתית </w:t>
      </w:r>
      <w:r w:rsidR="00B321D2">
        <w:rPr>
          <w:rStyle w:val="default"/>
          <w:rFonts w:cs="FrankRuehl" w:hint="cs"/>
          <w:rtl/>
        </w:rPr>
        <w:lastRenderedPageBreak/>
        <w:t xml:space="preserve">צמודה שמועד פדיונה הוא </w:t>
      </w:r>
      <w:r w:rsidR="009929C5">
        <w:rPr>
          <w:rStyle w:val="default"/>
          <w:rFonts w:cs="FrankRuehl" w:hint="cs"/>
          <w:rtl/>
        </w:rPr>
        <w:t>הקרוב ביותר ל-12 שנים ומאוחר ממנו, ושל איגרת חוב ממשלתית צמודה שמועד פדיונה הוא הקרוב ביותר ל-12 שנים ומוקדם ממנו, לפי מחירן בבורסה בתום יום המסחר הקודם למועד ההשקעה;</w:t>
      </w:r>
    </w:p>
    <w:p w14:paraId="6E656490" w14:textId="77777777" w:rsidR="009929C5" w:rsidRDefault="009929C5" w:rsidP="009929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יתרת הכספים העודפים שאינם מושקעים בפיקדון לפי תקנה זו לא יספיקו לאפוטרופוס הכללי כדי לעמוד במלוא מחויבויותיו לפי החוק, הוא רשאי למשוך מהפיקדון את הסכום החסר לו לשם עמידה במלוא התחייבויותיו כאמור, ובלבד שסכום זה לא יעלה על שווי הפיקדון בצירוף התשואה שנצברה עליו עד אותו מועד; המדינה תעביר לאפוטרופוס הכללי את הכספים שיידרשו על ידו לפי פסקה זו בתוך 60 ימים מיום הדרישה;</w:t>
      </w:r>
    </w:p>
    <w:p w14:paraId="42CFD5C8" w14:textId="77777777" w:rsidR="009929C5" w:rsidRDefault="009929C5" w:rsidP="009929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כספים שעברו לקניין המדינה לפי סעיפים 15(ג1) או 15(ג2) לחוק ינוכו מיתרת הפיקדון, הכוללת את כספי הפיקדון ואת התשואה שנצברה בעדם עד לאותו מועד.</w:t>
      </w:r>
    </w:p>
    <w:p w14:paraId="3A494208" w14:textId="77777777" w:rsidR="009929C5" w:rsidRDefault="009929C5" w:rsidP="005575A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השקעת כספים עודפים על ידי האפוטרופוס הכללי בפיקדון לפי תקנת משנה (א) תהיה עדיפה על אפיק השקעה אחר בעל מאפיינים דומים של תשואה ורמת סיכון, ובלבד שהתקיימו התנאים המפורטים באותה תקנת משנה.</w:t>
      </w:r>
    </w:p>
    <w:p w14:paraId="277707B9" w14:textId="77777777" w:rsidR="00451E4B" w:rsidRDefault="00451E4B" w:rsidP="009929C5">
      <w:pPr>
        <w:pStyle w:val="P00"/>
        <w:spacing w:before="72"/>
        <w:ind w:left="0" w:right="1134"/>
        <w:rPr>
          <w:rStyle w:val="default"/>
          <w:rFonts w:cs="FrankRuehl" w:hint="cs"/>
          <w:rtl/>
        </w:rPr>
      </w:pPr>
      <w:bookmarkStart w:id="3" w:name="Seif4"/>
      <w:bookmarkEnd w:id="3"/>
      <w:r>
        <w:rPr>
          <w:lang w:val="he-IL"/>
        </w:rPr>
        <w:pict w14:anchorId="6A56F336">
          <v:rect id="_x0000_s1037" style="position:absolute;left:0;text-align:left;margin-left:464.5pt;margin-top:8.05pt;width:75.05pt;height:17.95pt;z-index:251658240" o:allowincell="f" filled="f" stroked="f" strokecolor="lime" strokeweight=".25pt">
            <v:textbox inset="0,0,0,0">
              <w:txbxContent>
                <w:p w14:paraId="6FFF7763" w14:textId="77777777" w:rsidR="00451E4B" w:rsidRDefault="009929C5">
                  <w:pPr>
                    <w:spacing w:line="160" w:lineRule="exact"/>
                    <w:jc w:val="left"/>
                    <w:rPr>
                      <w:rFonts w:cs="Miriam" w:hint="cs"/>
                      <w:noProof/>
                      <w:sz w:val="18"/>
                      <w:szCs w:val="18"/>
                      <w:rtl/>
                    </w:rPr>
                  </w:pPr>
                  <w:r>
                    <w:rPr>
                      <w:rFonts w:cs="Miriam" w:hint="cs"/>
                      <w:sz w:val="18"/>
                      <w:szCs w:val="18"/>
                      <w:rtl/>
                    </w:rPr>
                    <w:t>השקעה באמצעות ועדת השקעות</w:t>
                  </w:r>
                </w:p>
              </w:txbxContent>
            </v:textbox>
            <w10:anchorlock/>
          </v:rect>
        </w:pict>
      </w:r>
      <w:r>
        <w:rPr>
          <w:rStyle w:val="big-number"/>
          <w:rFonts w:cs="Miriam"/>
          <w:rtl/>
        </w:rPr>
        <w:t>4.</w:t>
      </w:r>
      <w:r>
        <w:rPr>
          <w:rStyle w:val="big-number"/>
          <w:rFonts w:cs="Miriam"/>
          <w:rtl/>
        </w:rPr>
        <w:tab/>
      </w:r>
      <w:r w:rsidR="009929C5">
        <w:rPr>
          <w:rStyle w:val="default"/>
          <w:rFonts w:cs="FrankRuehl" w:hint="cs"/>
          <w:rtl/>
        </w:rPr>
        <w:t>(א)</w:t>
      </w:r>
      <w:r w:rsidR="009929C5">
        <w:rPr>
          <w:rStyle w:val="default"/>
          <w:rFonts w:cs="FrankRuehl" w:hint="cs"/>
          <w:rtl/>
        </w:rPr>
        <w:tab/>
        <w:t xml:space="preserve">ועדת ההשקעות תבחר את דרכי ההשקעה של יתרת הכספים העודפים שלא הושקעו בפיקדון במשרד האוצר לפי תקנה 3 ושל כל נכס כספי אחר המנוהל על ידי האפוטרופוס הכללי לפי כל דין (בתקנה זו </w:t>
      </w:r>
      <w:r w:rsidR="009929C5">
        <w:rPr>
          <w:rStyle w:val="default"/>
          <w:rFonts w:cs="FrankRuehl"/>
          <w:rtl/>
        </w:rPr>
        <w:t>–</w:t>
      </w:r>
      <w:r w:rsidR="009929C5">
        <w:rPr>
          <w:rStyle w:val="default"/>
          <w:rFonts w:cs="FrankRuehl" w:hint="cs"/>
          <w:rtl/>
        </w:rPr>
        <w:t xml:space="preserve"> תיק השקעות), לפי טובת בעלי הזכויות בנכסים ותפקידי האפוטרופוס הכללי לפי החוק</w:t>
      </w:r>
      <w:r>
        <w:rPr>
          <w:rStyle w:val="default"/>
          <w:rFonts w:cs="FrankRuehl" w:hint="cs"/>
          <w:rtl/>
        </w:rPr>
        <w:t>.</w:t>
      </w:r>
    </w:p>
    <w:p w14:paraId="1C6FFD61" w14:textId="77777777" w:rsidR="009929C5" w:rsidRDefault="009929C5" w:rsidP="009929C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בלי לגרוע מהאמור בתקנת משנה (א), ועדת ההשקעות </w:t>
      </w:r>
      <w:r>
        <w:rPr>
          <w:rStyle w:val="default"/>
          <w:rFonts w:cs="FrankRuehl"/>
          <w:rtl/>
        </w:rPr>
        <w:t>–</w:t>
      </w:r>
    </w:p>
    <w:p w14:paraId="0F583C6C" w14:textId="77777777" w:rsidR="009929C5" w:rsidRDefault="009929C5" w:rsidP="00062C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תקפיד על פיזור הולם בין הנכסים בתיק ההשקעות בכפוף לאמור בפסקאות (2) עד (5);</w:t>
      </w:r>
    </w:p>
    <w:p w14:paraId="4712A7F7" w14:textId="77777777" w:rsidR="009929C5" w:rsidRDefault="009929C5" w:rsidP="00062C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תקבע כי ההשקעה בתאגיד אחד, בפיקדונות, בתכניות חיסכון וכן בניירות ערך שהנפיק התאגיד, לא תעלה על 20% מן השווי הכספי של תיק ההשקעות;</w:t>
      </w:r>
    </w:p>
    <w:p w14:paraId="31C2996E" w14:textId="77777777" w:rsidR="009929C5" w:rsidRDefault="009929C5" w:rsidP="00062C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לא תבחר דרכי השקעה שיביאו </w:t>
      </w:r>
      <w:r w:rsidR="00062C62">
        <w:rPr>
          <w:rStyle w:val="default"/>
          <w:rFonts w:cs="FrankRuehl" w:hint="cs"/>
          <w:rtl/>
        </w:rPr>
        <w:t>לשליטה של האפוטרופוס הכללי בתאגיד מסוים או להפיכתו בעל עניין בו;</w:t>
      </w:r>
    </w:p>
    <w:p w14:paraId="1184DD9E" w14:textId="77777777" w:rsidR="00062C62" w:rsidRDefault="00062C62" w:rsidP="00062C62">
      <w:pPr>
        <w:pStyle w:val="P00"/>
        <w:spacing w:before="72"/>
        <w:ind w:left="1021" w:right="1134"/>
        <w:rPr>
          <w:rStyle w:val="default"/>
          <w:rFonts w:cs="FrankRuehl" w:hint="cs"/>
          <w:sz w:val="20"/>
          <w:rtl/>
        </w:rPr>
      </w:pPr>
      <w:r w:rsidRPr="00062C62">
        <w:rPr>
          <w:rStyle w:val="default"/>
          <w:rFonts w:cs="FrankRuehl" w:hint="cs"/>
          <w:sz w:val="20"/>
          <w:rtl/>
        </w:rPr>
        <w:t>(</w:t>
      </w:r>
      <w:r>
        <w:rPr>
          <w:rStyle w:val="default"/>
          <w:rFonts w:cs="FrankRuehl" w:hint="cs"/>
          <w:sz w:val="20"/>
          <w:rtl/>
        </w:rPr>
        <w:t>4</w:t>
      </w:r>
      <w:r w:rsidRPr="00062C62">
        <w:rPr>
          <w:rStyle w:val="default"/>
          <w:rFonts w:cs="FrankRuehl" w:hint="cs"/>
          <w:sz w:val="20"/>
          <w:rtl/>
        </w:rPr>
        <w:t>)</w:t>
      </w:r>
      <w:r w:rsidRPr="00062C62">
        <w:rPr>
          <w:rStyle w:val="default"/>
          <w:rFonts w:cs="FrankRuehl" w:hint="cs"/>
          <w:sz w:val="20"/>
          <w:rtl/>
        </w:rPr>
        <w:tab/>
        <w:t xml:space="preserve">תקבע כי השקעה בנכסים מחוץ למדינת ישראל תהיה במדינות שהדירוג שלהן הוא </w:t>
      </w:r>
      <w:r>
        <w:rPr>
          <w:rStyle w:val="default"/>
          <w:rFonts w:cs="FrankRuehl"/>
          <w:sz w:val="20"/>
        </w:rPr>
        <w:t>BBB(-)</w:t>
      </w:r>
      <w:r>
        <w:rPr>
          <w:rStyle w:val="default"/>
          <w:rFonts w:cs="FrankRuehl" w:hint="cs"/>
          <w:sz w:val="20"/>
          <w:rtl/>
        </w:rPr>
        <w:t xml:space="preserve"> או </w:t>
      </w:r>
      <w:r>
        <w:rPr>
          <w:rStyle w:val="default"/>
          <w:rFonts w:cs="FrankRuehl"/>
          <w:sz w:val="20"/>
        </w:rPr>
        <w:t>Baa3</w:t>
      </w:r>
      <w:r>
        <w:rPr>
          <w:rStyle w:val="default"/>
          <w:rFonts w:cs="FrankRuehl" w:hint="cs"/>
          <w:sz w:val="20"/>
          <w:rtl/>
        </w:rPr>
        <w:t xml:space="preserve"> ומעלה, לפי כל אחת מן החברות המדרגות, ולא תעלה על 20% מן השווי הכספי של תיק ההשקעות;</w:t>
      </w:r>
    </w:p>
    <w:p w14:paraId="3136A2E8" w14:textId="77777777" w:rsidR="00062C62" w:rsidRDefault="00062C62" w:rsidP="00062C62">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תשקיע את תיק ההשקעות בעצמה, בעזרת מנהל תיקים או יועץ השקעות או באמצעותם, באחד או יותר מאלה:</w:t>
      </w:r>
    </w:p>
    <w:p w14:paraId="18147414"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איגרות חוב שהנפיקה המדינה או שהיא ערבה לפירעונם;</w:t>
      </w:r>
    </w:p>
    <w:p w14:paraId="63B5D5EA"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פיקדונות בנקאיים בשקלים חדשים צמודי מדד ונושאי ריבית או נושאי ריבית בלבד;</w:t>
      </w:r>
    </w:p>
    <w:p w14:paraId="51DC6A1E"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תכניות חיסכון בנקאיות בשקלים חדשים צמודות מדד ונושאות ריבית;</w:t>
      </w:r>
    </w:p>
    <w:p w14:paraId="0FDFE142"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פיקדונות בנקאיים הנקובים במטבע חוץ או הצמודים למטבע חוץ;</w:t>
      </w:r>
    </w:p>
    <w:p w14:paraId="1AD16B15"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(ה)</w:t>
      </w:r>
      <w:r>
        <w:rPr>
          <w:rStyle w:val="default"/>
          <w:rFonts w:cs="FrankRuehl" w:hint="cs"/>
          <w:sz w:val="20"/>
          <w:rtl/>
        </w:rPr>
        <w:tab/>
        <w:t>תכניות חיסכון בנקאיות צמודות מטבע חוץ;</w:t>
      </w:r>
    </w:p>
    <w:p w14:paraId="6F05D0C1"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(ו)</w:t>
      </w:r>
      <w:r>
        <w:rPr>
          <w:rStyle w:val="default"/>
          <w:rFonts w:cs="FrankRuehl" w:hint="cs"/>
          <w:sz w:val="20"/>
          <w:rtl/>
        </w:rPr>
        <w:tab/>
        <w:t xml:space="preserve">איגרות, חוב, אם ההשקעה מדורגת בדירוג </w:t>
      </w:r>
      <w:r>
        <w:rPr>
          <w:rStyle w:val="default"/>
          <w:rFonts w:cs="FrankRuehl"/>
          <w:sz w:val="20"/>
        </w:rPr>
        <w:t>BBB(-)</w:t>
      </w:r>
      <w:r>
        <w:rPr>
          <w:rStyle w:val="default"/>
          <w:rFonts w:cs="FrankRuehl" w:hint="cs"/>
          <w:sz w:val="20"/>
          <w:rtl/>
        </w:rPr>
        <w:t xml:space="preserve"> או </w:t>
      </w:r>
      <w:r>
        <w:rPr>
          <w:rStyle w:val="default"/>
          <w:rFonts w:cs="FrankRuehl"/>
          <w:sz w:val="20"/>
        </w:rPr>
        <w:t>Baa3</w:t>
      </w:r>
      <w:r>
        <w:rPr>
          <w:rStyle w:val="default"/>
          <w:rFonts w:cs="FrankRuehl" w:hint="cs"/>
          <w:sz w:val="20"/>
          <w:rtl/>
        </w:rPr>
        <w:t xml:space="preserve"> לפחות, לפי כל אחת מן החברות המדרגות;</w:t>
      </w:r>
    </w:p>
    <w:p w14:paraId="4D266AEF"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(ז)</w:t>
      </w:r>
      <w:r>
        <w:rPr>
          <w:rStyle w:val="default"/>
          <w:rFonts w:cs="FrankRuehl" w:hint="cs"/>
          <w:sz w:val="20"/>
          <w:rtl/>
        </w:rPr>
        <w:tab/>
        <w:t>מניות סחירות, איגרות חוב בדירוג נמוך מהאמור בפסקת משנה (ו) או בכתבי אופציה, ובלבד שההשקעה הכוללת בהם לא תעלה על 20% מן השווי הכספי של תיק ההשקעות וההשקעה בכתבי אופציה לא תעלה על 10% מן השווי כאמור;</w:t>
      </w:r>
    </w:p>
    <w:p w14:paraId="55E11F2D" w14:textId="77777777" w:rsidR="00062C62" w:rsidRDefault="00062C62" w:rsidP="00062C62">
      <w:pPr>
        <w:pStyle w:val="P00"/>
        <w:spacing w:before="72"/>
        <w:ind w:left="1474" w:right="1134"/>
        <w:rPr>
          <w:rStyle w:val="default"/>
          <w:rFonts w:cs="FrankRuehl" w:hint="cs"/>
          <w:sz w:val="20"/>
          <w:rtl/>
        </w:rPr>
      </w:pPr>
      <w:r>
        <w:rPr>
          <w:rStyle w:val="default"/>
          <w:rFonts w:cs="FrankRuehl" w:hint="cs"/>
          <w:sz w:val="20"/>
          <w:rtl/>
        </w:rPr>
        <w:t>(ח)</w:t>
      </w:r>
      <w:r>
        <w:rPr>
          <w:rStyle w:val="default"/>
          <w:rFonts w:cs="FrankRuehl" w:hint="cs"/>
          <w:sz w:val="20"/>
          <w:rtl/>
        </w:rPr>
        <w:tab/>
        <w:t>קרנות נאמנות או תעודות סל שדרכי ההשקעה שלהן אינן חורגות מן האמור בתקנות אלה.</w:t>
      </w:r>
    </w:p>
    <w:p w14:paraId="3875DEB6" w14:textId="77777777" w:rsidR="00062C62" w:rsidRPr="00062C62" w:rsidRDefault="00062C62" w:rsidP="00062C62">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נוצרה חריגה מן הכללים הקבועים בתקנות אלה בהשקעה שאינה חדשה, תורה ועדת ההשקעות על התקופה והתנאים לתיקון החריגה, בשים לב להשלכות הכלכליות.</w:t>
      </w:r>
    </w:p>
    <w:p w14:paraId="1CEDAC09" w14:textId="77777777" w:rsidR="00451E4B" w:rsidRDefault="00451E4B" w:rsidP="00062C62">
      <w:pPr>
        <w:pStyle w:val="P00"/>
        <w:spacing w:before="72"/>
        <w:ind w:left="0" w:right="1134"/>
        <w:rPr>
          <w:rStyle w:val="default"/>
          <w:rFonts w:cs="FrankRuehl" w:hint="cs"/>
          <w:rtl/>
        </w:rPr>
      </w:pPr>
      <w:bookmarkStart w:id="4" w:name="Seif5"/>
      <w:bookmarkEnd w:id="4"/>
      <w:r>
        <w:rPr>
          <w:lang w:val="he-IL"/>
        </w:rPr>
        <w:pict w14:anchorId="24BD5741">
          <v:rect id="_x0000_s1038" style="position:absolute;left:0;text-align:left;margin-left:464.5pt;margin-top:8.05pt;width:75.05pt;height:22pt;z-index:251659264" o:allowincell="f" filled="f" stroked="f" strokecolor="lime" strokeweight=".25pt">
            <v:textbox inset="0,0,0,0">
              <w:txbxContent>
                <w:p w14:paraId="6877BAF8" w14:textId="77777777" w:rsidR="00451E4B" w:rsidRDefault="00062C62">
                  <w:pPr>
                    <w:spacing w:line="160" w:lineRule="exact"/>
                    <w:jc w:val="left"/>
                    <w:rPr>
                      <w:rFonts w:cs="Miriam" w:hint="cs"/>
                      <w:noProof/>
                      <w:sz w:val="18"/>
                      <w:szCs w:val="18"/>
                      <w:rtl/>
                    </w:rPr>
                  </w:pPr>
                  <w:r>
                    <w:rPr>
                      <w:rFonts w:cs="Miriam" w:hint="cs"/>
                      <w:sz w:val="18"/>
                      <w:szCs w:val="18"/>
                      <w:rtl/>
                    </w:rPr>
                    <w:t>נוהלי ועדת ההשקעות</w:t>
                  </w:r>
                </w:p>
              </w:txbxContent>
            </v:textbox>
            <w10:anchorlock/>
          </v:rect>
        </w:pict>
      </w:r>
      <w:r>
        <w:rPr>
          <w:rStyle w:val="big-number"/>
          <w:rFonts w:cs="Miriam"/>
          <w:rtl/>
        </w:rPr>
        <w:t>5.</w:t>
      </w:r>
      <w:r>
        <w:rPr>
          <w:rStyle w:val="big-number"/>
          <w:rFonts w:cs="Miriam"/>
          <w:rtl/>
        </w:rPr>
        <w:tab/>
      </w:r>
      <w:r w:rsidR="00062C62">
        <w:rPr>
          <w:rStyle w:val="default"/>
          <w:rFonts w:cs="FrankRuehl" w:hint="cs"/>
          <w:rtl/>
        </w:rPr>
        <w:t>ועדת ההשקעות תפעל על פי נהלים אלה:</w:t>
      </w:r>
    </w:p>
    <w:p w14:paraId="64ED866C" w14:textId="77777777" w:rsidR="00062C62" w:rsidRDefault="00062C62" w:rsidP="00062C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ישיבותיה יתקיימו אחת לחודש לפחות, אלא אם כן התיר האפוטרופוס הכללי את כינוסה אחת לתקופה ארוכה יותר, שלא תיארך יותר משלושה חודשים;</w:t>
      </w:r>
    </w:p>
    <w:p w14:paraId="074ABD12" w14:textId="77777777" w:rsidR="00062C62" w:rsidRDefault="00062C62" w:rsidP="00062C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בישיבות ייערך פרוטוקול;</w:t>
      </w:r>
    </w:p>
    <w:p w14:paraId="59441B3A" w14:textId="77777777" w:rsidR="00062C62" w:rsidRDefault="00062C62" w:rsidP="00062C6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העתקי החלטות ועדת ההשקעות יועברו לאפוטרופוס הכללי ויצורפו לדין וחשבון המוגש לוועדה לענייני ביקורת המדינה של הכנסת לפי סעיף 10(ו) לחוק;</w:t>
      </w:r>
    </w:p>
    <w:p w14:paraId="24D5690C" w14:textId="77777777" w:rsidR="00062C62" w:rsidRDefault="00062C62" w:rsidP="00062C6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המניין החוקי בישיבות ועדת ההשקעות הוא שני חברים לפחות, ובלבד שאחד מהם הוא האפוטרופוס הכללי;</w:t>
      </w:r>
    </w:p>
    <w:p w14:paraId="2A2BB732" w14:textId="77777777" w:rsidR="00062C62" w:rsidRDefault="00062C62" w:rsidP="00062C6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החלטות ועדת ההשקעות יתקבלו ברוב קולות החברים הנוכחים.</w:t>
      </w:r>
    </w:p>
    <w:p w14:paraId="6A1FB7BA" w14:textId="77777777" w:rsidR="00451E4B" w:rsidRDefault="00451E4B" w:rsidP="00062C62">
      <w:pPr>
        <w:pStyle w:val="P00"/>
        <w:spacing w:before="72"/>
        <w:ind w:left="0" w:right="1134"/>
        <w:rPr>
          <w:rStyle w:val="default"/>
          <w:rFonts w:cs="FrankRuehl" w:hint="cs"/>
          <w:rtl/>
        </w:rPr>
      </w:pPr>
      <w:bookmarkStart w:id="5" w:name="Seif6"/>
      <w:bookmarkEnd w:id="5"/>
      <w:r>
        <w:rPr>
          <w:lang w:val="he-IL"/>
        </w:rPr>
        <w:pict w14:anchorId="0EC91D07">
          <v:rect id="_x0000_s1039" style="position:absolute;left:0;text-align:left;margin-left:464.5pt;margin-top:8.05pt;width:75.05pt;height:14.6pt;z-index:251660288" o:allowincell="f" filled="f" stroked="f" strokecolor="lime" strokeweight=".25pt">
            <v:textbox inset="0,0,0,0">
              <w:txbxContent>
                <w:p w14:paraId="1EC0E2B5" w14:textId="77777777" w:rsidR="00451E4B" w:rsidRDefault="00062C62">
                  <w:pPr>
                    <w:spacing w:line="160" w:lineRule="exact"/>
                    <w:jc w:val="left"/>
                    <w:rPr>
                      <w:rFonts w:cs="Miriam" w:hint="cs"/>
                      <w:noProof/>
                      <w:sz w:val="18"/>
                      <w:szCs w:val="18"/>
                      <w:rtl/>
                    </w:rPr>
                  </w:pPr>
                  <w:r>
                    <w:rPr>
                      <w:rFonts w:cs="Miriam" w:hint="cs"/>
                      <w:sz w:val="18"/>
                      <w:szCs w:val="18"/>
                      <w:rtl/>
                    </w:rPr>
                    <w:t>תחולה והוראת מעבר</w:t>
                  </w:r>
                </w:p>
              </w:txbxContent>
            </v:textbox>
            <w10:anchorlock/>
          </v:rect>
        </w:pict>
      </w:r>
      <w:r>
        <w:rPr>
          <w:rStyle w:val="big-number"/>
          <w:rFonts w:cs="Miriam"/>
          <w:rtl/>
        </w:rPr>
        <w:t>6.</w:t>
      </w:r>
      <w:r>
        <w:rPr>
          <w:rStyle w:val="big-number"/>
          <w:rFonts w:cs="Miriam"/>
          <w:rtl/>
        </w:rPr>
        <w:tab/>
      </w:r>
      <w:r w:rsidR="00062C62">
        <w:rPr>
          <w:rStyle w:val="default"/>
          <w:rFonts w:cs="FrankRuehl" w:hint="cs"/>
          <w:rtl/>
        </w:rPr>
        <w:t>(א)</w:t>
      </w:r>
      <w:r w:rsidR="00062C62">
        <w:rPr>
          <w:rStyle w:val="default"/>
          <w:rFonts w:cs="FrankRuehl" w:hint="cs"/>
          <w:rtl/>
        </w:rPr>
        <w:tab/>
        <w:t>תקנות אלה יחולו גם על כספים שהתקבלו לניהול האפוטרופוס הכללי ושהיו מושקעים לפני תחילתן של תקנות אלה.</w:t>
      </w:r>
    </w:p>
    <w:p w14:paraId="5DD84E1C" w14:textId="77777777" w:rsidR="00062C62" w:rsidRDefault="00062C62" w:rsidP="00062C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כספים עודפים שהיו מושקעים לפני תחילתן של תקנות אלה בדרך השקעה שלא לפי תקנות אלה, ומשיכת הכספים תפגע בשווי קרן ההשקעה או בפירותיה, יוסיפו להיות מושקעים באותה דרך עד מועד הפירעון שהוגדר מראש, וממועד זה ישקיע אותם האפוטרופוס הכללי לפי תקנות אלה.</w:t>
      </w:r>
    </w:p>
    <w:p w14:paraId="4E396575" w14:textId="77777777" w:rsidR="00451E4B" w:rsidRDefault="00451E4B">
      <w:pPr>
        <w:pStyle w:val="P00"/>
        <w:spacing w:before="72"/>
        <w:ind w:left="0" w:right="1134"/>
        <w:rPr>
          <w:rStyle w:val="default"/>
          <w:rFonts w:cs="FrankRuehl" w:hint="cs"/>
          <w:rtl/>
        </w:rPr>
      </w:pPr>
    </w:p>
    <w:p w14:paraId="0AF618D1" w14:textId="77777777" w:rsidR="00451E4B" w:rsidRPr="00062C62" w:rsidRDefault="00451E4B" w:rsidP="00062C62">
      <w:pPr>
        <w:pStyle w:val="medium2-header"/>
        <w:keepLines w:val="0"/>
        <w:spacing w:before="72"/>
        <w:ind w:left="0" w:right="1134"/>
        <w:rPr>
          <w:rFonts w:cs="FrankRuehl" w:hint="cs"/>
          <w:noProof/>
          <w:rtl/>
        </w:rPr>
      </w:pPr>
      <w:bookmarkStart w:id="6" w:name="med0"/>
      <w:bookmarkEnd w:id="6"/>
      <w:r w:rsidRPr="00062C62">
        <w:rPr>
          <w:rFonts w:cs="FrankRuehl" w:hint="cs"/>
          <w:noProof/>
          <w:rtl/>
        </w:rPr>
        <w:t>תוספת</w:t>
      </w:r>
      <w:r w:rsidR="00062C62">
        <w:rPr>
          <w:rFonts w:cs="FrankRuehl" w:hint="cs"/>
          <w:noProof/>
          <w:rtl/>
        </w:rPr>
        <w:t xml:space="preserve"> ראשונה</w:t>
      </w:r>
    </w:p>
    <w:p w14:paraId="1E22BF34" w14:textId="77777777" w:rsidR="00451E4B" w:rsidRDefault="00451E4B" w:rsidP="00062C62">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(תקנה </w:t>
      </w:r>
      <w:r w:rsidR="00062C62">
        <w:rPr>
          <w:rStyle w:val="default"/>
          <w:rFonts w:cs="FrankRuehl" w:hint="cs"/>
          <w:sz w:val="24"/>
          <w:szCs w:val="24"/>
          <w:rtl/>
        </w:rPr>
        <w:t>3</w:t>
      </w:r>
      <w:r>
        <w:rPr>
          <w:rStyle w:val="default"/>
          <w:rFonts w:cs="FrankRuehl" w:hint="cs"/>
          <w:sz w:val="24"/>
          <w:szCs w:val="24"/>
          <w:rtl/>
        </w:rPr>
        <w:t>(א))</w:t>
      </w:r>
    </w:p>
    <w:p w14:paraId="360DE6FD" w14:textId="77777777" w:rsidR="00451E4B" w:rsidRDefault="00062C62" w:rsidP="00062C6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הסכום המרבי להשקעה בפיקדון נושא תשואה במשרד האוצר כאמור בתקנה 3 (בתוספת זו </w:t>
      </w:r>
      <w:r>
        <w:rPr>
          <w:rStyle w:val="default"/>
          <w:rFonts w:cs="FrankRuehl"/>
          <w:rtl/>
        </w:rPr>
        <w:t>–</w:t>
      </w:r>
      <w:r>
        <w:rPr>
          <w:rStyle w:val="default"/>
          <w:rFonts w:cs="FrankRuehl" w:hint="cs"/>
          <w:rtl/>
        </w:rPr>
        <w:t xml:space="preserve"> פיקדון), יחושב לפי הנוסחה הזו:</w:t>
      </w:r>
    </w:p>
    <w:p w14:paraId="4E633B1F" w14:textId="77777777" w:rsidR="00062C62" w:rsidRPr="00062C62" w:rsidRDefault="00062C62" w:rsidP="00B05C62">
      <w:pPr>
        <w:pStyle w:val="P00"/>
        <w:spacing w:before="72"/>
        <w:ind w:left="0" w:right="1134"/>
        <w:jc w:val="center"/>
        <w:rPr>
          <w:rStyle w:val="default"/>
          <w:rFonts w:cs="FrankRuehl" w:hint="cs"/>
          <w:sz w:val="20"/>
          <w:rtl/>
        </w:rPr>
      </w:pPr>
      <w:r>
        <w:rPr>
          <w:rStyle w:val="default"/>
          <w:rFonts w:cs="FrankRuehl"/>
          <w:sz w:val="20"/>
        </w:rPr>
        <w:t>L=Y-W-(200%*5*X+250%*5*Z+5*S*Y)</w:t>
      </w:r>
    </w:p>
    <w:p w14:paraId="4FDFEB7A" w14:textId="77777777" w:rsidR="00062C62" w:rsidRDefault="00062C62" w:rsidP="00062C62">
      <w:pPr>
        <w:pStyle w:val="P00"/>
        <w:spacing w:before="72"/>
        <w:ind w:left="0" w:right="1134"/>
        <w:rPr>
          <w:rStyle w:val="default"/>
          <w:rFonts w:cs="FrankRuehl" w:hint="cs"/>
          <w:rtl/>
        </w:rPr>
      </w:pPr>
      <w:r>
        <w:rPr>
          <w:rStyle w:val="default"/>
          <w:rFonts w:cs="FrankRuehl" w:hint="cs"/>
          <w:rtl/>
        </w:rPr>
        <w:t xml:space="preserve">לעניין זה </w:t>
      </w:r>
      <w:r w:rsidR="00B05C62">
        <w:rPr>
          <w:rStyle w:val="default"/>
          <w:rFonts w:cs="FrankRuehl"/>
          <w:rtl/>
        </w:rPr>
        <w:t>–</w:t>
      </w:r>
    </w:p>
    <w:p w14:paraId="5C5991A4" w14:textId="77777777" w:rsidR="00B05C62" w:rsidRDefault="00B05C62" w:rsidP="00062C62">
      <w:pPr>
        <w:pStyle w:val="P00"/>
        <w:spacing w:before="72"/>
        <w:ind w:left="0" w:right="1134"/>
        <w:rPr>
          <w:rStyle w:val="default"/>
          <w:rFonts w:cs="FrankRuehl" w:hint="cs"/>
          <w:sz w:val="20"/>
          <w:rtl/>
        </w:rPr>
      </w:pPr>
      <w:r>
        <w:rPr>
          <w:rStyle w:val="default"/>
          <w:rFonts w:cs="FrankRuehl"/>
          <w:sz w:val="20"/>
        </w:rPr>
        <w:t>L</w:t>
      </w:r>
      <w:r>
        <w:rPr>
          <w:rStyle w:val="default"/>
          <w:rFonts w:cs="FrankRuehl" w:hint="cs"/>
          <w:sz w:val="20"/>
          <w:rtl/>
        </w:rPr>
        <w:t xml:space="preserve"> = סכום ההשקעה המרבי בפיקדון;</w:t>
      </w:r>
    </w:p>
    <w:p w14:paraId="7335371D" w14:textId="77777777" w:rsidR="00B05C62" w:rsidRDefault="00B05C62" w:rsidP="00062C62">
      <w:pPr>
        <w:pStyle w:val="P00"/>
        <w:spacing w:before="72"/>
        <w:ind w:left="0" w:right="1134"/>
        <w:rPr>
          <w:rStyle w:val="default"/>
          <w:rFonts w:cs="FrankRuehl" w:hint="cs"/>
          <w:sz w:val="20"/>
          <w:rtl/>
        </w:rPr>
      </w:pPr>
      <w:r>
        <w:rPr>
          <w:rStyle w:val="default"/>
          <w:rFonts w:cs="FrankRuehl"/>
          <w:sz w:val="20"/>
        </w:rPr>
        <w:t>Y</w:t>
      </w:r>
      <w:r>
        <w:rPr>
          <w:rStyle w:val="default"/>
          <w:rFonts w:cs="FrankRuehl" w:hint="cs"/>
          <w:sz w:val="20"/>
          <w:rtl/>
        </w:rPr>
        <w:t xml:space="preserve"> = סך כל הכספים העודפים, שאינם נובעים ממימוש או מניהול נכסים שאינם כספיים, נכון למועד ההפקדה בפיקדון;</w:t>
      </w:r>
    </w:p>
    <w:p w14:paraId="5B903B03" w14:textId="77777777" w:rsidR="00B05C62" w:rsidRDefault="00B05C62" w:rsidP="00062C62">
      <w:pPr>
        <w:pStyle w:val="P00"/>
        <w:spacing w:before="72"/>
        <w:ind w:left="0" w:right="1134"/>
        <w:rPr>
          <w:rStyle w:val="default"/>
          <w:rFonts w:cs="FrankRuehl" w:hint="cs"/>
          <w:sz w:val="20"/>
          <w:rtl/>
        </w:rPr>
      </w:pPr>
      <w:r>
        <w:rPr>
          <w:rStyle w:val="default"/>
          <w:rFonts w:cs="FrankRuehl"/>
          <w:sz w:val="20"/>
        </w:rPr>
        <w:t>W</w:t>
      </w:r>
      <w:r>
        <w:rPr>
          <w:rStyle w:val="default"/>
          <w:rFonts w:cs="FrankRuehl" w:hint="cs"/>
          <w:sz w:val="20"/>
          <w:rtl/>
        </w:rPr>
        <w:t xml:space="preserve"> = סך כל הכספים שהופקדו בפיקדון עד למועד ההפקדה, ואשר עד אותו מועד לא הושבו לאפוטרופוס הכללי לפי תקנה 3(א)(3) ולא קוזזו ככספי העברה לקניין המדינה לפי תקנה 3(א)(4);</w:t>
      </w:r>
    </w:p>
    <w:p w14:paraId="4734B616" w14:textId="77777777" w:rsidR="00B05C62" w:rsidRDefault="00B05C62" w:rsidP="00062C62">
      <w:pPr>
        <w:pStyle w:val="P00"/>
        <w:spacing w:before="72"/>
        <w:ind w:left="0" w:right="1134"/>
        <w:rPr>
          <w:rStyle w:val="default"/>
          <w:rFonts w:cs="FrankRuehl" w:hint="cs"/>
          <w:sz w:val="20"/>
          <w:rtl/>
        </w:rPr>
      </w:pPr>
      <w:r>
        <w:rPr>
          <w:rStyle w:val="default"/>
          <w:rFonts w:cs="FrankRuehl"/>
          <w:sz w:val="20"/>
        </w:rPr>
        <w:t>X</w:t>
      </w:r>
      <w:r>
        <w:rPr>
          <w:rStyle w:val="default"/>
          <w:rFonts w:cs="FrankRuehl" w:hint="cs"/>
          <w:sz w:val="20"/>
          <w:rtl/>
        </w:rPr>
        <w:t xml:space="preserve"> = הסכום הכספי השנתי הממוצע ששוחרר לזכאים לפי סעיף 15(א) לחוק, בחמש השנים שקדמו למועד ההפקדה בפיקדון;</w:t>
      </w:r>
    </w:p>
    <w:p w14:paraId="4C3A3538" w14:textId="77777777" w:rsidR="00B05C62" w:rsidRDefault="00B05C62" w:rsidP="00062C62">
      <w:pPr>
        <w:pStyle w:val="P00"/>
        <w:spacing w:before="72"/>
        <w:ind w:left="0" w:right="1134"/>
        <w:rPr>
          <w:rStyle w:val="default"/>
          <w:rFonts w:cs="FrankRuehl" w:hint="cs"/>
          <w:sz w:val="20"/>
          <w:rtl/>
        </w:rPr>
      </w:pPr>
      <w:r>
        <w:rPr>
          <w:rStyle w:val="default"/>
          <w:rFonts w:cs="FrankRuehl"/>
          <w:sz w:val="20"/>
        </w:rPr>
        <w:t>Z</w:t>
      </w:r>
      <w:r>
        <w:rPr>
          <w:rStyle w:val="default"/>
          <w:rFonts w:cs="FrankRuehl" w:hint="cs"/>
          <w:sz w:val="20"/>
          <w:rtl/>
        </w:rPr>
        <w:t xml:space="preserve"> = הסכום הכספי השנתי הממוצע שהוציא האפוטרופוס הכללי כהוצאות ניהול כמשמעותן בסעיף 12(א) לחוק, למעט שכר האפוטרופוס הכללי, בחמש השנים שקדמו למועד ההשקעה בפיקדון;</w:t>
      </w:r>
    </w:p>
    <w:p w14:paraId="70188D44" w14:textId="77777777" w:rsidR="00B05C62" w:rsidRPr="00B05C62" w:rsidRDefault="00B05C62" w:rsidP="00062C62">
      <w:pPr>
        <w:pStyle w:val="P00"/>
        <w:spacing w:before="72"/>
        <w:ind w:left="0" w:right="1134"/>
        <w:rPr>
          <w:rStyle w:val="default"/>
          <w:rFonts w:cs="FrankRuehl" w:hint="cs"/>
          <w:sz w:val="20"/>
          <w:rtl/>
        </w:rPr>
      </w:pPr>
      <w:r>
        <w:rPr>
          <w:rStyle w:val="default"/>
          <w:rFonts w:cs="FrankRuehl"/>
          <w:sz w:val="20"/>
        </w:rPr>
        <w:t>S</w:t>
      </w:r>
      <w:r>
        <w:rPr>
          <w:rStyle w:val="default"/>
          <w:rFonts w:cs="FrankRuehl" w:hint="cs"/>
          <w:sz w:val="20"/>
          <w:rtl/>
        </w:rPr>
        <w:t xml:space="preserve"> = שכר הניהול של האפוטרופוס הכללי כמשמעותו בתקנה 1(א)(2) לתקנות האפוטרופוס הכללי (שכר), התשל"ח-1978, אשר יחושבו לפי סך כל הכספים העודפים במועד ההפקדה (</w:t>
      </w:r>
      <w:r>
        <w:rPr>
          <w:rStyle w:val="default"/>
          <w:rFonts w:cs="FrankRuehl"/>
          <w:sz w:val="20"/>
        </w:rPr>
        <w:t>Y</w:t>
      </w:r>
      <w:r>
        <w:rPr>
          <w:rStyle w:val="default"/>
          <w:rFonts w:cs="FrankRuehl" w:hint="cs"/>
          <w:sz w:val="20"/>
          <w:rtl/>
        </w:rPr>
        <w:t>).</w:t>
      </w:r>
    </w:p>
    <w:p w14:paraId="78F0676E" w14:textId="77777777" w:rsidR="005575A3" w:rsidRDefault="005575A3">
      <w:pPr>
        <w:pStyle w:val="P00"/>
        <w:spacing w:before="72"/>
        <w:ind w:left="0" w:right="1134"/>
        <w:rPr>
          <w:rStyle w:val="default"/>
          <w:rFonts w:cs="FrankRuehl" w:hint="cs"/>
          <w:rtl/>
        </w:rPr>
      </w:pPr>
    </w:p>
    <w:p w14:paraId="39BCDF5F" w14:textId="77777777" w:rsidR="00451E4B" w:rsidRDefault="00451E4B">
      <w:pPr>
        <w:pStyle w:val="P00"/>
        <w:spacing w:before="72"/>
        <w:ind w:left="0" w:right="1134"/>
        <w:rPr>
          <w:rStyle w:val="default"/>
          <w:rFonts w:cs="FrankRuehl"/>
          <w:rtl/>
        </w:rPr>
      </w:pPr>
    </w:p>
    <w:p w14:paraId="1DD21575" w14:textId="77777777" w:rsidR="00451E4B" w:rsidRDefault="00B05C62" w:rsidP="00B05C62">
      <w:pPr>
        <w:pStyle w:val="sig-0"/>
        <w:tabs>
          <w:tab w:val="clear" w:pos="4820"/>
          <w:tab w:val="center" w:pos="5670"/>
        </w:tabs>
        <w:spacing w:before="72"/>
        <w:ind w:left="0" w:right="1134"/>
        <w:rPr>
          <w:rFonts w:cs="FrankRuehl" w:hint="cs"/>
          <w:sz w:val="26"/>
          <w:rtl/>
        </w:rPr>
      </w:pPr>
      <w:r>
        <w:rPr>
          <w:rFonts w:cs="FrankRuehl" w:hint="cs"/>
          <w:sz w:val="26"/>
          <w:rtl/>
        </w:rPr>
        <w:t>ז' בשבט התשע"ד (7 בינואר 2014</w:t>
      </w:r>
      <w:r w:rsidR="00451E4B">
        <w:rPr>
          <w:rFonts w:cs="FrankRuehl" w:hint="cs"/>
          <w:sz w:val="26"/>
          <w:rtl/>
        </w:rPr>
        <w:t>)</w:t>
      </w:r>
      <w:r w:rsidR="00451E4B">
        <w:rPr>
          <w:rFonts w:cs="FrankRuehl"/>
          <w:sz w:val="26"/>
          <w:rtl/>
        </w:rPr>
        <w:tab/>
      </w:r>
      <w:r>
        <w:rPr>
          <w:rFonts w:cs="FrankRuehl" w:hint="cs"/>
          <w:sz w:val="26"/>
          <w:rtl/>
        </w:rPr>
        <w:t>ציפי לבני</w:t>
      </w:r>
    </w:p>
    <w:p w14:paraId="1F8DEA18" w14:textId="77777777" w:rsidR="00451E4B" w:rsidRDefault="00451E4B" w:rsidP="005575A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w:t>
      </w:r>
      <w:r w:rsidR="00B05C62">
        <w:rPr>
          <w:rFonts w:cs="FrankRuehl" w:hint="cs"/>
          <w:sz w:val="22"/>
          <w:rtl/>
        </w:rPr>
        <w:t>ת</w:t>
      </w:r>
      <w:r>
        <w:rPr>
          <w:rFonts w:cs="FrankRuehl" w:hint="cs"/>
          <w:sz w:val="22"/>
          <w:rtl/>
        </w:rPr>
        <w:t xml:space="preserve"> המשפטים</w:t>
      </w:r>
    </w:p>
    <w:p w14:paraId="225A643A" w14:textId="77777777" w:rsidR="005575A3" w:rsidRDefault="005575A3">
      <w:pPr>
        <w:pStyle w:val="P00"/>
        <w:spacing w:before="72"/>
        <w:ind w:left="0" w:right="1134"/>
        <w:rPr>
          <w:rStyle w:val="default"/>
          <w:rFonts w:cs="FrankRuehl" w:hint="cs"/>
          <w:rtl/>
        </w:rPr>
      </w:pPr>
    </w:p>
    <w:p w14:paraId="00C3BFD1" w14:textId="77777777" w:rsidR="00451E4B" w:rsidRDefault="00451E4B">
      <w:pPr>
        <w:pStyle w:val="P00"/>
        <w:spacing w:before="72"/>
        <w:ind w:left="0" w:right="1134"/>
        <w:rPr>
          <w:rStyle w:val="default"/>
          <w:rFonts w:cs="FrankRuehl"/>
          <w:rtl/>
        </w:rPr>
      </w:pPr>
    </w:p>
    <w:p w14:paraId="70A277FC" w14:textId="77777777" w:rsidR="00451E4B" w:rsidRDefault="00451E4B">
      <w:pPr>
        <w:pStyle w:val="P00"/>
        <w:spacing w:before="72"/>
        <w:ind w:left="0" w:right="1134"/>
        <w:rPr>
          <w:rStyle w:val="default"/>
          <w:rFonts w:cs="FrankRuehl"/>
          <w:rtl/>
        </w:rPr>
      </w:pPr>
      <w:bookmarkStart w:id="7" w:name="LawPartEnd"/>
    </w:p>
    <w:bookmarkEnd w:id="7"/>
    <w:p w14:paraId="23E1EE31" w14:textId="77777777" w:rsidR="007135EB" w:rsidRDefault="007135EB">
      <w:pPr>
        <w:pStyle w:val="P00"/>
        <w:spacing w:before="72"/>
        <w:ind w:left="0" w:right="1134"/>
        <w:rPr>
          <w:rStyle w:val="default"/>
          <w:rFonts w:cs="FrankRuehl"/>
          <w:rtl/>
        </w:rPr>
      </w:pPr>
    </w:p>
    <w:p w14:paraId="2D7BA58B" w14:textId="77777777" w:rsidR="007135EB" w:rsidRDefault="007135EB">
      <w:pPr>
        <w:pStyle w:val="P00"/>
        <w:spacing w:before="72"/>
        <w:ind w:left="0" w:right="1134"/>
        <w:rPr>
          <w:rStyle w:val="default"/>
          <w:rFonts w:cs="FrankRuehl"/>
          <w:rtl/>
        </w:rPr>
      </w:pPr>
    </w:p>
    <w:p w14:paraId="7B8A93DE" w14:textId="77777777" w:rsidR="007135EB" w:rsidRDefault="007135EB" w:rsidP="007135EB">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0E57ABB4" w14:textId="77777777" w:rsidR="00451E4B" w:rsidRPr="007135EB" w:rsidRDefault="00451E4B" w:rsidP="007135EB">
      <w:pPr>
        <w:pStyle w:val="P00"/>
        <w:spacing w:before="72"/>
        <w:ind w:left="0" w:right="1134"/>
        <w:jc w:val="center"/>
        <w:rPr>
          <w:rStyle w:val="default"/>
          <w:rFonts w:cs="David"/>
          <w:color w:val="0000FF"/>
          <w:szCs w:val="24"/>
          <w:u w:val="single"/>
          <w:rtl/>
        </w:rPr>
      </w:pPr>
    </w:p>
    <w:sectPr w:rsidR="00451E4B" w:rsidRPr="007135E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1B28" w14:textId="77777777" w:rsidR="000F12D5" w:rsidRDefault="000F12D5">
      <w:pPr>
        <w:spacing w:line="240" w:lineRule="auto"/>
      </w:pPr>
      <w:r>
        <w:separator/>
      </w:r>
    </w:p>
  </w:endnote>
  <w:endnote w:type="continuationSeparator" w:id="0">
    <w:p w14:paraId="197FECEB" w14:textId="77777777" w:rsidR="000F12D5" w:rsidRDefault="000F12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97FC" w14:textId="77777777" w:rsidR="00451E4B" w:rsidRDefault="00451E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0F8F03" w14:textId="77777777" w:rsidR="00451E4B" w:rsidRDefault="00451E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5EE58A7" w14:textId="77777777" w:rsidR="00451E4B" w:rsidRDefault="00451E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C:\Yael\hakika\Revadim\024_004.doc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0D488" w14:textId="77777777" w:rsidR="00451E4B" w:rsidRDefault="00451E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135EB">
      <w:rPr>
        <w:rFonts w:hAnsi="FrankRuehl" w:cs="FrankRuehl"/>
        <w:noProof/>
        <w:sz w:val="24"/>
        <w:szCs w:val="24"/>
        <w:rtl/>
      </w:rPr>
      <w:t>4</w:t>
    </w:r>
    <w:r>
      <w:rPr>
        <w:rFonts w:hAnsi="FrankRuehl" w:cs="FrankRuehl"/>
        <w:sz w:val="24"/>
        <w:szCs w:val="24"/>
        <w:rtl/>
      </w:rPr>
      <w:fldChar w:fldCharType="end"/>
    </w:r>
  </w:p>
  <w:p w14:paraId="7D96380C" w14:textId="77777777" w:rsidR="00451E4B" w:rsidRDefault="00451E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F131FA" w14:textId="77777777" w:rsidR="00451E4B" w:rsidRDefault="00451E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C:\Yael\hakika\Revadim\024_004.doc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42CC" w14:textId="77777777" w:rsidR="000F12D5" w:rsidRDefault="000F12D5">
      <w:pPr>
        <w:spacing w:before="60" w:line="240" w:lineRule="auto"/>
        <w:ind w:right="1134"/>
      </w:pPr>
      <w:r>
        <w:separator/>
      </w:r>
    </w:p>
  </w:footnote>
  <w:footnote w:type="continuationSeparator" w:id="0">
    <w:p w14:paraId="25E03DE0" w14:textId="77777777" w:rsidR="000F12D5" w:rsidRDefault="000F12D5">
      <w:pPr>
        <w:spacing w:line="240" w:lineRule="auto"/>
      </w:pPr>
      <w:r>
        <w:continuationSeparator/>
      </w:r>
    </w:p>
  </w:footnote>
  <w:footnote w:id="1">
    <w:p w14:paraId="6B0C5AA3" w14:textId="77777777" w:rsidR="00D551BC" w:rsidRDefault="00451E4B" w:rsidP="00D551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D551BC">
          <w:rPr>
            <w:rStyle w:val="Hyperlink"/>
            <w:rFonts w:cs="FrankRuehl" w:hint="cs"/>
            <w:rtl/>
          </w:rPr>
          <w:t xml:space="preserve">ק"ת </w:t>
        </w:r>
        <w:r w:rsidR="005575A3" w:rsidRPr="00D551BC">
          <w:rPr>
            <w:rStyle w:val="Hyperlink"/>
            <w:rFonts w:cs="FrankRuehl" w:hint="cs"/>
            <w:rtl/>
          </w:rPr>
          <w:t>תשע"ד</w:t>
        </w:r>
        <w:r w:rsidRPr="00D551BC">
          <w:rPr>
            <w:rStyle w:val="Hyperlink"/>
            <w:rFonts w:cs="FrankRuehl" w:hint="cs"/>
            <w:rtl/>
          </w:rPr>
          <w:t xml:space="preserve"> מס' </w:t>
        </w:r>
        <w:r w:rsidR="005575A3" w:rsidRPr="00D551BC">
          <w:rPr>
            <w:rStyle w:val="Hyperlink"/>
            <w:rFonts w:cs="FrankRuehl" w:hint="cs"/>
            <w:rtl/>
          </w:rPr>
          <w:t>7335</w:t>
        </w:r>
      </w:hyperlink>
      <w:r>
        <w:rPr>
          <w:rFonts w:cs="FrankRuehl" w:hint="cs"/>
          <w:rtl/>
        </w:rPr>
        <w:t xml:space="preserve"> מיום </w:t>
      </w:r>
      <w:r w:rsidR="005575A3">
        <w:rPr>
          <w:rFonts w:cs="FrankRuehl" w:hint="cs"/>
          <w:rtl/>
        </w:rPr>
        <w:t>30.1.2014</w:t>
      </w:r>
      <w:r>
        <w:rPr>
          <w:rFonts w:cs="FrankRuehl" w:hint="cs"/>
          <w:rtl/>
        </w:rPr>
        <w:t xml:space="preserve"> עמ' </w:t>
      </w:r>
      <w:r w:rsidR="005575A3">
        <w:rPr>
          <w:rFonts w:cs="FrankRuehl" w:hint="cs"/>
          <w:rtl/>
        </w:rPr>
        <w:t>576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E675A" w14:textId="77777777" w:rsidR="00451E4B" w:rsidRDefault="00451E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האפוטרופוס הכללי (שכר), תשל"ח–1978</w:t>
    </w:r>
  </w:p>
  <w:p w14:paraId="7D8FA8A8" w14:textId="77777777" w:rsidR="00451E4B" w:rsidRDefault="00451E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462162" w14:textId="77777777" w:rsidR="00451E4B" w:rsidRDefault="00451E4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C7B3" w14:textId="77777777" w:rsidR="00451E4B" w:rsidRDefault="00451E4B" w:rsidP="00F9501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האפוטרופוס הכללי (</w:t>
    </w:r>
    <w:r w:rsidR="00F9501A">
      <w:rPr>
        <w:rFonts w:hAnsi="FrankRuehl" w:cs="FrankRuehl" w:hint="cs"/>
        <w:color w:val="000000"/>
        <w:sz w:val="28"/>
        <w:szCs w:val="28"/>
        <w:rtl/>
      </w:rPr>
      <w:t>השקעת כספים), תשע"ד-2014</w:t>
    </w:r>
  </w:p>
  <w:p w14:paraId="0B24F3D3" w14:textId="77777777" w:rsidR="00451E4B" w:rsidRDefault="00451E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AA984E" w14:textId="77777777" w:rsidR="00451E4B" w:rsidRDefault="00451E4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1E4B"/>
    <w:rsid w:val="00052866"/>
    <w:rsid w:val="00062C62"/>
    <w:rsid w:val="000A1A7B"/>
    <w:rsid w:val="000F12D5"/>
    <w:rsid w:val="001B5EF9"/>
    <w:rsid w:val="00262290"/>
    <w:rsid w:val="00266A09"/>
    <w:rsid w:val="00280EA7"/>
    <w:rsid w:val="002C6295"/>
    <w:rsid w:val="0030525E"/>
    <w:rsid w:val="00326C7D"/>
    <w:rsid w:val="003524B0"/>
    <w:rsid w:val="003E618C"/>
    <w:rsid w:val="003F630D"/>
    <w:rsid w:val="00451E4B"/>
    <w:rsid w:val="005338B1"/>
    <w:rsid w:val="005575A3"/>
    <w:rsid w:val="005A447D"/>
    <w:rsid w:val="005E24C7"/>
    <w:rsid w:val="007135EB"/>
    <w:rsid w:val="00750FD9"/>
    <w:rsid w:val="00771C12"/>
    <w:rsid w:val="007D2C4F"/>
    <w:rsid w:val="007E5C0A"/>
    <w:rsid w:val="008957D2"/>
    <w:rsid w:val="008E263A"/>
    <w:rsid w:val="009929C5"/>
    <w:rsid w:val="00A31C20"/>
    <w:rsid w:val="00A91964"/>
    <w:rsid w:val="00B05C62"/>
    <w:rsid w:val="00B321D2"/>
    <w:rsid w:val="00B353D5"/>
    <w:rsid w:val="00B44658"/>
    <w:rsid w:val="00B51020"/>
    <w:rsid w:val="00C17D5E"/>
    <w:rsid w:val="00C56D92"/>
    <w:rsid w:val="00C914EE"/>
    <w:rsid w:val="00CF664B"/>
    <w:rsid w:val="00D2741F"/>
    <w:rsid w:val="00D551BC"/>
    <w:rsid w:val="00D63AD2"/>
    <w:rsid w:val="00DA26F6"/>
    <w:rsid w:val="00EB15A4"/>
    <w:rsid w:val="00EC0184"/>
    <w:rsid w:val="00F26E20"/>
    <w:rsid w:val="00F6136C"/>
    <w:rsid w:val="00F9501A"/>
    <w:rsid w:val="00F95E58"/>
    <w:rsid w:val="00FB017F"/>
    <w:rsid w:val="00FE6F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1485E63"/>
  <w15:chartTrackingRefBased/>
  <w15:docId w15:val="{CFAF9C36-65AC-4E8B-922F-7AEB9341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customStyle="1" w:styleId="medium2-header">
    <w:name w:val="medium2-header"/>
    <w:basedOn w:val="a"/>
    <w:rsid w:val="00062C62"/>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beta.nevo.co.il/law_word/law06/tak-73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24</vt:lpstr>
    </vt:vector>
  </TitlesOfParts>
  <Company/>
  <LinksUpToDate>false</LinksUpToDate>
  <CharactersWithSpaces>7622</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2818139</vt:i4>
      </vt:variant>
      <vt:variant>
        <vt:i4>0</vt:i4>
      </vt:variant>
      <vt:variant>
        <vt:i4>0</vt:i4>
      </vt:variant>
      <vt:variant>
        <vt:i4>5</vt:i4>
      </vt:variant>
      <vt:variant>
        <vt:lpwstr>http://beta.nevo.co.il/law_word/law06/tak-7335.pdf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אפוטרופוס כללי</vt:lpwstr>
  </property>
  <property fmtid="{D5CDD505-2E9C-101B-9397-08002B2CF9AE}" pid="4" name="LAWNAME">
    <vt:lpwstr>תקנות האפוטרופוס הכללי (השקעת כספים), תשע"ד-2014</vt:lpwstr>
  </property>
  <property fmtid="{D5CDD505-2E9C-101B-9397-08002B2CF9AE}" pid="5" name="LAWNUMBER">
    <vt:lpwstr>0975</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חוק האפוטרופוס הכללי</vt:lpwstr>
  </property>
  <property fmtid="{D5CDD505-2E9C-101B-9397-08002B2CF9AE}" pid="21" name="MEKOR_SAIF1">
    <vt:lpwstr>23XאX3X</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האפוטרופוס הכללי</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http://beta.nevo.co.il/law_word/law06/tak-7335.pdf;‎רשומות - תקנות כלליות#פורסמו ק"ת תשע"ד מס' ‏‏7335 #מיום 30.1.2014 עמ' 576‏</vt:lpwstr>
  </property>
  <property fmtid="{D5CDD505-2E9C-101B-9397-08002B2CF9AE}" pid="64" name="LINKK2">
    <vt:lpwstr/>
  </property>
</Properties>
</file>