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1DD" w:rsidRDefault="00364D76" w:rsidP="002B6491">
      <w:pPr>
        <w:pStyle w:val="big-header"/>
        <w:ind w:left="0" w:right="1134"/>
        <w:rPr>
          <w:rFonts w:cs="FrankRuehl" w:hint="cs"/>
          <w:sz w:val="32"/>
          <w:rtl/>
        </w:rPr>
      </w:pPr>
      <w:r>
        <w:rPr>
          <w:rFonts w:cs="FrankRuehl" w:hint="cs"/>
          <w:sz w:val="32"/>
          <w:rtl/>
        </w:rPr>
        <w:t xml:space="preserve">תקנות </w:t>
      </w:r>
      <w:r w:rsidR="002B6491">
        <w:rPr>
          <w:rFonts w:cs="FrankRuehl" w:hint="cs"/>
          <w:sz w:val="32"/>
          <w:rtl/>
        </w:rPr>
        <w:t>הארכיונים (עיון בחומר ארכיוני המופקד בגנזך)</w:t>
      </w:r>
      <w:r w:rsidR="000A51DD">
        <w:rPr>
          <w:rFonts w:cs="FrankRuehl" w:hint="cs"/>
          <w:sz w:val="32"/>
          <w:rtl/>
        </w:rPr>
        <w:t xml:space="preserve">, </w:t>
      </w:r>
      <w:r w:rsidR="00F770F1">
        <w:rPr>
          <w:rFonts w:cs="FrankRuehl" w:hint="cs"/>
          <w:sz w:val="32"/>
          <w:rtl/>
        </w:rPr>
        <w:t>תש"ע-2010</w:t>
      </w:r>
    </w:p>
    <w:p w:rsidR="002B6491" w:rsidRPr="002B6491" w:rsidRDefault="002B6491" w:rsidP="002B6491">
      <w:pPr>
        <w:spacing w:line="320" w:lineRule="auto"/>
        <w:rPr>
          <w:rFonts w:cs="FrankRuehl"/>
          <w:szCs w:val="26"/>
          <w:rtl/>
        </w:rPr>
      </w:pPr>
    </w:p>
    <w:p w:rsidR="002B6491" w:rsidRDefault="002B6491" w:rsidP="002B6491">
      <w:pPr>
        <w:spacing w:line="320" w:lineRule="auto"/>
        <w:rPr>
          <w:rtl/>
        </w:rPr>
      </w:pPr>
    </w:p>
    <w:p w:rsidR="002B6491" w:rsidRPr="002B6491" w:rsidRDefault="002B6491" w:rsidP="002B6491">
      <w:pPr>
        <w:spacing w:line="320" w:lineRule="auto"/>
        <w:rPr>
          <w:rFonts w:cs="Miriam" w:hint="cs"/>
          <w:szCs w:val="22"/>
          <w:rtl/>
        </w:rPr>
      </w:pPr>
      <w:r w:rsidRPr="002B6491">
        <w:rPr>
          <w:rFonts w:cs="Miriam"/>
          <w:szCs w:val="22"/>
          <w:rtl/>
        </w:rPr>
        <w:t>רשויות ומשפט מנהלי</w:t>
      </w:r>
      <w:r w:rsidRPr="002B6491">
        <w:rPr>
          <w:rFonts w:cs="FrankRuehl"/>
          <w:szCs w:val="26"/>
          <w:rtl/>
        </w:rPr>
        <w:t xml:space="preserve"> – ארכיונים – עיון</w:t>
      </w:r>
    </w:p>
    <w:p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0342A" w:rsidRPr="00F0342A">
        <w:tblPrEx>
          <w:tblCellMar>
            <w:top w:w="0" w:type="dxa"/>
            <w:bottom w:w="0" w:type="dxa"/>
          </w:tblCellMar>
        </w:tblPrEx>
        <w:tc>
          <w:tcPr>
            <w:tcW w:w="1247" w:type="dxa"/>
          </w:tcPr>
          <w:p w:rsidR="00F0342A" w:rsidRPr="00F0342A" w:rsidRDefault="00F0342A" w:rsidP="00F0342A">
            <w:pPr>
              <w:rPr>
                <w:rFonts w:cs="Frankruhel" w:hint="cs"/>
                <w:rtl/>
              </w:rPr>
            </w:pPr>
            <w:r>
              <w:rPr>
                <w:rtl/>
              </w:rPr>
              <w:t xml:space="preserve">סעיף 1 </w:t>
            </w:r>
          </w:p>
        </w:tc>
        <w:tc>
          <w:tcPr>
            <w:tcW w:w="5669" w:type="dxa"/>
          </w:tcPr>
          <w:p w:rsidR="00F0342A" w:rsidRPr="00F0342A" w:rsidRDefault="00F0342A" w:rsidP="00F0342A">
            <w:pPr>
              <w:rPr>
                <w:rFonts w:cs="Frankruhel" w:hint="cs"/>
                <w:rtl/>
              </w:rPr>
            </w:pPr>
            <w:r>
              <w:rPr>
                <w:rtl/>
              </w:rPr>
              <w:t>הגדרות</w:t>
            </w:r>
          </w:p>
        </w:tc>
        <w:tc>
          <w:tcPr>
            <w:tcW w:w="567" w:type="dxa"/>
          </w:tcPr>
          <w:p w:rsidR="00F0342A" w:rsidRPr="00F0342A" w:rsidRDefault="00F0342A" w:rsidP="00F0342A">
            <w:pPr>
              <w:rPr>
                <w:rStyle w:val="Hyperlink"/>
                <w:rFonts w:hint="cs"/>
                <w:rtl/>
              </w:rPr>
            </w:pPr>
            <w:hyperlink w:anchor="Seif1" w:tooltip="הגדרות" w:history="1">
              <w:r w:rsidRPr="00F0342A">
                <w:rPr>
                  <w:rStyle w:val="Hyperlink"/>
                </w:rPr>
                <w:t>Go</w:t>
              </w:r>
            </w:hyperlink>
          </w:p>
        </w:tc>
        <w:tc>
          <w:tcPr>
            <w:tcW w:w="850" w:type="dxa"/>
          </w:tcPr>
          <w:p w:rsidR="00F0342A" w:rsidRPr="00F0342A" w:rsidRDefault="00F0342A" w:rsidP="00F034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0342A" w:rsidRPr="00F0342A">
        <w:tblPrEx>
          <w:tblCellMar>
            <w:top w:w="0" w:type="dxa"/>
            <w:bottom w:w="0" w:type="dxa"/>
          </w:tblCellMar>
        </w:tblPrEx>
        <w:tc>
          <w:tcPr>
            <w:tcW w:w="1247" w:type="dxa"/>
          </w:tcPr>
          <w:p w:rsidR="00F0342A" w:rsidRPr="00F0342A" w:rsidRDefault="00F0342A" w:rsidP="00F0342A">
            <w:pPr>
              <w:rPr>
                <w:rFonts w:cs="Frankruhel" w:hint="cs"/>
                <w:rtl/>
              </w:rPr>
            </w:pPr>
            <w:r>
              <w:rPr>
                <w:rtl/>
              </w:rPr>
              <w:t xml:space="preserve">סעיף 2 </w:t>
            </w:r>
          </w:p>
        </w:tc>
        <w:tc>
          <w:tcPr>
            <w:tcW w:w="5669" w:type="dxa"/>
          </w:tcPr>
          <w:p w:rsidR="00F0342A" w:rsidRPr="00F0342A" w:rsidRDefault="00F0342A" w:rsidP="00F0342A">
            <w:pPr>
              <w:rPr>
                <w:rFonts w:cs="Frankruhel" w:hint="cs"/>
                <w:rtl/>
              </w:rPr>
            </w:pPr>
            <w:r>
              <w:rPr>
                <w:rtl/>
              </w:rPr>
              <w:t>סדרי בקשה לעיון בחומר ארכיוני</w:t>
            </w:r>
          </w:p>
        </w:tc>
        <w:tc>
          <w:tcPr>
            <w:tcW w:w="567" w:type="dxa"/>
          </w:tcPr>
          <w:p w:rsidR="00F0342A" w:rsidRPr="00F0342A" w:rsidRDefault="00F0342A" w:rsidP="00F0342A">
            <w:pPr>
              <w:rPr>
                <w:rStyle w:val="Hyperlink"/>
                <w:rFonts w:hint="cs"/>
                <w:rtl/>
              </w:rPr>
            </w:pPr>
            <w:hyperlink w:anchor="Seif2" w:tooltip="סדרי בקשה לעיון בחומר ארכיוני" w:history="1">
              <w:r w:rsidRPr="00F0342A">
                <w:rPr>
                  <w:rStyle w:val="Hyperlink"/>
                </w:rPr>
                <w:t>Go</w:t>
              </w:r>
            </w:hyperlink>
          </w:p>
        </w:tc>
        <w:tc>
          <w:tcPr>
            <w:tcW w:w="850" w:type="dxa"/>
          </w:tcPr>
          <w:p w:rsidR="00F0342A" w:rsidRPr="00F0342A" w:rsidRDefault="00F0342A" w:rsidP="00F034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0342A" w:rsidRPr="00F0342A">
        <w:tblPrEx>
          <w:tblCellMar>
            <w:top w:w="0" w:type="dxa"/>
            <w:bottom w:w="0" w:type="dxa"/>
          </w:tblCellMar>
        </w:tblPrEx>
        <w:tc>
          <w:tcPr>
            <w:tcW w:w="1247" w:type="dxa"/>
          </w:tcPr>
          <w:p w:rsidR="00F0342A" w:rsidRPr="00F0342A" w:rsidRDefault="00F0342A" w:rsidP="00F0342A">
            <w:pPr>
              <w:rPr>
                <w:rFonts w:cs="Frankruhel" w:hint="cs"/>
                <w:rtl/>
              </w:rPr>
            </w:pPr>
            <w:r>
              <w:rPr>
                <w:rtl/>
              </w:rPr>
              <w:t xml:space="preserve">סעיף 3 </w:t>
            </w:r>
          </w:p>
        </w:tc>
        <w:tc>
          <w:tcPr>
            <w:tcW w:w="5669" w:type="dxa"/>
          </w:tcPr>
          <w:p w:rsidR="00F0342A" w:rsidRPr="00F0342A" w:rsidRDefault="00F0342A" w:rsidP="00F0342A">
            <w:pPr>
              <w:rPr>
                <w:rFonts w:cs="Frankruhel" w:hint="cs"/>
                <w:rtl/>
              </w:rPr>
            </w:pPr>
            <w:r>
              <w:rPr>
                <w:rtl/>
              </w:rPr>
              <w:t>העיון בחומר ארכיוני</w:t>
            </w:r>
          </w:p>
        </w:tc>
        <w:tc>
          <w:tcPr>
            <w:tcW w:w="567" w:type="dxa"/>
          </w:tcPr>
          <w:p w:rsidR="00F0342A" w:rsidRPr="00F0342A" w:rsidRDefault="00F0342A" w:rsidP="00F0342A">
            <w:pPr>
              <w:rPr>
                <w:rStyle w:val="Hyperlink"/>
                <w:rFonts w:hint="cs"/>
                <w:rtl/>
              </w:rPr>
            </w:pPr>
            <w:hyperlink w:anchor="Seif3" w:tooltip="העיון בחומר ארכיוני" w:history="1">
              <w:r w:rsidRPr="00F0342A">
                <w:rPr>
                  <w:rStyle w:val="Hyperlink"/>
                </w:rPr>
                <w:t>Go</w:t>
              </w:r>
            </w:hyperlink>
          </w:p>
        </w:tc>
        <w:tc>
          <w:tcPr>
            <w:tcW w:w="850" w:type="dxa"/>
          </w:tcPr>
          <w:p w:rsidR="00F0342A" w:rsidRPr="00F0342A" w:rsidRDefault="00F0342A" w:rsidP="00F034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F0342A" w:rsidRPr="00F0342A">
        <w:tblPrEx>
          <w:tblCellMar>
            <w:top w:w="0" w:type="dxa"/>
            <w:bottom w:w="0" w:type="dxa"/>
          </w:tblCellMar>
        </w:tblPrEx>
        <w:tc>
          <w:tcPr>
            <w:tcW w:w="1247" w:type="dxa"/>
          </w:tcPr>
          <w:p w:rsidR="00F0342A" w:rsidRPr="00F0342A" w:rsidRDefault="00F0342A" w:rsidP="00F0342A">
            <w:pPr>
              <w:rPr>
                <w:rFonts w:cs="Frankruhel" w:hint="cs"/>
                <w:rtl/>
              </w:rPr>
            </w:pPr>
            <w:r>
              <w:rPr>
                <w:rtl/>
              </w:rPr>
              <w:t xml:space="preserve">סעיף 4 </w:t>
            </w:r>
          </w:p>
        </w:tc>
        <w:tc>
          <w:tcPr>
            <w:tcW w:w="5669" w:type="dxa"/>
          </w:tcPr>
          <w:p w:rsidR="00F0342A" w:rsidRPr="00F0342A" w:rsidRDefault="00F0342A" w:rsidP="00F0342A">
            <w:pPr>
              <w:rPr>
                <w:rFonts w:cs="Frankruhel" w:hint="cs"/>
                <w:rtl/>
              </w:rPr>
            </w:pPr>
            <w:r>
              <w:rPr>
                <w:rtl/>
              </w:rPr>
              <w:t>שמירה על החומר הארכיוני</w:t>
            </w:r>
          </w:p>
        </w:tc>
        <w:tc>
          <w:tcPr>
            <w:tcW w:w="567" w:type="dxa"/>
          </w:tcPr>
          <w:p w:rsidR="00F0342A" w:rsidRPr="00F0342A" w:rsidRDefault="00F0342A" w:rsidP="00F0342A">
            <w:pPr>
              <w:rPr>
                <w:rStyle w:val="Hyperlink"/>
                <w:rFonts w:hint="cs"/>
                <w:rtl/>
              </w:rPr>
            </w:pPr>
            <w:hyperlink w:anchor="Seif4" w:tooltip="שמירה על החומר הארכיוני" w:history="1">
              <w:r w:rsidRPr="00F0342A">
                <w:rPr>
                  <w:rStyle w:val="Hyperlink"/>
                </w:rPr>
                <w:t>Go</w:t>
              </w:r>
            </w:hyperlink>
          </w:p>
        </w:tc>
        <w:tc>
          <w:tcPr>
            <w:tcW w:w="850" w:type="dxa"/>
          </w:tcPr>
          <w:p w:rsidR="00F0342A" w:rsidRPr="00F0342A" w:rsidRDefault="00F0342A" w:rsidP="00F034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F0342A" w:rsidRPr="00F0342A">
        <w:tblPrEx>
          <w:tblCellMar>
            <w:top w:w="0" w:type="dxa"/>
            <w:bottom w:w="0" w:type="dxa"/>
          </w:tblCellMar>
        </w:tblPrEx>
        <w:tc>
          <w:tcPr>
            <w:tcW w:w="1247" w:type="dxa"/>
          </w:tcPr>
          <w:p w:rsidR="00F0342A" w:rsidRPr="00F0342A" w:rsidRDefault="00F0342A" w:rsidP="00F0342A">
            <w:pPr>
              <w:rPr>
                <w:rFonts w:cs="Frankruhel" w:hint="cs"/>
                <w:rtl/>
              </w:rPr>
            </w:pPr>
            <w:r>
              <w:rPr>
                <w:rtl/>
              </w:rPr>
              <w:t xml:space="preserve">סעיף 5 </w:t>
            </w:r>
          </w:p>
        </w:tc>
        <w:tc>
          <w:tcPr>
            <w:tcW w:w="5669" w:type="dxa"/>
          </w:tcPr>
          <w:p w:rsidR="00F0342A" w:rsidRPr="00F0342A" w:rsidRDefault="00F0342A" w:rsidP="00F0342A">
            <w:pPr>
              <w:rPr>
                <w:rFonts w:cs="Frankruhel" w:hint="cs"/>
                <w:rtl/>
              </w:rPr>
            </w:pPr>
            <w:r>
              <w:rPr>
                <w:rtl/>
              </w:rPr>
              <w:t>סדרים מיוחדים</w:t>
            </w:r>
          </w:p>
        </w:tc>
        <w:tc>
          <w:tcPr>
            <w:tcW w:w="567" w:type="dxa"/>
          </w:tcPr>
          <w:p w:rsidR="00F0342A" w:rsidRPr="00F0342A" w:rsidRDefault="00F0342A" w:rsidP="00F0342A">
            <w:pPr>
              <w:rPr>
                <w:rStyle w:val="Hyperlink"/>
                <w:rFonts w:hint="cs"/>
                <w:rtl/>
              </w:rPr>
            </w:pPr>
            <w:hyperlink w:anchor="Seif5" w:tooltip="סדרים מיוחדים" w:history="1">
              <w:r w:rsidRPr="00F0342A">
                <w:rPr>
                  <w:rStyle w:val="Hyperlink"/>
                </w:rPr>
                <w:t>Go</w:t>
              </w:r>
            </w:hyperlink>
          </w:p>
        </w:tc>
        <w:tc>
          <w:tcPr>
            <w:tcW w:w="850" w:type="dxa"/>
          </w:tcPr>
          <w:p w:rsidR="00F0342A" w:rsidRPr="00F0342A" w:rsidRDefault="00F0342A" w:rsidP="00F034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F0342A" w:rsidRPr="00F0342A">
        <w:tblPrEx>
          <w:tblCellMar>
            <w:top w:w="0" w:type="dxa"/>
            <w:bottom w:w="0" w:type="dxa"/>
          </w:tblCellMar>
        </w:tblPrEx>
        <w:tc>
          <w:tcPr>
            <w:tcW w:w="1247" w:type="dxa"/>
          </w:tcPr>
          <w:p w:rsidR="00F0342A" w:rsidRPr="00F0342A" w:rsidRDefault="00F0342A" w:rsidP="00F0342A">
            <w:pPr>
              <w:rPr>
                <w:rFonts w:cs="Frankruhel" w:hint="cs"/>
                <w:rtl/>
              </w:rPr>
            </w:pPr>
            <w:r>
              <w:rPr>
                <w:rtl/>
              </w:rPr>
              <w:t xml:space="preserve">סעיף 6 </w:t>
            </w:r>
          </w:p>
        </w:tc>
        <w:tc>
          <w:tcPr>
            <w:tcW w:w="5669" w:type="dxa"/>
          </w:tcPr>
          <w:p w:rsidR="00F0342A" w:rsidRPr="00F0342A" w:rsidRDefault="00F0342A" w:rsidP="00F0342A">
            <w:pPr>
              <w:rPr>
                <w:rFonts w:cs="Frankruhel" w:hint="cs"/>
                <w:rtl/>
              </w:rPr>
            </w:pPr>
            <w:r>
              <w:rPr>
                <w:rtl/>
              </w:rPr>
              <w:t>דחיית מועד העיון</w:t>
            </w:r>
          </w:p>
        </w:tc>
        <w:tc>
          <w:tcPr>
            <w:tcW w:w="567" w:type="dxa"/>
          </w:tcPr>
          <w:p w:rsidR="00F0342A" w:rsidRPr="00F0342A" w:rsidRDefault="00F0342A" w:rsidP="00F0342A">
            <w:pPr>
              <w:rPr>
                <w:rStyle w:val="Hyperlink"/>
                <w:rFonts w:hint="cs"/>
                <w:rtl/>
              </w:rPr>
            </w:pPr>
            <w:hyperlink w:anchor="Seif6" w:tooltip="דחיית מועד העיון" w:history="1">
              <w:r w:rsidRPr="00F0342A">
                <w:rPr>
                  <w:rStyle w:val="Hyperlink"/>
                </w:rPr>
                <w:t>Go</w:t>
              </w:r>
            </w:hyperlink>
          </w:p>
        </w:tc>
        <w:tc>
          <w:tcPr>
            <w:tcW w:w="850" w:type="dxa"/>
          </w:tcPr>
          <w:p w:rsidR="00F0342A" w:rsidRPr="00F0342A" w:rsidRDefault="00F0342A" w:rsidP="00F034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F0342A" w:rsidRPr="00F0342A">
        <w:tblPrEx>
          <w:tblCellMar>
            <w:top w:w="0" w:type="dxa"/>
            <w:bottom w:w="0" w:type="dxa"/>
          </w:tblCellMar>
        </w:tblPrEx>
        <w:tc>
          <w:tcPr>
            <w:tcW w:w="1247" w:type="dxa"/>
          </w:tcPr>
          <w:p w:rsidR="00F0342A" w:rsidRPr="00F0342A" w:rsidRDefault="00F0342A" w:rsidP="00F0342A">
            <w:pPr>
              <w:rPr>
                <w:rFonts w:cs="Frankruhel" w:hint="cs"/>
                <w:rtl/>
              </w:rPr>
            </w:pPr>
            <w:r>
              <w:rPr>
                <w:rtl/>
              </w:rPr>
              <w:t xml:space="preserve">סעיף 7 </w:t>
            </w:r>
          </w:p>
        </w:tc>
        <w:tc>
          <w:tcPr>
            <w:tcW w:w="5669" w:type="dxa"/>
          </w:tcPr>
          <w:p w:rsidR="00F0342A" w:rsidRPr="00F0342A" w:rsidRDefault="00F0342A" w:rsidP="00F0342A">
            <w:pPr>
              <w:rPr>
                <w:rFonts w:cs="Frankruhel" w:hint="cs"/>
                <w:rtl/>
              </w:rPr>
            </w:pPr>
            <w:r>
              <w:rPr>
                <w:rtl/>
              </w:rPr>
              <w:t>עיון בתנאים לגבי פרסום והעתקה</w:t>
            </w:r>
          </w:p>
        </w:tc>
        <w:tc>
          <w:tcPr>
            <w:tcW w:w="567" w:type="dxa"/>
          </w:tcPr>
          <w:p w:rsidR="00F0342A" w:rsidRPr="00F0342A" w:rsidRDefault="00F0342A" w:rsidP="00F0342A">
            <w:pPr>
              <w:rPr>
                <w:rStyle w:val="Hyperlink"/>
                <w:rFonts w:hint="cs"/>
                <w:rtl/>
              </w:rPr>
            </w:pPr>
            <w:hyperlink w:anchor="Seif7" w:tooltip="עיון בתנאים לגבי פרסום והעתקה" w:history="1">
              <w:r w:rsidRPr="00F0342A">
                <w:rPr>
                  <w:rStyle w:val="Hyperlink"/>
                </w:rPr>
                <w:t>Go</w:t>
              </w:r>
            </w:hyperlink>
          </w:p>
        </w:tc>
        <w:tc>
          <w:tcPr>
            <w:tcW w:w="850" w:type="dxa"/>
          </w:tcPr>
          <w:p w:rsidR="00F0342A" w:rsidRPr="00F0342A" w:rsidRDefault="00F0342A" w:rsidP="00F034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F0342A" w:rsidRPr="00F0342A">
        <w:tblPrEx>
          <w:tblCellMar>
            <w:top w:w="0" w:type="dxa"/>
            <w:bottom w:w="0" w:type="dxa"/>
          </w:tblCellMar>
        </w:tblPrEx>
        <w:tc>
          <w:tcPr>
            <w:tcW w:w="1247" w:type="dxa"/>
          </w:tcPr>
          <w:p w:rsidR="00F0342A" w:rsidRPr="00F0342A" w:rsidRDefault="00F0342A" w:rsidP="00F0342A">
            <w:pPr>
              <w:rPr>
                <w:rFonts w:cs="Frankruhel" w:hint="cs"/>
                <w:rtl/>
              </w:rPr>
            </w:pPr>
            <w:r>
              <w:rPr>
                <w:rtl/>
              </w:rPr>
              <w:t xml:space="preserve">סעיף 8 </w:t>
            </w:r>
          </w:p>
        </w:tc>
        <w:tc>
          <w:tcPr>
            <w:tcW w:w="5669" w:type="dxa"/>
          </w:tcPr>
          <w:p w:rsidR="00F0342A" w:rsidRPr="00F0342A" w:rsidRDefault="00F0342A" w:rsidP="00F0342A">
            <w:pPr>
              <w:rPr>
                <w:rFonts w:cs="Frankruhel" w:hint="cs"/>
                <w:rtl/>
              </w:rPr>
            </w:pPr>
            <w:r>
              <w:rPr>
                <w:rtl/>
              </w:rPr>
              <w:t>חומר מוגבל וחשיפה</w:t>
            </w:r>
          </w:p>
        </w:tc>
        <w:tc>
          <w:tcPr>
            <w:tcW w:w="567" w:type="dxa"/>
          </w:tcPr>
          <w:p w:rsidR="00F0342A" w:rsidRPr="00F0342A" w:rsidRDefault="00F0342A" w:rsidP="00F0342A">
            <w:pPr>
              <w:rPr>
                <w:rStyle w:val="Hyperlink"/>
                <w:rFonts w:hint="cs"/>
                <w:rtl/>
              </w:rPr>
            </w:pPr>
            <w:hyperlink w:anchor="Seif8" w:tooltip="חומר מוגבל וחשיפה" w:history="1">
              <w:r w:rsidRPr="00F0342A">
                <w:rPr>
                  <w:rStyle w:val="Hyperlink"/>
                </w:rPr>
                <w:t>Go</w:t>
              </w:r>
            </w:hyperlink>
          </w:p>
        </w:tc>
        <w:tc>
          <w:tcPr>
            <w:tcW w:w="850" w:type="dxa"/>
          </w:tcPr>
          <w:p w:rsidR="00F0342A" w:rsidRPr="00F0342A" w:rsidRDefault="00F0342A" w:rsidP="00F034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F0342A" w:rsidRPr="00F0342A">
        <w:tblPrEx>
          <w:tblCellMar>
            <w:top w:w="0" w:type="dxa"/>
            <w:bottom w:w="0" w:type="dxa"/>
          </w:tblCellMar>
        </w:tblPrEx>
        <w:tc>
          <w:tcPr>
            <w:tcW w:w="1247" w:type="dxa"/>
          </w:tcPr>
          <w:p w:rsidR="00F0342A" w:rsidRPr="00F0342A" w:rsidRDefault="00F0342A" w:rsidP="00F0342A">
            <w:pPr>
              <w:rPr>
                <w:rFonts w:cs="Frankruhel" w:hint="cs"/>
                <w:rtl/>
              </w:rPr>
            </w:pPr>
            <w:r>
              <w:rPr>
                <w:rtl/>
              </w:rPr>
              <w:t xml:space="preserve">סעיף 9 </w:t>
            </w:r>
          </w:p>
        </w:tc>
        <w:tc>
          <w:tcPr>
            <w:tcW w:w="5669" w:type="dxa"/>
          </w:tcPr>
          <w:p w:rsidR="00F0342A" w:rsidRPr="00F0342A" w:rsidRDefault="00F0342A" w:rsidP="00F0342A">
            <w:pPr>
              <w:rPr>
                <w:rFonts w:cs="Frankruhel" w:hint="cs"/>
                <w:rtl/>
              </w:rPr>
            </w:pPr>
            <w:r>
              <w:rPr>
                <w:rtl/>
              </w:rPr>
              <w:t>חשיפה לפי בקשת מבקש</w:t>
            </w:r>
          </w:p>
        </w:tc>
        <w:tc>
          <w:tcPr>
            <w:tcW w:w="567" w:type="dxa"/>
          </w:tcPr>
          <w:p w:rsidR="00F0342A" w:rsidRPr="00F0342A" w:rsidRDefault="00F0342A" w:rsidP="00F0342A">
            <w:pPr>
              <w:rPr>
                <w:rStyle w:val="Hyperlink"/>
                <w:rFonts w:hint="cs"/>
                <w:rtl/>
              </w:rPr>
            </w:pPr>
            <w:hyperlink w:anchor="Seif9" w:tooltip="חשיפה לפי בקשת מבקש" w:history="1">
              <w:r w:rsidRPr="00F0342A">
                <w:rPr>
                  <w:rStyle w:val="Hyperlink"/>
                </w:rPr>
                <w:t>Go</w:t>
              </w:r>
            </w:hyperlink>
          </w:p>
        </w:tc>
        <w:tc>
          <w:tcPr>
            <w:tcW w:w="850" w:type="dxa"/>
          </w:tcPr>
          <w:p w:rsidR="00F0342A" w:rsidRPr="00F0342A" w:rsidRDefault="00F0342A" w:rsidP="00F034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F0342A" w:rsidRPr="00F0342A">
        <w:tblPrEx>
          <w:tblCellMar>
            <w:top w:w="0" w:type="dxa"/>
            <w:bottom w:w="0" w:type="dxa"/>
          </w:tblCellMar>
        </w:tblPrEx>
        <w:tc>
          <w:tcPr>
            <w:tcW w:w="1247" w:type="dxa"/>
          </w:tcPr>
          <w:p w:rsidR="00F0342A" w:rsidRPr="00F0342A" w:rsidRDefault="00F0342A" w:rsidP="00F0342A">
            <w:pPr>
              <w:rPr>
                <w:rFonts w:cs="Frankruhel" w:hint="cs"/>
                <w:rtl/>
              </w:rPr>
            </w:pPr>
            <w:r>
              <w:rPr>
                <w:rtl/>
              </w:rPr>
              <w:t xml:space="preserve">סעיף 10 </w:t>
            </w:r>
          </w:p>
        </w:tc>
        <w:tc>
          <w:tcPr>
            <w:tcW w:w="5669" w:type="dxa"/>
          </w:tcPr>
          <w:p w:rsidR="00F0342A" w:rsidRPr="00F0342A" w:rsidRDefault="00F0342A" w:rsidP="00F0342A">
            <w:pPr>
              <w:rPr>
                <w:rFonts w:cs="Frankruhel" w:hint="cs"/>
                <w:rtl/>
              </w:rPr>
            </w:pPr>
            <w:r>
              <w:rPr>
                <w:rtl/>
              </w:rPr>
              <w:t>הטלת מגבלה על חומר שהועמד לעיון</w:t>
            </w:r>
          </w:p>
        </w:tc>
        <w:tc>
          <w:tcPr>
            <w:tcW w:w="567" w:type="dxa"/>
          </w:tcPr>
          <w:p w:rsidR="00F0342A" w:rsidRPr="00F0342A" w:rsidRDefault="00F0342A" w:rsidP="00F0342A">
            <w:pPr>
              <w:rPr>
                <w:rStyle w:val="Hyperlink"/>
                <w:rFonts w:hint="cs"/>
                <w:rtl/>
              </w:rPr>
            </w:pPr>
            <w:hyperlink w:anchor="Seif10" w:tooltip="הטלת מגבלה על חומר שהועמד לעיון" w:history="1">
              <w:r w:rsidRPr="00F0342A">
                <w:rPr>
                  <w:rStyle w:val="Hyperlink"/>
                </w:rPr>
                <w:t>Go</w:t>
              </w:r>
            </w:hyperlink>
          </w:p>
        </w:tc>
        <w:tc>
          <w:tcPr>
            <w:tcW w:w="850" w:type="dxa"/>
          </w:tcPr>
          <w:p w:rsidR="00F0342A" w:rsidRPr="00F0342A" w:rsidRDefault="00F0342A" w:rsidP="00F034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F0342A" w:rsidRPr="00F0342A">
        <w:tblPrEx>
          <w:tblCellMar>
            <w:top w:w="0" w:type="dxa"/>
            <w:bottom w:w="0" w:type="dxa"/>
          </w:tblCellMar>
        </w:tblPrEx>
        <w:tc>
          <w:tcPr>
            <w:tcW w:w="1247" w:type="dxa"/>
          </w:tcPr>
          <w:p w:rsidR="00F0342A" w:rsidRPr="00F0342A" w:rsidRDefault="00F0342A" w:rsidP="00F0342A">
            <w:pPr>
              <w:rPr>
                <w:rFonts w:cs="Frankruhel" w:hint="cs"/>
                <w:rtl/>
              </w:rPr>
            </w:pPr>
            <w:r>
              <w:rPr>
                <w:rtl/>
              </w:rPr>
              <w:t xml:space="preserve">סעיף 11 </w:t>
            </w:r>
          </w:p>
        </w:tc>
        <w:tc>
          <w:tcPr>
            <w:tcW w:w="5669" w:type="dxa"/>
          </w:tcPr>
          <w:p w:rsidR="00F0342A" w:rsidRPr="00F0342A" w:rsidRDefault="00F0342A" w:rsidP="00F0342A">
            <w:pPr>
              <w:rPr>
                <w:rFonts w:cs="Frankruhel" w:hint="cs"/>
                <w:rtl/>
              </w:rPr>
            </w:pPr>
            <w:r>
              <w:rPr>
                <w:rtl/>
              </w:rPr>
              <w:t>ביטול</w:t>
            </w:r>
          </w:p>
        </w:tc>
        <w:tc>
          <w:tcPr>
            <w:tcW w:w="567" w:type="dxa"/>
          </w:tcPr>
          <w:p w:rsidR="00F0342A" w:rsidRPr="00F0342A" w:rsidRDefault="00F0342A" w:rsidP="00F0342A">
            <w:pPr>
              <w:rPr>
                <w:rStyle w:val="Hyperlink"/>
                <w:rFonts w:hint="cs"/>
                <w:rtl/>
              </w:rPr>
            </w:pPr>
            <w:hyperlink w:anchor="Seif11" w:tooltip="ביטול" w:history="1">
              <w:r w:rsidRPr="00F0342A">
                <w:rPr>
                  <w:rStyle w:val="Hyperlink"/>
                </w:rPr>
                <w:t>Go</w:t>
              </w:r>
            </w:hyperlink>
          </w:p>
        </w:tc>
        <w:tc>
          <w:tcPr>
            <w:tcW w:w="850" w:type="dxa"/>
          </w:tcPr>
          <w:p w:rsidR="00F0342A" w:rsidRPr="00F0342A" w:rsidRDefault="00F0342A" w:rsidP="00F034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F0342A" w:rsidRPr="00F0342A">
        <w:tblPrEx>
          <w:tblCellMar>
            <w:top w:w="0" w:type="dxa"/>
            <w:bottom w:w="0" w:type="dxa"/>
          </w:tblCellMar>
        </w:tblPrEx>
        <w:tc>
          <w:tcPr>
            <w:tcW w:w="1247" w:type="dxa"/>
          </w:tcPr>
          <w:p w:rsidR="00F0342A" w:rsidRPr="00F0342A" w:rsidRDefault="00F0342A" w:rsidP="00F0342A">
            <w:pPr>
              <w:rPr>
                <w:rFonts w:cs="Frankruhel" w:hint="cs"/>
                <w:rtl/>
              </w:rPr>
            </w:pPr>
            <w:r>
              <w:rPr>
                <w:rtl/>
              </w:rPr>
              <w:t xml:space="preserve">סעיף 12 </w:t>
            </w:r>
          </w:p>
        </w:tc>
        <w:tc>
          <w:tcPr>
            <w:tcW w:w="5669" w:type="dxa"/>
          </w:tcPr>
          <w:p w:rsidR="00F0342A" w:rsidRPr="00F0342A" w:rsidRDefault="00F0342A" w:rsidP="00F0342A">
            <w:pPr>
              <w:rPr>
                <w:rFonts w:cs="Frankruhel" w:hint="cs"/>
                <w:rtl/>
              </w:rPr>
            </w:pPr>
            <w:r>
              <w:rPr>
                <w:rtl/>
              </w:rPr>
              <w:t>תחילה</w:t>
            </w:r>
          </w:p>
        </w:tc>
        <w:tc>
          <w:tcPr>
            <w:tcW w:w="567" w:type="dxa"/>
          </w:tcPr>
          <w:p w:rsidR="00F0342A" w:rsidRPr="00F0342A" w:rsidRDefault="00F0342A" w:rsidP="00F0342A">
            <w:pPr>
              <w:rPr>
                <w:rStyle w:val="Hyperlink"/>
                <w:rFonts w:hint="cs"/>
                <w:rtl/>
              </w:rPr>
            </w:pPr>
            <w:hyperlink w:anchor="Seif12" w:tooltip="תחילה" w:history="1">
              <w:r w:rsidRPr="00F0342A">
                <w:rPr>
                  <w:rStyle w:val="Hyperlink"/>
                </w:rPr>
                <w:t>Go</w:t>
              </w:r>
            </w:hyperlink>
          </w:p>
        </w:tc>
        <w:tc>
          <w:tcPr>
            <w:tcW w:w="850" w:type="dxa"/>
          </w:tcPr>
          <w:p w:rsidR="00F0342A" w:rsidRPr="00F0342A" w:rsidRDefault="00F0342A" w:rsidP="00F034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F0342A" w:rsidRPr="00F0342A">
        <w:tblPrEx>
          <w:tblCellMar>
            <w:top w:w="0" w:type="dxa"/>
            <w:bottom w:w="0" w:type="dxa"/>
          </w:tblCellMar>
        </w:tblPrEx>
        <w:tc>
          <w:tcPr>
            <w:tcW w:w="1247" w:type="dxa"/>
          </w:tcPr>
          <w:p w:rsidR="00F0342A" w:rsidRPr="00F0342A" w:rsidRDefault="00F0342A" w:rsidP="00F0342A">
            <w:pPr>
              <w:rPr>
                <w:rFonts w:cs="Frankruhel" w:hint="cs"/>
                <w:rtl/>
              </w:rPr>
            </w:pPr>
            <w:r>
              <w:rPr>
                <w:rtl/>
              </w:rPr>
              <w:t xml:space="preserve">סעיף 13 </w:t>
            </w:r>
          </w:p>
        </w:tc>
        <w:tc>
          <w:tcPr>
            <w:tcW w:w="5669" w:type="dxa"/>
          </w:tcPr>
          <w:p w:rsidR="00F0342A" w:rsidRPr="00F0342A" w:rsidRDefault="00F0342A" w:rsidP="00F0342A">
            <w:pPr>
              <w:rPr>
                <w:rFonts w:cs="Frankruhel" w:hint="cs"/>
                <w:rtl/>
              </w:rPr>
            </w:pPr>
            <w:r>
              <w:rPr>
                <w:rtl/>
              </w:rPr>
              <w:t>תחולה</w:t>
            </w:r>
          </w:p>
        </w:tc>
        <w:tc>
          <w:tcPr>
            <w:tcW w:w="567" w:type="dxa"/>
          </w:tcPr>
          <w:p w:rsidR="00F0342A" w:rsidRPr="00F0342A" w:rsidRDefault="00F0342A" w:rsidP="00F0342A">
            <w:pPr>
              <w:rPr>
                <w:rStyle w:val="Hyperlink"/>
                <w:rFonts w:hint="cs"/>
                <w:rtl/>
              </w:rPr>
            </w:pPr>
            <w:hyperlink w:anchor="Seif13" w:tooltip="תחולה" w:history="1">
              <w:r w:rsidRPr="00F0342A">
                <w:rPr>
                  <w:rStyle w:val="Hyperlink"/>
                </w:rPr>
                <w:t>Go</w:t>
              </w:r>
            </w:hyperlink>
          </w:p>
        </w:tc>
        <w:tc>
          <w:tcPr>
            <w:tcW w:w="850" w:type="dxa"/>
          </w:tcPr>
          <w:p w:rsidR="00F0342A" w:rsidRPr="00F0342A" w:rsidRDefault="00F0342A" w:rsidP="00F034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F0342A" w:rsidRPr="00F0342A">
        <w:tblPrEx>
          <w:tblCellMar>
            <w:top w:w="0" w:type="dxa"/>
            <w:bottom w:w="0" w:type="dxa"/>
          </w:tblCellMar>
        </w:tblPrEx>
        <w:tc>
          <w:tcPr>
            <w:tcW w:w="1247" w:type="dxa"/>
          </w:tcPr>
          <w:p w:rsidR="00F0342A" w:rsidRPr="00F0342A" w:rsidRDefault="00F0342A" w:rsidP="00F0342A">
            <w:pPr>
              <w:rPr>
                <w:rFonts w:cs="Frankruhel" w:hint="cs"/>
                <w:rtl/>
              </w:rPr>
            </w:pPr>
            <w:r>
              <w:rPr>
                <w:rtl/>
              </w:rPr>
              <w:t xml:space="preserve">סעיף 14 </w:t>
            </w:r>
          </w:p>
        </w:tc>
        <w:tc>
          <w:tcPr>
            <w:tcW w:w="5669" w:type="dxa"/>
          </w:tcPr>
          <w:p w:rsidR="00F0342A" w:rsidRPr="00F0342A" w:rsidRDefault="00F0342A" w:rsidP="00F0342A">
            <w:pPr>
              <w:rPr>
                <w:rFonts w:cs="Frankruhel" w:hint="cs"/>
                <w:rtl/>
              </w:rPr>
            </w:pPr>
            <w:r>
              <w:rPr>
                <w:rtl/>
              </w:rPr>
              <w:t>סייג לתחולה</w:t>
            </w:r>
          </w:p>
        </w:tc>
        <w:tc>
          <w:tcPr>
            <w:tcW w:w="567" w:type="dxa"/>
          </w:tcPr>
          <w:p w:rsidR="00F0342A" w:rsidRPr="00F0342A" w:rsidRDefault="00F0342A" w:rsidP="00F0342A">
            <w:pPr>
              <w:rPr>
                <w:rStyle w:val="Hyperlink"/>
                <w:rFonts w:hint="cs"/>
                <w:rtl/>
              </w:rPr>
            </w:pPr>
            <w:hyperlink w:anchor="Seif14" w:tooltip="סייג לתחולה" w:history="1">
              <w:r w:rsidRPr="00F0342A">
                <w:rPr>
                  <w:rStyle w:val="Hyperlink"/>
                </w:rPr>
                <w:t>Go</w:t>
              </w:r>
            </w:hyperlink>
          </w:p>
        </w:tc>
        <w:tc>
          <w:tcPr>
            <w:tcW w:w="850" w:type="dxa"/>
          </w:tcPr>
          <w:p w:rsidR="00F0342A" w:rsidRPr="00F0342A" w:rsidRDefault="00F0342A" w:rsidP="00F034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bl>
    <w:p w:rsidR="000A51DD" w:rsidRDefault="000A51DD">
      <w:pPr>
        <w:pStyle w:val="big-header"/>
        <w:ind w:left="0" w:right="1134"/>
        <w:rPr>
          <w:rFonts w:cs="FrankRuehl" w:hint="cs"/>
          <w:sz w:val="32"/>
          <w:rtl/>
        </w:rPr>
      </w:pPr>
    </w:p>
    <w:p w:rsidR="000A51DD" w:rsidRPr="002A5E49" w:rsidRDefault="000A51DD" w:rsidP="002B6491">
      <w:pPr>
        <w:pStyle w:val="big-header"/>
        <w:ind w:left="0" w:right="1134"/>
        <w:rPr>
          <w:rStyle w:val="default"/>
          <w:rFonts w:cs="FrankRuehl" w:hint="cs"/>
          <w:sz w:val="32"/>
          <w:szCs w:val="32"/>
          <w:rtl/>
        </w:rPr>
      </w:pPr>
      <w:r>
        <w:rPr>
          <w:rFonts w:cs="FrankRuehl"/>
          <w:sz w:val="32"/>
          <w:rtl/>
        </w:rPr>
        <w:br w:type="page"/>
      </w:r>
      <w:r w:rsidR="002B6491">
        <w:rPr>
          <w:rFonts w:cs="FrankRuehl" w:hint="cs"/>
          <w:sz w:val="32"/>
          <w:rtl/>
        </w:rPr>
        <w:lastRenderedPageBreak/>
        <w:t>תקנות הארכיונים (עיון בחומר ארכיוני המופקד בגנזך), תש"ע-2010</w:t>
      </w:r>
      <w:r>
        <w:rPr>
          <w:rStyle w:val="default"/>
          <w:sz w:val="22"/>
          <w:szCs w:val="22"/>
          <w:rtl/>
        </w:rPr>
        <w:footnoteReference w:customMarkFollows="1" w:id="1"/>
        <w:t>*</w:t>
      </w:r>
    </w:p>
    <w:p w:rsidR="000A51DD" w:rsidRDefault="00C41976" w:rsidP="002B6491">
      <w:pPr>
        <w:pStyle w:val="P00"/>
        <w:spacing w:before="72"/>
        <w:ind w:left="0" w:right="1134"/>
        <w:rPr>
          <w:rStyle w:val="default"/>
          <w:rFonts w:cs="FrankRuehl" w:hint="cs"/>
          <w:rtl/>
        </w:rPr>
      </w:pPr>
      <w:r>
        <w:rPr>
          <w:rStyle w:val="default"/>
          <w:rFonts w:cs="FrankRuehl" w:hint="cs"/>
          <w:rtl/>
        </w:rPr>
        <w:tab/>
      </w:r>
      <w:r w:rsidR="000A51DD">
        <w:rPr>
          <w:rStyle w:val="default"/>
          <w:rFonts w:cs="FrankRuehl"/>
          <w:rtl/>
        </w:rPr>
        <w:t xml:space="preserve">בתוקף </w:t>
      </w:r>
      <w:r w:rsidR="002B6491">
        <w:rPr>
          <w:rStyle w:val="default"/>
          <w:rFonts w:cs="FrankRuehl" w:hint="cs"/>
          <w:rtl/>
        </w:rPr>
        <w:t xml:space="preserve">הסמכות לפי סעיפים 10, 11 ו-18 לחוק הארכיונים, התשט"ו-1955 (להלן </w:t>
      </w:r>
      <w:r w:rsidR="002B6491">
        <w:rPr>
          <w:rStyle w:val="default"/>
          <w:rFonts w:cs="FrankRuehl"/>
          <w:rtl/>
        </w:rPr>
        <w:t>–</w:t>
      </w:r>
      <w:r w:rsidR="002B6491">
        <w:rPr>
          <w:rStyle w:val="default"/>
          <w:rFonts w:cs="FrankRuehl" w:hint="cs"/>
          <w:rtl/>
        </w:rPr>
        <w:t xml:space="preserve"> החוק), שהועברה אלי, ולאחר היוועצות במועצת הארכיונים העליונה, אני מתקין תקנות אלה</w:t>
      </w:r>
      <w:r w:rsidR="000A51DD">
        <w:rPr>
          <w:rStyle w:val="default"/>
          <w:rFonts w:cs="FrankRuehl"/>
          <w:rtl/>
        </w:rPr>
        <w:t>:</w:t>
      </w:r>
    </w:p>
    <w:p w:rsidR="000A51DD" w:rsidRDefault="000A51DD" w:rsidP="00DA3359">
      <w:pPr>
        <w:pStyle w:val="P00"/>
        <w:spacing w:before="72"/>
        <w:ind w:left="0" w:right="1134"/>
        <w:rPr>
          <w:rStyle w:val="default"/>
          <w:rFonts w:cs="FrankRuehl" w:hint="cs"/>
          <w:rtl/>
        </w:rPr>
      </w:pPr>
      <w:bookmarkStart w:id="0" w:name="Seif1"/>
      <w:bookmarkEnd w:id="0"/>
      <w:r>
        <w:rPr>
          <w:rFonts w:cs="Miriam"/>
          <w:lang w:val="he-IL"/>
        </w:rPr>
        <w:pict>
          <v:rect id="_x0000_s2050" style="position:absolute;left:0;text-align:left;margin-left:464.35pt;margin-top:7.1pt;width:75.05pt;height:13.35pt;z-index:251648512" o:allowincell="f" filled="f" stroked="f" strokecolor="lime" strokeweight=".25pt">
            <v:textbox style="mso-next-textbox:#_x0000_s2050" inset="0,0,0,0">
              <w:txbxContent>
                <w:p w:rsidR="009D6B1B" w:rsidRDefault="009D6B1B">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DA3359">
        <w:rPr>
          <w:rStyle w:val="default"/>
          <w:rFonts w:cs="FrankRuehl" w:hint="cs"/>
          <w:rtl/>
        </w:rPr>
        <w:t xml:space="preserve">בתקנות אלה </w:t>
      </w:r>
      <w:r w:rsidR="00DA3359">
        <w:rPr>
          <w:rStyle w:val="default"/>
          <w:rFonts w:cs="FrankRuehl"/>
          <w:rtl/>
        </w:rPr>
        <w:t>–</w:t>
      </w:r>
    </w:p>
    <w:p w:rsidR="002B6491" w:rsidRDefault="002B6491" w:rsidP="00DA3359">
      <w:pPr>
        <w:pStyle w:val="P00"/>
        <w:spacing w:before="72"/>
        <w:ind w:left="0" w:right="1134"/>
        <w:rPr>
          <w:rStyle w:val="default"/>
          <w:rFonts w:cs="FrankRuehl" w:hint="cs"/>
          <w:rtl/>
        </w:rPr>
      </w:pPr>
      <w:r>
        <w:rPr>
          <w:rStyle w:val="default"/>
          <w:rFonts w:cs="FrankRuehl" w:hint="cs"/>
          <w:rtl/>
        </w:rPr>
        <w:tab/>
        <w:t xml:space="preserve">"בדיקה" </w:t>
      </w:r>
      <w:r>
        <w:rPr>
          <w:rStyle w:val="default"/>
          <w:rFonts w:cs="FrankRuehl"/>
          <w:rtl/>
        </w:rPr>
        <w:t>–</w:t>
      </w:r>
      <w:r>
        <w:rPr>
          <w:rStyle w:val="default"/>
          <w:rFonts w:cs="FrankRuehl" w:hint="cs"/>
          <w:rtl/>
        </w:rPr>
        <w:t xml:space="preserve"> בחינת חומר ארכיוני מוגבל בידי המפקיד או מי שהוא הסמיך לכך, כדי לאפשר את עיון הקהל בו;</w:t>
      </w:r>
    </w:p>
    <w:p w:rsidR="002B6491" w:rsidRDefault="002B6491" w:rsidP="00DA3359">
      <w:pPr>
        <w:pStyle w:val="P00"/>
        <w:spacing w:before="72"/>
        <w:ind w:left="0" w:right="1134"/>
        <w:rPr>
          <w:rStyle w:val="default"/>
          <w:rFonts w:cs="FrankRuehl" w:hint="cs"/>
          <w:rtl/>
        </w:rPr>
      </w:pPr>
      <w:r>
        <w:rPr>
          <w:rStyle w:val="default"/>
          <w:rFonts w:cs="FrankRuehl" w:hint="cs"/>
          <w:rtl/>
        </w:rPr>
        <w:tab/>
        <w:t xml:space="preserve">"העתק" </w:t>
      </w:r>
      <w:r>
        <w:rPr>
          <w:rStyle w:val="default"/>
          <w:rFonts w:cs="FrankRuehl"/>
          <w:rtl/>
        </w:rPr>
        <w:t>–</w:t>
      </w:r>
      <w:r>
        <w:rPr>
          <w:rStyle w:val="default"/>
          <w:rFonts w:cs="FrankRuehl" w:hint="cs"/>
          <w:rtl/>
        </w:rPr>
        <w:t xml:space="preserve"> לרבות העתק הנוצר בדרך של צילום, סריקה ממוחשבת או בהליך טכנולוגי אחר;</w:t>
      </w:r>
    </w:p>
    <w:p w:rsidR="002B6491" w:rsidRDefault="002B6491" w:rsidP="00DA3359">
      <w:pPr>
        <w:pStyle w:val="P00"/>
        <w:spacing w:before="72"/>
        <w:ind w:left="0" w:right="1134"/>
        <w:rPr>
          <w:rStyle w:val="default"/>
          <w:rFonts w:cs="FrankRuehl" w:hint="cs"/>
          <w:rtl/>
        </w:rPr>
      </w:pPr>
      <w:r>
        <w:rPr>
          <w:rStyle w:val="default"/>
          <w:rFonts w:cs="FrankRuehl" w:hint="cs"/>
          <w:rtl/>
        </w:rPr>
        <w:tab/>
        <w:t xml:space="preserve">"חומר מוגבל" </w:t>
      </w:r>
      <w:r w:rsidR="00A601D9">
        <w:rPr>
          <w:rStyle w:val="default"/>
          <w:rFonts w:cs="FrankRuehl"/>
          <w:rtl/>
        </w:rPr>
        <w:t>–</w:t>
      </w:r>
      <w:r>
        <w:rPr>
          <w:rStyle w:val="default"/>
          <w:rFonts w:cs="FrankRuehl" w:hint="cs"/>
          <w:rtl/>
        </w:rPr>
        <w:t xml:space="preserve"> </w:t>
      </w:r>
      <w:r w:rsidR="00A601D9">
        <w:rPr>
          <w:rStyle w:val="default"/>
          <w:rFonts w:cs="FrankRuehl" w:hint="cs"/>
          <w:rtl/>
        </w:rPr>
        <w:t>חומר ארכיוני שזכות העיון בו הוגבלה כאמור בתקנה 8 ובתוספת הראשונה;</w:t>
      </w:r>
    </w:p>
    <w:p w:rsidR="00A601D9" w:rsidRDefault="00A601D9" w:rsidP="00DA3359">
      <w:pPr>
        <w:pStyle w:val="P00"/>
        <w:spacing w:before="72"/>
        <w:ind w:left="0" w:right="1134"/>
        <w:rPr>
          <w:rStyle w:val="default"/>
          <w:rFonts w:cs="FrankRuehl" w:hint="cs"/>
          <w:rtl/>
        </w:rPr>
      </w:pPr>
      <w:r>
        <w:rPr>
          <w:rStyle w:val="default"/>
          <w:rFonts w:cs="FrankRuehl" w:hint="cs"/>
          <w:rtl/>
        </w:rPr>
        <w:tab/>
        <w:t xml:space="preserve">"חשיפה" </w:t>
      </w:r>
      <w:r>
        <w:rPr>
          <w:rStyle w:val="default"/>
          <w:rFonts w:cs="FrankRuehl"/>
          <w:rtl/>
        </w:rPr>
        <w:t>–</w:t>
      </w:r>
      <w:r>
        <w:rPr>
          <w:rStyle w:val="default"/>
          <w:rFonts w:cs="FrankRuehl" w:hint="cs"/>
          <w:rtl/>
        </w:rPr>
        <w:t xml:space="preserve"> שחרור מהגבלה של חומר מוגבל, לאחר בדיקתו;</w:t>
      </w:r>
    </w:p>
    <w:p w:rsidR="00A601D9" w:rsidRDefault="00A601D9" w:rsidP="00DA3359">
      <w:pPr>
        <w:pStyle w:val="P00"/>
        <w:spacing w:before="72"/>
        <w:ind w:left="0" w:right="1134"/>
        <w:rPr>
          <w:rStyle w:val="default"/>
          <w:rFonts w:cs="FrankRuehl" w:hint="cs"/>
          <w:rtl/>
        </w:rPr>
      </w:pPr>
      <w:r>
        <w:rPr>
          <w:rStyle w:val="default"/>
          <w:rFonts w:cs="FrankRuehl" w:hint="cs"/>
          <w:rtl/>
        </w:rPr>
        <w:tab/>
        <w:t xml:space="preserve">"מבקש" </w:t>
      </w:r>
      <w:r>
        <w:rPr>
          <w:rStyle w:val="default"/>
          <w:rFonts w:cs="FrankRuehl"/>
          <w:rtl/>
        </w:rPr>
        <w:t>–</w:t>
      </w:r>
      <w:r>
        <w:rPr>
          <w:rStyle w:val="default"/>
          <w:rFonts w:cs="FrankRuehl" w:hint="cs"/>
          <w:rtl/>
        </w:rPr>
        <w:t xml:space="preserve"> מי שמבקש חשיפה של חומר מוגבל לפני תום תקופת ההגבלה הנקובה בתוספת הראשונה, ואשר אינו נציג;</w:t>
      </w:r>
    </w:p>
    <w:p w:rsidR="00A601D9" w:rsidRDefault="00A601D9" w:rsidP="00DA3359">
      <w:pPr>
        <w:pStyle w:val="P00"/>
        <w:spacing w:before="72"/>
        <w:ind w:left="0" w:right="1134"/>
        <w:rPr>
          <w:rStyle w:val="default"/>
          <w:rFonts w:cs="FrankRuehl" w:hint="cs"/>
          <w:rtl/>
        </w:rPr>
      </w:pPr>
      <w:r>
        <w:rPr>
          <w:rStyle w:val="default"/>
          <w:rFonts w:cs="FrankRuehl" w:hint="cs"/>
          <w:rtl/>
        </w:rPr>
        <w:tab/>
        <w:t xml:space="preserve">"מפקיד" </w:t>
      </w:r>
      <w:r>
        <w:rPr>
          <w:rStyle w:val="default"/>
          <w:rFonts w:cs="FrankRuehl"/>
          <w:rtl/>
        </w:rPr>
        <w:t>–</w:t>
      </w:r>
      <w:r>
        <w:rPr>
          <w:rStyle w:val="default"/>
          <w:rFonts w:cs="FrankRuehl" w:hint="cs"/>
          <w:rtl/>
        </w:rPr>
        <w:t xml:space="preserve"> מוסד ממוסדות המדינה או רשות מקומית שהפקיד בגנזך חומר ארכיוני;</w:t>
      </w:r>
    </w:p>
    <w:p w:rsidR="00A601D9" w:rsidRDefault="00A601D9" w:rsidP="00DA3359">
      <w:pPr>
        <w:pStyle w:val="P00"/>
        <w:spacing w:before="72"/>
        <w:ind w:left="0" w:right="1134"/>
        <w:rPr>
          <w:rStyle w:val="default"/>
          <w:rFonts w:cs="FrankRuehl" w:hint="cs"/>
          <w:rtl/>
        </w:rPr>
      </w:pPr>
      <w:r>
        <w:rPr>
          <w:rStyle w:val="default"/>
          <w:rFonts w:cs="FrankRuehl" w:hint="cs"/>
          <w:rtl/>
        </w:rPr>
        <w:tab/>
        <w:t xml:space="preserve">"נציג" </w:t>
      </w:r>
      <w:r>
        <w:rPr>
          <w:rStyle w:val="default"/>
          <w:rFonts w:cs="FrankRuehl"/>
          <w:rtl/>
        </w:rPr>
        <w:t>–</w:t>
      </w:r>
      <w:r>
        <w:rPr>
          <w:rStyle w:val="default"/>
          <w:rFonts w:cs="FrankRuehl" w:hint="cs"/>
          <w:rtl/>
        </w:rPr>
        <w:t xml:space="preserve"> מי שהמפקיד מינה לעיין בחומר מוגבל לצורך מילוי תפקידו של המפקיד.</w:t>
      </w:r>
    </w:p>
    <w:p w:rsidR="000A51DD" w:rsidRDefault="000A51DD" w:rsidP="00A601D9">
      <w:pPr>
        <w:pStyle w:val="P00"/>
        <w:spacing w:before="72"/>
        <w:ind w:left="0" w:right="1134"/>
        <w:rPr>
          <w:rStyle w:val="default"/>
          <w:rFonts w:cs="FrankRuehl" w:hint="cs"/>
          <w:rtl/>
        </w:rPr>
      </w:pPr>
      <w:bookmarkStart w:id="1" w:name="Seif2"/>
      <w:bookmarkEnd w:id="1"/>
      <w:r>
        <w:rPr>
          <w:rFonts w:cs="Miriam"/>
          <w:lang w:val="he-IL"/>
        </w:rPr>
        <w:pict>
          <v:rect id="_x0000_s2274" style="position:absolute;left:0;text-align:left;margin-left:464.35pt;margin-top:7.1pt;width:75.05pt;height:15.65pt;z-index:251649536" o:allowincell="f" filled="f" stroked="f" strokecolor="lime" strokeweight=".25pt">
            <v:textbox style="mso-next-textbox:#_x0000_s2274" inset="0,0,0,0">
              <w:txbxContent>
                <w:p w:rsidR="009D6B1B" w:rsidRDefault="009D6B1B">
                  <w:pPr>
                    <w:spacing w:line="160" w:lineRule="exact"/>
                    <w:rPr>
                      <w:rFonts w:cs="Miriam" w:hint="cs"/>
                      <w:noProof/>
                      <w:sz w:val="18"/>
                      <w:szCs w:val="18"/>
                      <w:rtl/>
                    </w:rPr>
                  </w:pPr>
                  <w:r>
                    <w:rPr>
                      <w:rFonts w:cs="Miriam" w:hint="cs"/>
                      <w:sz w:val="18"/>
                      <w:szCs w:val="18"/>
                      <w:rtl/>
                    </w:rPr>
                    <w:t>סדרי בקשה לעיון בחומר ארכיוני</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A601D9">
        <w:rPr>
          <w:rStyle w:val="default"/>
          <w:rFonts w:cs="FrankRuehl" w:hint="cs"/>
          <w:rtl/>
        </w:rPr>
        <w:t xml:space="preserve">הרוצה לעיין בחומר ארכיוני (להלן </w:t>
      </w:r>
      <w:r w:rsidR="00A601D9">
        <w:rPr>
          <w:rStyle w:val="default"/>
          <w:rFonts w:cs="FrankRuehl"/>
          <w:rtl/>
        </w:rPr>
        <w:t>–</w:t>
      </w:r>
      <w:r w:rsidR="00A601D9">
        <w:rPr>
          <w:rStyle w:val="default"/>
          <w:rFonts w:cs="FrankRuehl" w:hint="cs"/>
          <w:rtl/>
        </w:rPr>
        <w:t xml:space="preserve"> חומר) המופקד בגנזך, יגיש לגנז בקשה בכתב, ויפרט בה את פרטי החומר המבוקש לעיון.</w:t>
      </w:r>
    </w:p>
    <w:p w:rsidR="00364D76" w:rsidRDefault="00364D76" w:rsidP="00A601D9">
      <w:pPr>
        <w:pStyle w:val="P00"/>
        <w:spacing w:before="72"/>
        <w:ind w:left="0" w:right="1134"/>
        <w:rPr>
          <w:rStyle w:val="default"/>
          <w:rFonts w:cs="FrankRuehl" w:hint="cs"/>
          <w:rtl/>
        </w:rPr>
      </w:pPr>
      <w:bookmarkStart w:id="2" w:name="Seif3"/>
      <w:bookmarkEnd w:id="2"/>
      <w:r>
        <w:rPr>
          <w:rFonts w:cs="Miriam"/>
          <w:lang w:val="he-IL"/>
        </w:rPr>
        <w:pict>
          <v:rect id="_x0000_s2445" style="position:absolute;left:0;text-align:left;margin-left:464.35pt;margin-top:7.1pt;width:75.05pt;height:13.9pt;z-index:251650560" o:allowincell="f" filled="f" stroked="f" strokecolor="lime" strokeweight=".25pt">
            <v:textbox style="mso-next-textbox:#_x0000_s2445" inset="0,0,0,0">
              <w:txbxContent>
                <w:p w:rsidR="009D6B1B" w:rsidRDefault="009D6B1B" w:rsidP="00364D76">
                  <w:pPr>
                    <w:spacing w:line="160" w:lineRule="exact"/>
                    <w:rPr>
                      <w:rFonts w:cs="Miriam" w:hint="cs"/>
                      <w:noProof/>
                      <w:sz w:val="18"/>
                      <w:szCs w:val="18"/>
                      <w:rtl/>
                    </w:rPr>
                  </w:pPr>
                  <w:r>
                    <w:rPr>
                      <w:rFonts w:cs="Miriam" w:hint="cs"/>
                      <w:sz w:val="18"/>
                      <w:szCs w:val="18"/>
                      <w:rtl/>
                    </w:rPr>
                    <w:t>העיון בחומר ארכיוני</w:t>
                  </w:r>
                </w:p>
              </w:txbxContent>
            </v:textbox>
            <w10:anchorlock/>
          </v:rect>
        </w:pict>
      </w:r>
      <w:r w:rsidR="00875A0E">
        <w:rPr>
          <w:rStyle w:val="big-number"/>
          <w:rFonts w:cs="Miriam" w:hint="cs"/>
          <w:rtl/>
        </w:rPr>
        <w:t>3</w:t>
      </w:r>
      <w:r>
        <w:rPr>
          <w:rStyle w:val="big-number"/>
          <w:rFonts w:cs="FrankRuehl"/>
          <w:sz w:val="26"/>
          <w:szCs w:val="26"/>
          <w:rtl/>
        </w:rPr>
        <w:t>.</w:t>
      </w:r>
      <w:r>
        <w:rPr>
          <w:rStyle w:val="big-number"/>
          <w:rFonts w:cs="FrankRuehl"/>
          <w:sz w:val="26"/>
          <w:szCs w:val="26"/>
          <w:rtl/>
        </w:rPr>
        <w:tab/>
      </w:r>
      <w:r w:rsidR="00A601D9">
        <w:rPr>
          <w:rStyle w:val="default"/>
          <w:rFonts w:cs="FrankRuehl" w:hint="cs"/>
          <w:rtl/>
        </w:rPr>
        <w:t>כל אדם רשאי לעיין בחומר בגנזך בשעות העבודה הנהוגות בו.</w:t>
      </w:r>
    </w:p>
    <w:p w:rsidR="00364D76" w:rsidRDefault="00364D76" w:rsidP="00A601D9">
      <w:pPr>
        <w:pStyle w:val="P00"/>
        <w:spacing w:before="72"/>
        <w:ind w:left="0" w:right="1134"/>
        <w:rPr>
          <w:rStyle w:val="default"/>
          <w:rFonts w:cs="FrankRuehl" w:hint="cs"/>
          <w:rtl/>
        </w:rPr>
      </w:pPr>
      <w:bookmarkStart w:id="3" w:name="Seif4"/>
      <w:bookmarkEnd w:id="3"/>
      <w:r>
        <w:rPr>
          <w:rFonts w:cs="Miriam"/>
          <w:lang w:val="he-IL"/>
        </w:rPr>
        <w:pict>
          <v:rect id="_x0000_s2446" style="position:absolute;left:0;text-align:left;margin-left:464.35pt;margin-top:7.1pt;width:75.05pt;height:21pt;z-index:251651584" o:allowincell="f" filled="f" stroked="f" strokecolor="lime" strokeweight=".25pt">
            <v:textbox style="mso-next-textbox:#_x0000_s2446" inset="0,0,0,0">
              <w:txbxContent>
                <w:p w:rsidR="009D6B1B" w:rsidRDefault="009D6B1B" w:rsidP="00364D76">
                  <w:pPr>
                    <w:spacing w:line="160" w:lineRule="exact"/>
                    <w:rPr>
                      <w:rFonts w:cs="Miriam" w:hint="cs"/>
                      <w:noProof/>
                      <w:sz w:val="18"/>
                      <w:szCs w:val="18"/>
                      <w:rtl/>
                    </w:rPr>
                  </w:pPr>
                  <w:r>
                    <w:rPr>
                      <w:rFonts w:cs="Miriam" w:hint="cs"/>
                      <w:sz w:val="18"/>
                      <w:szCs w:val="18"/>
                      <w:rtl/>
                    </w:rPr>
                    <w:t>שמירה על החומר הארכיוני</w:t>
                  </w:r>
                </w:p>
              </w:txbxContent>
            </v:textbox>
            <w10:anchorlock/>
          </v:rect>
        </w:pict>
      </w:r>
      <w:r w:rsidR="0056763E">
        <w:rPr>
          <w:rStyle w:val="big-number"/>
          <w:rFonts w:cs="Miriam" w:hint="cs"/>
          <w:rtl/>
        </w:rPr>
        <w:t>4</w:t>
      </w:r>
      <w:r>
        <w:rPr>
          <w:rStyle w:val="big-number"/>
          <w:rFonts w:cs="FrankRuehl"/>
          <w:sz w:val="26"/>
          <w:szCs w:val="26"/>
          <w:rtl/>
        </w:rPr>
        <w:t>.</w:t>
      </w:r>
      <w:r>
        <w:rPr>
          <w:rStyle w:val="big-number"/>
          <w:rFonts w:cs="FrankRuehl"/>
          <w:sz w:val="26"/>
          <w:szCs w:val="26"/>
          <w:rtl/>
        </w:rPr>
        <w:tab/>
      </w:r>
      <w:r w:rsidR="00A601D9">
        <w:rPr>
          <w:rStyle w:val="default"/>
          <w:rFonts w:cs="FrankRuehl" w:hint="cs"/>
          <w:rtl/>
        </w:rPr>
        <w:t xml:space="preserve">המעיין בחומר המופקד בגנזך </w:t>
      </w:r>
      <w:r w:rsidR="00A601D9">
        <w:rPr>
          <w:rStyle w:val="default"/>
          <w:rFonts w:cs="FrankRuehl"/>
          <w:rtl/>
        </w:rPr>
        <w:t>–</w:t>
      </w:r>
    </w:p>
    <w:p w:rsidR="00A601D9" w:rsidRDefault="00A601D9" w:rsidP="00A601D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 יגרום פגיעה כלשהי בחומר;</w:t>
      </w:r>
    </w:p>
    <w:p w:rsidR="00A601D9" w:rsidRDefault="00A601D9" w:rsidP="00A601D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 ישנה את סדר החומר;</w:t>
      </w:r>
    </w:p>
    <w:p w:rsidR="00A601D9" w:rsidRDefault="00A601D9" w:rsidP="00A601D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לא ירשום או ימחק דבר, או יכניס שינוי בחומר, לרבות על גבי אמצעי החיפוש המתייחסים אליו ואמצעי האחסון שבהם הוא שמור;</w:t>
      </w:r>
    </w:p>
    <w:p w:rsidR="00A601D9" w:rsidRDefault="00A601D9" w:rsidP="00A601D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לא יכניס לתוך תיק, תיקייה או כל אמצעי אחסון אחר של חומר כל דבר אחר או נוסף שלא היה בו;</w:t>
      </w:r>
    </w:p>
    <w:p w:rsidR="00A601D9" w:rsidRDefault="00A601D9" w:rsidP="00A601D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לא יוציא את החומר מרשות הגנזך ולא יוציא מתוך החומר כל חלק ממנו.</w:t>
      </w:r>
    </w:p>
    <w:p w:rsidR="00364D76" w:rsidRDefault="00364D76" w:rsidP="00A601D9">
      <w:pPr>
        <w:pStyle w:val="P00"/>
        <w:spacing w:before="72"/>
        <w:ind w:left="0" w:right="1134"/>
        <w:rPr>
          <w:rStyle w:val="default"/>
          <w:rFonts w:cs="FrankRuehl" w:hint="cs"/>
          <w:rtl/>
        </w:rPr>
      </w:pPr>
      <w:bookmarkStart w:id="4" w:name="Seif5"/>
      <w:bookmarkEnd w:id="4"/>
      <w:r>
        <w:rPr>
          <w:rFonts w:cs="Miriam"/>
          <w:lang w:val="he-IL"/>
        </w:rPr>
        <w:pict>
          <v:rect id="_x0000_s2447" style="position:absolute;left:0;text-align:left;margin-left:464.35pt;margin-top:7.1pt;width:75.05pt;height:9.05pt;z-index:251652608" o:allowincell="f" filled="f" stroked="f" strokecolor="lime" strokeweight=".25pt">
            <v:textbox style="mso-next-textbox:#_x0000_s2447" inset="0,0,0,0">
              <w:txbxContent>
                <w:p w:rsidR="009D6B1B" w:rsidRDefault="009D6B1B" w:rsidP="00364D76">
                  <w:pPr>
                    <w:spacing w:line="160" w:lineRule="exact"/>
                    <w:rPr>
                      <w:rFonts w:cs="Miriam" w:hint="cs"/>
                      <w:noProof/>
                      <w:sz w:val="18"/>
                      <w:szCs w:val="18"/>
                      <w:rtl/>
                    </w:rPr>
                  </w:pPr>
                  <w:r>
                    <w:rPr>
                      <w:rFonts w:cs="Miriam" w:hint="cs"/>
                      <w:sz w:val="18"/>
                      <w:szCs w:val="18"/>
                      <w:rtl/>
                    </w:rPr>
                    <w:t>סדרים מיוחדים</w:t>
                  </w:r>
                </w:p>
              </w:txbxContent>
            </v:textbox>
            <w10:anchorlock/>
          </v:rect>
        </w:pict>
      </w:r>
      <w:r w:rsidR="0046418D">
        <w:rPr>
          <w:rStyle w:val="big-number"/>
          <w:rFonts w:cs="Miriam" w:hint="cs"/>
          <w:rtl/>
        </w:rPr>
        <w:t>5</w:t>
      </w:r>
      <w:r>
        <w:rPr>
          <w:rStyle w:val="big-number"/>
          <w:rFonts w:cs="FrankRuehl"/>
          <w:sz w:val="26"/>
          <w:szCs w:val="26"/>
          <w:rtl/>
        </w:rPr>
        <w:t>.</w:t>
      </w:r>
      <w:r>
        <w:rPr>
          <w:rStyle w:val="big-number"/>
          <w:rFonts w:cs="FrankRuehl"/>
          <w:sz w:val="26"/>
          <w:szCs w:val="26"/>
          <w:rtl/>
        </w:rPr>
        <w:tab/>
      </w:r>
      <w:r w:rsidR="00A601D9">
        <w:rPr>
          <w:rStyle w:val="default"/>
          <w:rFonts w:cs="FrankRuehl" w:hint="cs"/>
          <w:rtl/>
        </w:rPr>
        <w:t>(א)</w:t>
      </w:r>
      <w:r w:rsidR="00A601D9">
        <w:rPr>
          <w:rStyle w:val="default"/>
          <w:rFonts w:cs="FrankRuehl" w:hint="cs"/>
          <w:rtl/>
        </w:rPr>
        <w:tab/>
        <w:t>הגנז רשאי להורות על סדרי עיון מיוחדים לגבי חומר אשר העיון בו עלול לגרום לחומר נזק</w:t>
      </w:r>
      <w:r w:rsidR="0046418D">
        <w:rPr>
          <w:rStyle w:val="default"/>
          <w:rFonts w:cs="FrankRuehl" w:hint="cs"/>
          <w:rtl/>
        </w:rPr>
        <w:t>.</w:t>
      </w:r>
    </w:p>
    <w:p w:rsidR="00A601D9" w:rsidRDefault="00A601D9" w:rsidP="00A601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במקום החומר המקורי רשאי הגנז להעמיד העתק מן החומר לעיון הקהל, בגנזך או בכל מקום אחר, אם ראה צורך בכך, ובלבד שהעתק זה יהיה קריא.</w:t>
      </w:r>
    </w:p>
    <w:p w:rsidR="00364D76" w:rsidRDefault="00364D76" w:rsidP="00A601D9">
      <w:pPr>
        <w:pStyle w:val="P00"/>
        <w:spacing w:before="72"/>
        <w:ind w:left="0" w:right="1134"/>
        <w:rPr>
          <w:rStyle w:val="default"/>
          <w:rFonts w:cs="FrankRuehl" w:hint="cs"/>
          <w:rtl/>
        </w:rPr>
      </w:pPr>
      <w:bookmarkStart w:id="5" w:name="Seif6"/>
      <w:bookmarkEnd w:id="5"/>
      <w:r>
        <w:rPr>
          <w:rFonts w:cs="Miriam"/>
          <w:lang w:val="he-IL"/>
        </w:rPr>
        <w:pict>
          <v:rect id="_x0000_s2448" style="position:absolute;left:0;text-align:left;margin-left:464.35pt;margin-top:7.1pt;width:75.05pt;height:9.55pt;z-index:251653632" o:allowincell="f" filled="f" stroked="f" strokecolor="lime" strokeweight=".25pt">
            <v:textbox style="mso-next-textbox:#_x0000_s2448" inset="0,0,0,0">
              <w:txbxContent>
                <w:p w:rsidR="009D6B1B" w:rsidRDefault="009D6B1B" w:rsidP="00364D76">
                  <w:pPr>
                    <w:spacing w:line="160" w:lineRule="exact"/>
                    <w:rPr>
                      <w:rFonts w:cs="Miriam" w:hint="cs"/>
                      <w:noProof/>
                      <w:sz w:val="18"/>
                      <w:szCs w:val="18"/>
                      <w:rtl/>
                    </w:rPr>
                  </w:pPr>
                  <w:r>
                    <w:rPr>
                      <w:rFonts w:cs="Miriam" w:hint="cs"/>
                      <w:sz w:val="18"/>
                      <w:szCs w:val="18"/>
                      <w:rtl/>
                    </w:rPr>
                    <w:t>דחיית מועד העיון</w:t>
                  </w:r>
                </w:p>
              </w:txbxContent>
            </v:textbox>
            <w10:anchorlock/>
          </v:rect>
        </w:pict>
      </w:r>
      <w:r w:rsidR="0046418D">
        <w:rPr>
          <w:rStyle w:val="big-number"/>
          <w:rFonts w:cs="Miriam" w:hint="cs"/>
          <w:rtl/>
        </w:rPr>
        <w:t>6</w:t>
      </w:r>
      <w:r>
        <w:rPr>
          <w:rStyle w:val="big-number"/>
          <w:rFonts w:cs="FrankRuehl"/>
          <w:sz w:val="26"/>
          <w:szCs w:val="26"/>
          <w:rtl/>
        </w:rPr>
        <w:t>.</w:t>
      </w:r>
      <w:r>
        <w:rPr>
          <w:rStyle w:val="big-number"/>
          <w:rFonts w:cs="FrankRuehl"/>
          <w:sz w:val="26"/>
          <w:szCs w:val="26"/>
          <w:rtl/>
        </w:rPr>
        <w:tab/>
      </w:r>
      <w:r w:rsidR="00A601D9">
        <w:rPr>
          <w:rStyle w:val="default"/>
          <w:rFonts w:cs="FrankRuehl" w:hint="cs"/>
          <w:rtl/>
        </w:rPr>
        <w:t>הגנז רשאי לדחות את מועד העיון בחומר, למשך זמן סביר בנסיבות העניין, במקרים אלה:</w:t>
      </w:r>
    </w:p>
    <w:p w:rsidR="00A601D9" w:rsidRDefault="00A601D9" w:rsidP="00A601D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החומר נמסר אותה שעה לעיונם של אחרים; ואולם לא יידחה מועד העיון בחומר מטעם זה לתקופה ארוכה מן הסביר בהתחשב בהיקף החומר ומאפייניו הייחודיים;</w:t>
      </w:r>
    </w:p>
    <w:p w:rsidR="00A601D9" w:rsidRDefault="00A601D9" w:rsidP="00A601D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אין גישה לחומר מסיבות טכניות, לרבות מן הטעם שהחומר טרם סודר ונרשם, או מן הטעם שמצבו הפיזי של החומר אינו מאפשר את העמדתו לעיון;</w:t>
      </w:r>
    </w:p>
    <w:p w:rsidR="00A601D9" w:rsidRDefault="00A601D9" w:rsidP="00A601D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החומר דרוש אותה שעה לעבודתו הפנימית של הגנזך או של מפקיד החומר;</w:t>
      </w:r>
    </w:p>
    <w:p w:rsidR="00A601D9" w:rsidRDefault="00A601D9" w:rsidP="00A601D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חומר אשר טרם הועמדו האמצעים הטכנולוגיים הנדרשים לצורך העמדתו לעיון.</w:t>
      </w:r>
    </w:p>
    <w:p w:rsidR="00364D76" w:rsidRDefault="00364D76" w:rsidP="00D14C5D">
      <w:pPr>
        <w:pStyle w:val="P00"/>
        <w:spacing w:before="72"/>
        <w:ind w:left="0" w:right="1134"/>
        <w:rPr>
          <w:rStyle w:val="default"/>
          <w:rFonts w:cs="FrankRuehl" w:hint="cs"/>
          <w:rtl/>
        </w:rPr>
      </w:pPr>
      <w:bookmarkStart w:id="6" w:name="Seif7"/>
      <w:bookmarkEnd w:id="6"/>
      <w:r>
        <w:rPr>
          <w:rFonts w:cs="Miriam"/>
          <w:lang w:val="he-IL"/>
        </w:rPr>
        <w:lastRenderedPageBreak/>
        <w:pict>
          <v:rect id="_x0000_s2449" style="position:absolute;left:0;text-align:left;margin-left:464.35pt;margin-top:7.1pt;width:75.05pt;height:23.25pt;z-index:251654656" o:allowincell="f" filled="f" stroked="f" strokecolor="lime" strokeweight=".25pt">
            <v:textbox style="mso-next-textbox:#_x0000_s2449" inset="0,0,0,0">
              <w:txbxContent>
                <w:p w:rsidR="009D6B1B" w:rsidRDefault="009D6B1B" w:rsidP="00364D76">
                  <w:pPr>
                    <w:spacing w:line="160" w:lineRule="exact"/>
                    <w:rPr>
                      <w:rFonts w:cs="Miriam" w:hint="cs"/>
                      <w:noProof/>
                      <w:sz w:val="18"/>
                      <w:szCs w:val="18"/>
                      <w:rtl/>
                    </w:rPr>
                  </w:pPr>
                  <w:r>
                    <w:rPr>
                      <w:rFonts w:cs="Miriam" w:hint="cs"/>
                      <w:sz w:val="18"/>
                      <w:szCs w:val="18"/>
                      <w:rtl/>
                    </w:rPr>
                    <w:t>עיון בתנאים לגבי פרסום והעתקה</w:t>
                  </w:r>
                </w:p>
              </w:txbxContent>
            </v:textbox>
            <w10:anchorlock/>
          </v:rect>
        </w:pict>
      </w:r>
      <w:r w:rsidR="0046418D">
        <w:rPr>
          <w:rStyle w:val="big-number"/>
          <w:rFonts w:cs="Miriam" w:hint="cs"/>
          <w:rtl/>
        </w:rPr>
        <w:t>7</w:t>
      </w:r>
      <w:r>
        <w:rPr>
          <w:rStyle w:val="big-number"/>
          <w:rFonts w:cs="FrankRuehl"/>
          <w:sz w:val="26"/>
          <w:szCs w:val="26"/>
          <w:rtl/>
        </w:rPr>
        <w:t>.</w:t>
      </w:r>
      <w:r>
        <w:rPr>
          <w:rStyle w:val="big-number"/>
          <w:rFonts w:cs="FrankRuehl"/>
          <w:sz w:val="26"/>
          <w:szCs w:val="26"/>
          <w:rtl/>
        </w:rPr>
        <w:tab/>
      </w:r>
      <w:r w:rsidR="00D14C5D">
        <w:rPr>
          <w:rStyle w:val="default"/>
          <w:rFonts w:cs="FrankRuehl" w:hint="cs"/>
          <w:rtl/>
        </w:rPr>
        <w:t>(א)</w:t>
      </w:r>
      <w:r w:rsidR="00D14C5D">
        <w:rPr>
          <w:rStyle w:val="default"/>
          <w:rFonts w:cs="FrankRuehl" w:hint="cs"/>
          <w:rtl/>
        </w:rPr>
        <w:tab/>
        <w:t>היה העיון בחומר מותנה בתנאים לגבי השימוש בו, העתקתו, פרסומו, כולו או חלקו, או כל טיפול אחר בו על ידי מעיין, יודיע הגנז למעיין כי החומר הארכיוני נמסר לעיון בכפוף לתנאים ויפרטם.</w:t>
      </w:r>
    </w:p>
    <w:p w:rsidR="00D14C5D" w:rsidRDefault="00D14C5D" w:rsidP="00D14C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במתן רשות העיון על ידי הגנז לפי תקנה זו כדי לפגוע בזכותו של אדם או כדי לגרוע מחובתו של אדם לפי כל דין אחר.</w:t>
      </w:r>
    </w:p>
    <w:p w:rsidR="00364D76" w:rsidRDefault="00364D76" w:rsidP="00D14C5D">
      <w:pPr>
        <w:pStyle w:val="P00"/>
        <w:spacing w:before="72"/>
        <w:ind w:left="0" w:right="1134"/>
        <w:rPr>
          <w:rStyle w:val="default"/>
          <w:rFonts w:cs="FrankRuehl" w:hint="cs"/>
          <w:rtl/>
        </w:rPr>
      </w:pPr>
      <w:bookmarkStart w:id="7" w:name="Seif8"/>
      <w:bookmarkEnd w:id="7"/>
      <w:r>
        <w:rPr>
          <w:rFonts w:cs="Miriam"/>
          <w:lang w:val="he-IL"/>
        </w:rPr>
        <w:pict>
          <v:rect id="_x0000_s2450" style="position:absolute;left:0;text-align:left;margin-left:464.35pt;margin-top:7.1pt;width:75.05pt;height:13.35pt;z-index:251655680" o:allowincell="f" filled="f" stroked="f" strokecolor="lime" strokeweight=".25pt">
            <v:textbox style="mso-next-textbox:#_x0000_s2450" inset="0,0,0,0">
              <w:txbxContent>
                <w:p w:rsidR="009D6B1B" w:rsidRDefault="009D6B1B" w:rsidP="00364D76">
                  <w:pPr>
                    <w:spacing w:line="160" w:lineRule="exact"/>
                    <w:rPr>
                      <w:rFonts w:cs="Miriam" w:hint="cs"/>
                      <w:noProof/>
                      <w:sz w:val="18"/>
                      <w:szCs w:val="18"/>
                      <w:rtl/>
                    </w:rPr>
                  </w:pPr>
                  <w:r>
                    <w:rPr>
                      <w:rFonts w:cs="Miriam" w:hint="cs"/>
                      <w:sz w:val="18"/>
                      <w:szCs w:val="18"/>
                      <w:rtl/>
                    </w:rPr>
                    <w:t>חומר מוגבל וחשיפה</w:t>
                  </w:r>
                </w:p>
              </w:txbxContent>
            </v:textbox>
            <w10:anchorlock/>
          </v:rect>
        </w:pict>
      </w:r>
      <w:r w:rsidR="00743873">
        <w:rPr>
          <w:rStyle w:val="big-number"/>
          <w:rFonts w:cs="Miriam" w:hint="cs"/>
          <w:rtl/>
        </w:rPr>
        <w:t>8</w:t>
      </w:r>
      <w:r>
        <w:rPr>
          <w:rStyle w:val="big-number"/>
          <w:rFonts w:cs="FrankRuehl"/>
          <w:sz w:val="26"/>
          <w:szCs w:val="26"/>
          <w:rtl/>
        </w:rPr>
        <w:t>.</w:t>
      </w:r>
      <w:r>
        <w:rPr>
          <w:rStyle w:val="big-number"/>
          <w:rFonts w:cs="FrankRuehl"/>
          <w:sz w:val="26"/>
          <w:szCs w:val="26"/>
          <w:rtl/>
        </w:rPr>
        <w:tab/>
      </w:r>
      <w:r w:rsidR="00D14C5D">
        <w:rPr>
          <w:rStyle w:val="default"/>
          <w:rFonts w:cs="FrankRuehl" w:hint="cs"/>
          <w:rtl/>
        </w:rPr>
        <w:t>(א)</w:t>
      </w:r>
      <w:r w:rsidR="00D14C5D">
        <w:rPr>
          <w:rStyle w:val="default"/>
          <w:rFonts w:cs="FrankRuehl" w:hint="cs"/>
          <w:rtl/>
        </w:rPr>
        <w:tab/>
        <w:t>חשיפת חומר מוגבל, לפי הסוג שצוין בטור א' לתוספת הראשונה, לעיון הקהל, יעשה המפקיד, בהתייעצות עם הגנז, בתום התקופה הנקובה בטור ב' בתוספת הראשונה או בתום תקופת קצרה יותר שעליה יחליט המפקיד בהתייעצות עם הגנז, ביוזמתו או על פי בקשת מבקש בהתאם לתקנה 9; בכל מקרה לא תהיה חשיפה של חומר מוגבל לעיון הקהל בטרם עבר בדיקה, אף אם התקופה הנקובה בתוספת הראשונה חלפה.</w:t>
      </w:r>
    </w:p>
    <w:p w:rsidR="00D14C5D" w:rsidRDefault="00D14C5D" w:rsidP="00D14C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36312">
        <w:rPr>
          <w:rStyle w:val="default"/>
          <w:rFonts w:cs="FrankRuehl" w:hint="cs"/>
          <w:rtl/>
        </w:rPr>
        <w:t>המפקיד לא יחשוף חומר מוגבל אשר בבדיקה שבוצעה בו בטרם חלפה תקופת ההגבלה הקבועה בתוספת הראשונה ביחס אליו, נמצא שהוא אחד מאלה:</w:t>
      </w:r>
    </w:p>
    <w:p w:rsidR="00336312" w:rsidRDefault="00336312" w:rsidP="0033631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חומר מוגבל אשר בחשיפתו יש חשש לפגיעה בביטחון המדינה, ביחסי החוץ שלה, בביטחון הציבור או בביטחונו או בשלומו של אדם;</w:t>
      </w:r>
    </w:p>
    <w:p w:rsidR="00336312" w:rsidRDefault="00336312" w:rsidP="0033631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חומר מוגבל אשר חשיפתו מהווה פגיעה בפרטיות, כמשמעותה בחוק הגנת הפרטיות, התשמ"א-1981 (להלן </w:t>
      </w:r>
      <w:r>
        <w:rPr>
          <w:rStyle w:val="default"/>
          <w:rFonts w:cs="FrankRuehl"/>
          <w:rtl/>
        </w:rPr>
        <w:t>–</w:t>
      </w:r>
      <w:r>
        <w:rPr>
          <w:rStyle w:val="default"/>
          <w:rFonts w:cs="FrankRuehl" w:hint="cs"/>
          <w:rtl/>
        </w:rPr>
        <w:t xml:space="preserve"> חוק הגנת הפרטיות), אלא אם כן הגילוי מותר על פי דין.</w:t>
      </w:r>
    </w:p>
    <w:p w:rsidR="00336312" w:rsidRDefault="00336312" w:rsidP="00D14C5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3D5D75">
        <w:rPr>
          <w:rStyle w:val="default"/>
          <w:rFonts w:cs="FrankRuehl" w:hint="cs"/>
          <w:rtl/>
        </w:rPr>
        <w:t>המפקיד רשאי שלא לחשוף חומר מוגבל אשר בבדיקה שבוצעה בו בטרם חלפה תקופת ההגבלה הקבועה בתוספת הראשונה ביחס אליו, נמצא שהוא אחד מאלה:</w:t>
      </w:r>
    </w:p>
    <w:p w:rsidR="003D5D75" w:rsidRDefault="003D5D75" w:rsidP="003D5D7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חומר מוגבל שהוא סוג מסחרי או סוג מקצועי או שהוא בעל ערך כלכלי שפרסומו עלול לפגוע פגיעה ממשית בערכו, וכן חומר מוגבל הנוגע לעניינים מסחריים או מקצועיים הקשורים לעסקיו של אדם, שגילויו עלול לפגוע פגיעה ממשית באינטרס מקצועי, מסחרי או כלכלי;</w:t>
      </w:r>
    </w:p>
    <w:p w:rsidR="003D5D75" w:rsidRDefault="003D5D75" w:rsidP="003D5D7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חומר מוגבל שיש בגילויו פגיעה בצנעת הפרט של אדם שנפטר.</w:t>
      </w:r>
    </w:p>
    <w:p w:rsidR="003D5D75" w:rsidRDefault="003D5D75" w:rsidP="0016753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16753E">
        <w:rPr>
          <w:rStyle w:val="default"/>
          <w:rFonts w:cs="FrankRuehl" w:hint="cs"/>
          <w:rtl/>
        </w:rPr>
        <w:t>מצא המפקיד כי אין לחשוף חומר מוגבל בהתאם לתקנת משנה (ב) או החליט שלא לחשוף חומר מוגבל לעיון הקהל בהתאם לתקנת משנה (ג), ותמה תקופת ההגבלה הקבועה בתוספתה ראשונה ביחס לאותו חומר מוגבל, יפנה המפקיד לגנז בבקשה שיפעיל את סמכותו לפי סעיף 10(ג) לחוק בנוגע לאותו חומר מוגבל.</w:t>
      </w:r>
    </w:p>
    <w:p w:rsidR="0016753E" w:rsidRDefault="0016753E" w:rsidP="0016753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מפקיד המפורט בתוספת השנייה או לפיה יכין, בהתייעצות עם הגנז, נוהל מיוחד לחשיפת חומר ארכיוני מסוים, בחלוף 50 שנה; הוראות הנוהל יתייחסו, בין השאר, לסוגי החומר הארכיוני שייחשפו בשים לב לעניין ההיסטורי, המחקרי והציבורי בחומר ובהתחשב בבקשות שיתקבלו בדבר עיון בחומר.</w:t>
      </w:r>
    </w:p>
    <w:p w:rsidR="0016753E" w:rsidRDefault="0016753E" w:rsidP="0016753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הוראות תקנה זו לא יחולו על חומר </w:t>
      </w:r>
      <w:r>
        <w:rPr>
          <w:rStyle w:val="default"/>
          <w:rFonts w:cs="FrankRuehl"/>
          <w:rtl/>
        </w:rPr>
        <w:t>–</w:t>
      </w:r>
    </w:p>
    <w:p w:rsidR="0016753E" w:rsidRDefault="0016753E" w:rsidP="0016753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מוגבל שפורסם לרבים על פי סמכות כדין או שהועמד לעיון הרבים לפי סמכות כדין;</w:t>
      </w:r>
    </w:p>
    <w:p w:rsidR="0016753E" w:rsidRDefault="0016753E" w:rsidP="0016753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שהמבקש לעיין בו הוא נציג.</w:t>
      </w:r>
    </w:p>
    <w:p w:rsidR="00364D76" w:rsidRDefault="00364D76" w:rsidP="0016753E">
      <w:pPr>
        <w:pStyle w:val="P00"/>
        <w:spacing w:before="72"/>
        <w:ind w:left="0" w:right="1134"/>
        <w:rPr>
          <w:rStyle w:val="default"/>
          <w:rFonts w:cs="FrankRuehl" w:hint="cs"/>
          <w:rtl/>
        </w:rPr>
      </w:pPr>
      <w:bookmarkStart w:id="8" w:name="Seif9"/>
      <w:bookmarkEnd w:id="8"/>
      <w:r>
        <w:rPr>
          <w:rFonts w:cs="Miriam"/>
          <w:lang w:val="he-IL"/>
        </w:rPr>
        <w:pict>
          <v:rect id="_x0000_s2451" style="position:absolute;left:0;text-align:left;margin-left:464.35pt;margin-top:7.1pt;width:75.05pt;height:22.85pt;z-index:251656704" o:allowincell="f" filled="f" stroked="f" strokecolor="lime" strokeweight=".25pt">
            <v:textbox style="mso-next-textbox:#_x0000_s2451" inset="0,0,0,0">
              <w:txbxContent>
                <w:p w:rsidR="009D6B1B" w:rsidRDefault="009D6B1B" w:rsidP="00364D76">
                  <w:pPr>
                    <w:spacing w:line="160" w:lineRule="exact"/>
                    <w:rPr>
                      <w:rFonts w:cs="Miriam" w:hint="cs"/>
                      <w:noProof/>
                      <w:sz w:val="18"/>
                      <w:szCs w:val="18"/>
                      <w:rtl/>
                    </w:rPr>
                  </w:pPr>
                  <w:r>
                    <w:rPr>
                      <w:rFonts w:cs="Miriam" w:hint="cs"/>
                      <w:sz w:val="18"/>
                      <w:szCs w:val="18"/>
                      <w:rtl/>
                    </w:rPr>
                    <w:t>חשיפה לפי בקשת מבקש</w:t>
                  </w:r>
                </w:p>
              </w:txbxContent>
            </v:textbox>
            <w10:anchorlock/>
          </v:rect>
        </w:pict>
      </w:r>
      <w:r w:rsidR="00743873">
        <w:rPr>
          <w:rStyle w:val="big-number"/>
          <w:rFonts w:cs="Miriam" w:hint="cs"/>
          <w:rtl/>
        </w:rPr>
        <w:t>9</w:t>
      </w:r>
      <w:r>
        <w:rPr>
          <w:rStyle w:val="big-number"/>
          <w:rFonts w:cs="FrankRuehl"/>
          <w:sz w:val="26"/>
          <w:szCs w:val="26"/>
          <w:rtl/>
        </w:rPr>
        <w:t>.</w:t>
      </w:r>
      <w:r>
        <w:rPr>
          <w:rStyle w:val="big-number"/>
          <w:rFonts w:cs="FrankRuehl"/>
          <w:sz w:val="26"/>
          <w:szCs w:val="26"/>
          <w:rtl/>
        </w:rPr>
        <w:tab/>
      </w:r>
      <w:r w:rsidR="0016753E">
        <w:rPr>
          <w:rStyle w:val="default"/>
          <w:rFonts w:cs="FrankRuehl" w:hint="cs"/>
          <w:rtl/>
        </w:rPr>
        <w:t>(א)</w:t>
      </w:r>
      <w:r w:rsidR="0016753E">
        <w:rPr>
          <w:rStyle w:val="default"/>
          <w:rFonts w:cs="FrankRuehl" w:hint="cs"/>
          <w:rtl/>
        </w:rPr>
        <w:tab/>
        <w:t>המפקיד, בהתייעצות עם הגנז, רשאי לחשוף חומר מוגבל, שטרם עברה עליו התקופה הנקובה בטור ב' לתוספת הראשונה, על פי בקשת מבקש.</w:t>
      </w:r>
    </w:p>
    <w:p w:rsidR="0016753E" w:rsidRDefault="0016753E" w:rsidP="0016753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המועדים הנוגעים להחלטה בבקשה כאמור בתקנת משנה (א) יחולו הוראות אלה:</w:t>
      </w:r>
    </w:p>
    <w:p w:rsidR="0016753E" w:rsidRDefault="0016753E" w:rsidP="005479C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5479CB">
        <w:rPr>
          <w:rStyle w:val="default"/>
          <w:rFonts w:cs="FrankRuehl" w:hint="cs"/>
          <w:rtl/>
        </w:rPr>
        <w:t>המפקיד יודיע למבקש על ההחלטה בבקשתו בתוך 45 ימים מיום קבלת הבקשה; המפקיד רשאי להאריך את התקופה האמורה, במקרה הצורך, ב-30 ימים נוספים, ובלבד שהודיע על כך למבקש בכתב, ונימק את הצורך בהארכת התקופה;</w:t>
      </w:r>
    </w:p>
    <w:p w:rsidR="005479CB" w:rsidRDefault="005479CB" w:rsidP="005479C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המפקיד רשאי להאריך את התקופה האמורה בפסקה (1) בהחלטה מנומקת אשר תישלח למבקש בתוך התקופה האמורה, אם בשל היקפו או מורכבותו של החומר המוגבל המבוקש יש צורך להאריך את התקופה; ההארכה הנוספת לא תעלה על התקופה המתחייבת מהטעמים האמורים, ובכל מקרה לא תעלה על 60 ימים;</w:t>
      </w:r>
    </w:p>
    <w:p w:rsidR="005479CB" w:rsidRDefault="005479CB" w:rsidP="005479C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החליט המפקיד להעמיד את החומר המוגבל לעיון, תבוצע ההחלטה בתוך זמן סביר בנסיבות העניין אך לא יאוחר מ-15 ימים, אלא אם כן קבע המפקיד כי יש לבצע את ההחלטה במועד מאוחר יותר, מטעמים מיוחדים.</w:t>
      </w:r>
    </w:p>
    <w:p w:rsidR="005479CB" w:rsidRDefault="005479CB" w:rsidP="0016753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9D425E">
        <w:rPr>
          <w:rStyle w:val="default"/>
          <w:rFonts w:cs="FrankRuehl" w:hint="cs"/>
          <w:rtl/>
        </w:rPr>
        <w:t>חומר שהועמד לעיונו של מבקש לפי תקנת משנה (א) יהיה חשוף לעיון הקהל; על אף האמור בתקנת משנה זו, הועמד חומר לעיונו של מבקש לפי תקנת משנה (ד), לא יהיה בכך בלבד כדי לחייב העמדתו לעיון הקהל.</w:t>
      </w:r>
    </w:p>
    <w:p w:rsidR="009D425E" w:rsidRDefault="009D425E" w:rsidP="009D425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המפקיד, בהתייעצות עם הגנז, רשאי לבצע חשיפה ולהעמיד לעיון מבקש חומר ארכיוני ומסמכים אישיים על אודות עצמו, אשר חשיפתם לציבור מהווה פגיעה בפרטיות, כמשמעותה בחוק הגנת הפרטיות; כמו כן, המפקיד, בהתייעצות עם הגנז, רשאי לבצע חשיפה ולהעמיד לעיון מבקש חומר ארכיוני ומסמכים אישיים של בן משפחתו שנפטר, אשר יש בחשיפתם לציבור פגיעה בצנעת הפרט של אדם שנפטר, ובלבד שהחומר לא ייחשף לעיון המבקש לשם פרסומו ברבים; בפסקה זו, "בן משפחה" </w:t>
      </w:r>
      <w:r>
        <w:rPr>
          <w:rStyle w:val="default"/>
          <w:rFonts w:cs="FrankRuehl"/>
          <w:rtl/>
        </w:rPr>
        <w:t>–</w:t>
      </w:r>
      <w:r>
        <w:rPr>
          <w:rStyle w:val="default"/>
          <w:rFonts w:cs="FrankRuehl" w:hint="cs"/>
          <w:rtl/>
        </w:rPr>
        <w:t xml:space="preserve"> בן זוג, צאצא, הורה או אח.</w:t>
      </w:r>
    </w:p>
    <w:p w:rsidR="009D425E" w:rsidRDefault="009D425E" w:rsidP="009D425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לעניין החלטה בבקשה כאמור בתקנת משנה (א) יחולו הוראות אלה:</w:t>
      </w:r>
    </w:p>
    <w:p w:rsidR="009D425E" w:rsidRDefault="009D425E" w:rsidP="009D425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במסגרת בחינה של בקשת מבקש לעיין בחומר מוגבל, כאמור בתקנת משנה (א), ישקול המפקיד, בין השאר, את השיקולים האלה:</w:t>
      </w:r>
    </w:p>
    <w:p w:rsidR="009D425E" w:rsidRDefault="009D425E" w:rsidP="009D425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העניין ההיסטורי, המחקרי והציבורי בחומר שחשיפתו התבקשה או עניינו האישי של המבקש בחומר זה;</w:t>
      </w:r>
    </w:p>
    <w:p w:rsidR="009D425E" w:rsidRDefault="009D425E" w:rsidP="009D425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משך הזמן שחלף ממועד יצירת החומר, והיחס בין פרק זמן זה לבין תקופת ההגבלה הקבועה לגבי החומר;</w:t>
      </w:r>
    </w:p>
    <w:p w:rsidR="009D425E" w:rsidRDefault="009D425E" w:rsidP="009D425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היקפו של החומר, מתוך החומר המוגבל שחשיפתו התבקשה, שקיימת מניעה להעמידו לעיון כיוון שהוא מהווה חומר מוגבל מן הסוגים המנויים בתקנה 8(ב) או (ג);</w:t>
      </w:r>
    </w:p>
    <w:p w:rsidR="009D425E" w:rsidRDefault="009D425E" w:rsidP="009626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4C535E">
        <w:rPr>
          <w:rStyle w:val="default"/>
          <w:rFonts w:cs="FrankRuehl" w:hint="cs"/>
          <w:rtl/>
        </w:rPr>
        <w:t>המפקיד רשאי לדחות בקשת מבקש, ככל שהטיפול בה מצריך הקצאת משאבים בלתי סבירה;</w:t>
      </w:r>
    </w:p>
    <w:p w:rsidR="004C535E" w:rsidRDefault="004C535E" w:rsidP="0096268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החליט המפקיד שלא לחשוף חומר מוגבל שהתבקשה חשיפתו על ידי מבקש, כאמור בתקנת משנה (א), אך ניתן לחשוף את החומר המוגבל, בלא הקצאת משאבים בלתי סבירה או הכבדה ניכרת על פעולתו של המפקיד, תוך השמטת פרטים, תוך עריכת שינויים או תוך התניית תנאים בדבר דרך קבלת החומר המוגבל והשימוש בו, ימסור המפקיד את החומר המוגבל בהשמטות, בשינויים או בתנאים המחויבים, לפי העניין; נעשו השמטות או שינויים כאמור, יציין זאת המפקיד, אלא אם כן אין לגלות עובדה זו, מהטעמים המפורטים בתקנה 8(ב)(1).</w:t>
      </w:r>
    </w:p>
    <w:p w:rsidR="00364D76" w:rsidRDefault="00364D76" w:rsidP="0096268F">
      <w:pPr>
        <w:pStyle w:val="P00"/>
        <w:spacing w:before="72"/>
        <w:ind w:left="0" w:right="1134"/>
        <w:rPr>
          <w:rStyle w:val="default"/>
          <w:rFonts w:cs="FrankRuehl" w:hint="cs"/>
          <w:rtl/>
        </w:rPr>
      </w:pPr>
      <w:bookmarkStart w:id="9" w:name="Seif10"/>
      <w:bookmarkEnd w:id="9"/>
      <w:r>
        <w:rPr>
          <w:rFonts w:cs="Miriam"/>
          <w:lang w:val="he-IL"/>
        </w:rPr>
        <w:pict>
          <v:rect id="_x0000_s2452" style="position:absolute;left:0;text-align:left;margin-left:464.35pt;margin-top:7.1pt;width:75.05pt;height:20.55pt;z-index:251657728" o:allowincell="f" filled="f" stroked="f" strokecolor="lime" strokeweight=".25pt">
            <v:textbox style="mso-next-textbox:#_x0000_s2452" inset="0,0,0,0">
              <w:txbxContent>
                <w:p w:rsidR="009D6B1B" w:rsidRDefault="009D6B1B" w:rsidP="00364D76">
                  <w:pPr>
                    <w:spacing w:line="160" w:lineRule="exact"/>
                    <w:rPr>
                      <w:rFonts w:cs="Miriam" w:hint="cs"/>
                      <w:noProof/>
                      <w:sz w:val="18"/>
                      <w:szCs w:val="18"/>
                      <w:rtl/>
                    </w:rPr>
                  </w:pPr>
                  <w:r>
                    <w:rPr>
                      <w:rFonts w:cs="Miriam" w:hint="cs"/>
                      <w:sz w:val="18"/>
                      <w:szCs w:val="18"/>
                      <w:rtl/>
                    </w:rPr>
                    <w:t>הטלת מגבלה על חומר שהועמד לעיון</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96268F">
        <w:rPr>
          <w:rStyle w:val="default"/>
          <w:rFonts w:cs="FrankRuehl" w:hint="cs"/>
          <w:rtl/>
        </w:rPr>
        <w:t>המפקיד, בהסכמת הגנז רשאי, מנימוקים שיירשמו, לחזור ולהגביל את עיון הקהל בחומר שנחשף לפני תום התקופה הנקובה בטור ב' לתוספת הראשונה, וזאת עד לתום התקופה הנקובה בתוספת הראשונה, בהתקיים אחד מאלה:</w:t>
      </w:r>
    </w:p>
    <w:p w:rsidR="0096268F" w:rsidRDefault="0096268F" w:rsidP="0096268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החשיפה הראשונה של החומר לעיון הקהל נעשתה על אף שהיה מקום שלא לחשוף את החומר בהתאם לתקנה 8(ב);</w:t>
      </w:r>
    </w:p>
    <w:p w:rsidR="0096268F" w:rsidRDefault="0096268F" w:rsidP="0096268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בשל שינוי נסיבות, המשך העמדת החומר לעיון הקהל עלול ליצור פגיעה כאמור בתקנה 8(ב).</w:t>
      </w:r>
    </w:p>
    <w:p w:rsidR="00364D76" w:rsidRDefault="00364D76" w:rsidP="004A523D">
      <w:pPr>
        <w:pStyle w:val="P00"/>
        <w:spacing w:before="72"/>
        <w:ind w:left="0" w:right="1134"/>
        <w:rPr>
          <w:rStyle w:val="default"/>
          <w:rFonts w:cs="FrankRuehl" w:hint="cs"/>
          <w:rtl/>
        </w:rPr>
      </w:pPr>
      <w:bookmarkStart w:id="10" w:name="Seif11"/>
      <w:bookmarkEnd w:id="10"/>
      <w:r>
        <w:rPr>
          <w:rFonts w:cs="Miriam"/>
          <w:lang w:val="he-IL"/>
        </w:rPr>
        <w:pict>
          <v:rect id="_x0000_s2453" style="position:absolute;left:0;text-align:left;margin-left:464.35pt;margin-top:7.1pt;width:75.05pt;height:14.45pt;z-index:251658752" o:allowincell="f" filled="f" stroked="f" strokecolor="lime" strokeweight=".25pt">
            <v:textbox style="mso-next-textbox:#_x0000_s2453" inset="0,0,0,0">
              <w:txbxContent>
                <w:p w:rsidR="009D6B1B" w:rsidRDefault="009D6B1B" w:rsidP="00364D76">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3741AC">
        <w:rPr>
          <w:rStyle w:val="big-number"/>
          <w:rFonts w:cs="Miriam" w:hint="cs"/>
          <w:rtl/>
        </w:rPr>
        <w:t>1</w:t>
      </w:r>
      <w:r>
        <w:rPr>
          <w:rStyle w:val="big-number"/>
          <w:rFonts w:cs="FrankRuehl"/>
          <w:sz w:val="26"/>
          <w:szCs w:val="26"/>
          <w:rtl/>
        </w:rPr>
        <w:t>.</w:t>
      </w:r>
      <w:r>
        <w:rPr>
          <w:rStyle w:val="big-number"/>
          <w:rFonts w:cs="FrankRuehl"/>
          <w:sz w:val="26"/>
          <w:szCs w:val="26"/>
          <w:rtl/>
        </w:rPr>
        <w:tab/>
      </w:r>
      <w:r w:rsidR="004A523D">
        <w:rPr>
          <w:rStyle w:val="default"/>
          <w:rFonts w:cs="FrankRuehl" w:hint="cs"/>
          <w:rtl/>
        </w:rPr>
        <w:t xml:space="preserve">תקנות הארכיונים (עיון בחומר ארכיוני המופקד בגנזך), התשכ"ז-1966 </w:t>
      </w:r>
      <w:r w:rsidR="004A523D">
        <w:rPr>
          <w:rStyle w:val="default"/>
          <w:rFonts w:cs="FrankRuehl"/>
          <w:rtl/>
        </w:rPr>
        <w:t>–</w:t>
      </w:r>
      <w:r w:rsidR="004A523D">
        <w:rPr>
          <w:rStyle w:val="default"/>
          <w:rFonts w:cs="FrankRuehl" w:hint="cs"/>
          <w:rtl/>
        </w:rPr>
        <w:t xml:space="preserve"> בטלות</w:t>
      </w:r>
      <w:r w:rsidR="00716B67">
        <w:rPr>
          <w:rStyle w:val="default"/>
          <w:rFonts w:cs="FrankRuehl" w:hint="cs"/>
          <w:rtl/>
        </w:rPr>
        <w:t>.</w:t>
      </w:r>
    </w:p>
    <w:p w:rsidR="00364D76" w:rsidRDefault="00364D76" w:rsidP="00B17102">
      <w:pPr>
        <w:pStyle w:val="P00"/>
        <w:spacing w:before="72"/>
        <w:ind w:left="0" w:right="1134"/>
        <w:rPr>
          <w:rStyle w:val="default"/>
          <w:rFonts w:cs="FrankRuehl" w:hint="cs"/>
          <w:rtl/>
        </w:rPr>
      </w:pPr>
      <w:bookmarkStart w:id="11" w:name="Seif12"/>
      <w:bookmarkEnd w:id="11"/>
      <w:r>
        <w:rPr>
          <w:rFonts w:cs="Miriam"/>
          <w:lang w:val="he-IL"/>
        </w:rPr>
        <w:pict>
          <v:rect id="_x0000_s2454" style="position:absolute;left:0;text-align:left;margin-left:464.35pt;margin-top:7.1pt;width:75.05pt;height:12.5pt;z-index:251659776" o:allowincell="f" filled="f" stroked="f" strokecolor="lime" strokeweight=".25pt">
            <v:textbox style="mso-next-textbox:#_x0000_s2454" inset="0,0,0,0">
              <w:txbxContent>
                <w:p w:rsidR="009D6B1B" w:rsidRDefault="009D6B1B" w:rsidP="004A523D">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CC1D7C">
        <w:rPr>
          <w:rStyle w:val="big-number"/>
          <w:rFonts w:cs="Miriam" w:hint="cs"/>
          <w:rtl/>
        </w:rPr>
        <w:t>2</w:t>
      </w:r>
      <w:r>
        <w:rPr>
          <w:rStyle w:val="big-number"/>
          <w:rFonts w:cs="FrankRuehl"/>
          <w:sz w:val="26"/>
          <w:szCs w:val="26"/>
          <w:rtl/>
        </w:rPr>
        <w:t>.</w:t>
      </w:r>
      <w:r>
        <w:rPr>
          <w:rStyle w:val="big-number"/>
          <w:rFonts w:cs="FrankRuehl"/>
          <w:sz w:val="26"/>
          <w:szCs w:val="26"/>
          <w:rtl/>
        </w:rPr>
        <w:tab/>
      </w:r>
      <w:r w:rsidR="00B17102">
        <w:rPr>
          <w:rStyle w:val="default"/>
          <w:rFonts w:cs="FrankRuehl" w:hint="cs"/>
          <w:rtl/>
        </w:rPr>
        <w:t xml:space="preserve">תחילתה של תקנה 8(ה) שישה חודשים מיום פרסומן של תקנות אלה (להלן </w:t>
      </w:r>
      <w:r w:rsidR="00B17102">
        <w:rPr>
          <w:rStyle w:val="default"/>
          <w:rFonts w:cs="FrankRuehl"/>
          <w:rtl/>
        </w:rPr>
        <w:t>–</w:t>
      </w:r>
      <w:r w:rsidR="00B17102">
        <w:rPr>
          <w:rStyle w:val="default"/>
          <w:rFonts w:cs="FrankRuehl" w:hint="cs"/>
          <w:rtl/>
        </w:rPr>
        <w:t xml:space="preserve"> יום הפרסום).</w:t>
      </w:r>
    </w:p>
    <w:p w:rsidR="00364D76" w:rsidRDefault="00364D76" w:rsidP="00B17102">
      <w:pPr>
        <w:pStyle w:val="P00"/>
        <w:spacing w:before="72"/>
        <w:ind w:left="0" w:right="1134"/>
        <w:rPr>
          <w:rStyle w:val="default"/>
          <w:rFonts w:cs="FrankRuehl" w:hint="cs"/>
          <w:rtl/>
        </w:rPr>
      </w:pPr>
      <w:bookmarkStart w:id="12" w:name="Seif13"/>
      <w:bookmarkEnd w:id="12"/>
      <w:r>
        <w:rPr>
          <w:rFonts w:cs="Miriam"/>
          <w:lang w:val="he-IL"/>
        </w:rPr>
        <w:pict>
          <v:rect id="_x0000_s2455" style="position:absolute;left:0;text-align:left;margin-left:464.35pt;margin-top:7.1pt;width:75.05pt;height:15.6pt;z-index:251660800" o:allowincell="f" filled="f" stroked="f" strokecolor="lime" strokeweight=".25pt">
            <v:textbox style="mso-next-textbox:#_x0000_s2455" inset="0,0,0,0">
              <w:txbxContent>
                <w:p w:rsidR="009D6B1B" w:rsidRDefault="009D6B1B" w:rsidP="00364D76">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1</w:t>
      </w:r>
      <w:r w:rsidR="005F6385">
        <w:rPr>
          <w:rStyle w:val="big-number"/>
          <w:rFonts w:cs="Miriam" w:hint="cs"/>
          <w:rtl/>
        </w:rPr>
        <w:t>3</w:t>
      </w:r>
      <w:r>
        <w:rPr>
          <w:rStyle w:val="big-number"/>
          <w:rFonts w:cs="FrankRuehl"/>
          <w:sz w:val="26"/>
          <w:szCs w:val="26"/>
          <w:rtl/>
        </w:rPr>
        <w:t>.</w:t>
      </w:r>
      <w:r>
        <w:rPr>
          <w:rStyle w:val="big-number"/>
          <w:rFonts w:cs="FrankRuehl"/>
          <w:sz w:val="26"/>
          <w:szCs w:val="26"/>
          <w:rtl/>
        </w:rPr>
        <w:tab/>
      </w:r>
      <w:r w:rsidR="00B17102">
        <w:rPr>
          <w:rStyle w:val="default"/>
          <w:rFonts w:cs="FrankRuehl" w:hint="cs"/>
          <w:rtl/>
        </w:rPr>
        <w:t>תקנות אלה יחולו גם על חומר ארכיוני שהופקד בגנזך לפני יום הפרסום, בשינוי התוספת הראשונה כמפורט להלן:</w:t>
      </w:r>
    </w:p>
    <w:p w:rsidR="00B17102" w:rsidRDefault="00B17102" w:rsidP="00B1710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בפרט 1 </w:t>
      </w:r>
      <w:r>
        <w:rPr>
          <w:rStyle w:val="default"/>
          <w:rFonts w:cs="FrankRuehl"/>
          <w:rtl/>
        </w:rPr>
        <w:t>–</w:t>
      </w:r>
    </w:p>
    <w:p w:rsidR="00B17102" w:rsidRDefault="00B17102" w:rsidP="00B1710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לעניין חומר של מוסד ממוסדות המדינה, למעט רשות מקומית, בטור ב', יראו כאילו במקום "15" </w:t>
      </w:r>
      <w:r>
        <w:rPr>
          <w:rStyle w:val="default"/>
          <w:rFonts w:cs="FrankRuehl"/>
          <w:rtl/>
        </w:rPr>
        <w:t>–</w:t>
      </w:r>
    </w:p>
    <w:p w:rsidR="00B17102" w:rsidRDefault="00B17102" w:rsidP="00B17102">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בתקופה שמיום הפרסום עד יום כ"ד בטבת התשע"א (31 בדצמבר 2010) </w:t>
      </w:r>
      <w:r>
        <w:rPr>
          <w:rStyle w:val="default"/>
          <w:rFonts w:cs="FrankRuehl"/>
          <w:rtl/>
        </w:rPr>
        <w:t>–</w:t>
      </w:r>
      <w:r>
        <w:rPr>
          <w:rStyle w:val="default"/>
          <w:rFonts w:cs="FrankRuehl" w:hint="cs"/>
          <w:rtl/>
        </w:rPr>
        <w:t xml:space="preserve"> נאמר "27";</w:t>
      </w:r>
    </w:p>
    <w:p w:rsidR="00B17102" w:rsidRDefault="00B17102" w:rsidP="00B17102">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בשנת 2011 </w:t>
      </w:r>
      <w:r>
        <w:rPr>
          <w:rStyle w:val="default"/>
          <w:rFonts w:cs="FrankRuehl"/>
          <w:rtl/>
        </w:rPr>
        <w:t>–</w:t>
      </w:r>
      <w:r>
        <w:rPr>
          <w:rStyle w:val="default"/>
          <w:rFonts w:cs="FrankRuehl" w:hint="cs"/>
          <w:rtl/>
        </w:rPr>
        <w:t xml:space="preserve"> נאמר "24";</w:t>
      </w:r>
    </w:p>
    <w:p w:rsidR="00B17102" w:rsidRDefault="00B17102" w:rsidP="00B17102">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בשנת 2012 </w:t>
      </w:r>
      <w:r>
        <w:rPr>
          <w:rStyle w:val="default"/>
          <w:rFonts w:cs="FrankRuehl"/>
          <w:rtl/>
        </w:rPr>
        <w:t>–</w:t>
      </w:r>
      <w:r>
        <w:rPr>
          <w:rStyle w:val="default"/>
          <w:rFonts w:cs="FrankRuehl" w:hint="cs"/>
          <w:rtl/>
        </w:rPr>
        <w:t xml:space="preserve"> נאמר "21";</w:t>
      </w:r>
    </w:p>
    <w:p w:rsidR="00B17102" w:rsidRDefault="00B17102" w:rsidP="00B17102">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 xml:space="preserve">בשנת 2013 </w:t>
      </w:r>
      <w:r>
        <w:rPr>
          <w:rStyle w:val="default"/>
          <w:rFonts w:cs="FrankRuehl"/>
          <w:rtl/>
        </w:rPr>
        <w:t>–</w:t>
      </w:r>
      <w:r>
        <w:rPr>
          <w:rStyle w:val="default"/>
          <w:rFonts w:cs="FrankRuehl" w:hint="cs"/>
          <w:rtl/>
        </w:rPr>
        <w:t xml:space="preserve"> נאמר "18";</w:t>
      </w:r>
    </w:p>
    <w:p w:rsidR="00B17102" w:rsidRDefault="00B17102" w:rsidP="00B1710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לעניין חומר של רשות מקומית, בטור ב', בתקופה שמיום הפרסום עד יום כ"ד בטבת התשע"א (31 בדצמבר 2010), יראו כאילו במקום "15" נאמר "17";</w:t>
      </w:r>
    </w:p>
    <w:p w:rsidR="00B17102" w:rsidRDefault="00B17102" w:rsidP="00B1710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בפרט 2, בטור ב', בתקופה שמיום הפרסום עד יום כ"ד בטבת התשע"א (31 בדצמבר 2010), יראו כאילו במקום "20" נאמר "22";</w:t>
      </w:r>
    </w:p>
    <w:p w:rsidR="00B17102" w:rsidRDefault="00B17102" w:rsidP="00B1710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בפרט 3, בטור ב', בתקופה שמיום הפרסום עד יום כ"ד בטבת התשע"א (31 בדצמבר 2010), יראו כאילו במקום "25" נאמר "27";</w:t>
      </w:r>
    </w:p>
    <w:p w:rsidR="00B17102" w:rsidRDefault="00B17102" w:rsidP="00B1710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בפרט 4(א), בטור ב', יראו כאילו במקום "30" </w:t>
      </w:r>
      <w:r>
        <w:rPr>
          <w:rStyle w:val="default"/>
          <w:rFonts w:cs="FrankRuehl"/>
          <w:rtl/>
        </w:rPr>
        <w:t>–</w:t>
      </w:r>
    </w:p>
    <w:p w:rsidR="00B17102" w:rsidRDefault="00B17102" w:rsidP="00B1710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בתקופה שמיום הפרסום עד יום כ"ד בטבת התשע"א (31 בדצמבר 2010) </w:t>
      </w:r>
      <w:r>
        <w:rPr>
          <w:rStyle w:val="default"/>
          <w:rFonts w:cs="FrankRuehl"/>
          <w:rtl/>
        </w:rPr>
        <w:t>–</w:t>
      </w:r>
      <w:r>
        <w:rPr>
          <w:rStyle w:val="default"/>
          <w:rFonts w:cs="FrankRuehl" w:hint="cs"/>
          <w:rtl/>
        </w:rPr>
        <w:t xml:space="preserve"> נאמר "37";</w:t>
      </w:r>
    </w:p>
    <w:p w:rsidR="00B17102" w:rsidRDefault="00B17102" w:rsidP="00B1710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בשנת 2011 </w:t>
      </w:r>
      <w:r>
        <w:rPr>
          <w:rStyle w:val="default"/>
          <w:rFonts w:cs="FrankRuehl"/>
          <w:rtl/>
        </w:rPr>
        <w:t>–</w:t>
      </w:r>
      <w:r>
        <w:rPr>
          <w:rStyle w:val="default"/>
          <w:rFonts w:cs="FrankRuehl" w:hint="cs"/>
          <w:rtl/>
        </w:rPr>
        <w:t xml:space="preserve"> נאמר "34".</w:t>
      </w:r>
    </w:p>
    <w:p w:rsidR="00364D76" w:rsidRDefault="00364D76" w:rsidP="00B17102">
      <w:pPr>
        <w:pStyle w:val="P00"/>
        <w:spacing w:before="72"/>
        <w:ind w:left="0" w:right="1134"/>
        <w:rPr>
          <w:rStyle w:val="default"/>
          <w:rFonts w:cs="FrankRuehl" w:hint="cs"/>
          <w:rtl/>
        </w:rPr>
      </w:pPr>
      <w:bookmarkStart w:id="13" w:name="Seif14"/>
      <w:bookmarkEnd w:id="13"/>
      <w:r>
        <w:rPr>
          <w:rFonts w:cs="Miriam"/>
          <w:lang w:val="he-IL"/>
        </w:rPr>
        <w:pict>
          <v:rect id="_x0000_s2456" style="position:absolute;left:0;text-align:left;margin-left:464.35pt;margin-top:7.1pt;width:75.05pt;height:12.55pt;z-index:251661824" o:allowincell="f" filled="f" stroked="f" strokecolor="lime" strokeweight=".25pt">
            <v:textbox style="mso-next-textbox:#_x0000_s2456" inset="0,0,0,0">
              <w:txbxContent>
                <w:p w:rsidR="009D6B1B" w:rsidRDefault="009D6B1B" w:rsidP="00364D76">
                  <w:pPr>
                    <w:spacing w:line="160" w:lineRule="exact"/>
                    <w:rPr>
                      <w:rFonts w:cs="Miriam" w:hint="cs"/>
                      <w:noProof/>
                      <w:sz w:val="18"/>
                      <w:szCs w:val="18"/>
                      <w:rtl/>
                    </w:rPr>
                  </w:pPr>
                  <w:r>
                    <w:rPr>
                      <w:rFonts w:cs="Miriam" w:hint="cs"/>
                      <w:sz w:val="18"/>
                      <w:szCs w:val="18"/>
                      <w:rtl/>
                    </w:rPr>
                    <w:t>סייג לתחולה</w:t>
                  </w:r>
                </w:p>
              </w:txbxContent>
            </v:textbox>
            <w10:anchorlock/>
          </v:rect>
        </w:pict>
      </w:r>
      <w:r>
        <w:rPr>
          <w:rStyle w:val="big-number"/>
          <w:rFonts w:cs="Miriam" w:hint="cs"/>
          <w:rtl/>
        </w:rPr>
        <w:t>1</w:t>
      </w:r>
      <w:r w:rsidR="00EC1AB6">
        <w:rPr>
          <w:rStyle w:val="big-number"/>
          <w:rFonts w:cs="Miriam" w:hint="cs"/>
          <w:rtl/>
        </w:rPr>
        <w:t>4</w:t>
      </w:r>
      <w:r>
        <w:rPr>
          <w:rStyle w:val="big-number"/>
          <w:rFonts w:cs="FrankRuehl"/>
          <w:sz w:val="26"/>
          <w:szCs w:val="26"/>
          <w:rtl/>
        </w:rPr>
        <w:t>.</w:t>
      </w:r>
      <w:r>
        <w:rPr>
          <w:rStyle w:val="big-number"/>
          <w:rFonts w:cs="FrankRuehl"/>
          <w:sz w:val="26"/>
          <w:szCs w:val="26"/>
          <w:rtl/>
        </w:rPr>
        <w:tab/>
      </w:r>
      <w:r w:rsidR="00B17102">
        <w:rPr>
          <w:rStyle w:val="default"/>
          <w:rFonts w:cs="FrankRuehl" w:hint="cs"/>
          <w:rtl/>
        </w:rPr>
        <w:t xml:space="preserve">הוראות תקנות אלה לא יחולו על </w:t>
      </w:r>
      <w:r w:rsidR="00B17102">
        <w:rPr>
          <w:rStyle w:val="default"/>
          <w:rFonts w:cs="FrankRuehl"/>
          <w:rtl/>
        </w:rPr>
        <w:t>–</w:t>
      </w:r>
    </w:p>
    <w:p w:rsidR="00B17102" w:rsidRDefault="00B17102" w:rsidP="00B17102">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חומר שזכות העיון בו הוגבלה לפי חיקוק או לפי הסכם שנערך עם מפקיד שאינו מוסד ממוסדות המדינה;</w:t>
      </w:r>
    </w:p>
    <w:p w:rsidR="00B17102" w:rsidRDefault="00B17102" w:rsidP="00B17102">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sidR="00334C0B">
        <w:rPr>
          <w:rStyle w:val="default"/>
          <w:rFonts w:cs="FrankRuehl" w:hint="cs"/>
          <w:rtl/>
        </w:rPr>
        <w:t>חומר שהגנז ציין כסודי או כחשאי או לפי סעיף 10(ג)(2) לחוק, ולמשך התקופה שבה צוין כאמור; פסקה זו תחול גם על חומר שכבר נחשף והועמד לעיון הקהל, אם ועדת השרים אישרה לגנז לציינו כסודי או כחשאי; אין בפסקה זו כדי למנוע עיון בחומר כאמור על ידי נציג, בכפוף להחלטתה של ועדת השרים לפי סעיף 10(ג) לחוק.</w:t>
      </w:r>
    </w:p>
    <w:p w:rsidR="008A2893" w:rsidRDefault="008A2893">
      <w:pPr>
        <w:pStyle w:val="P00"/>
        <w:spacing w:before="72"/>
        <w:ind w:left="0" w:right="1134"/>
        <w:rPr>
          <w:rStyle w:val="default"/>
          <w:rFonts w:cs="FrankRuehl" w:hint="cs"/>
          <w:rtl/>
        </w:rPr>
      </w:pPr>
    </w:p>
    <w:p w:rsidR="005C5CB4" w:rsidRPr="00026010" w:rsidRDefault="005C5CB4" w:rsidP="00026010">
      <w:pPr>
        <w:pStyle w:val="medium2-header"/>
        <w:keepLines w:val="0"/>
        <w:spacing w:before="72"/>
        <w:ind w:left="0" w:right="1134"/>
        <w:rPr>
          <w:rFonts w:cs="FrankRuehl" w:hint="cs"/>
          <w:noProof/>
          <w:sz w:val="20"/>
          <w:rtl/>
        </w:rPr>
      </w:pPr>
      <w:r w:rsidRPr="00026010">
        <w:rPr>
          <w:rFonts w:cs="FrankRuehl" w:hint="cs"/>
          <w:noProof/>
          <w:sz w:val="20"/>
          <w:rtl/>
        </w:rPr>
        <w:t>תוספת</w:t>
      </w:r>
      <w:r w:rsidR="00334C0B" w:rsidRPr="00026010">
        <w:rPr>
          <w:rFonts w:cs="FrankRuehl" w:hint="cs"/>
          <w:noProof/>
          <w:sz w:val="20"/>
          <w:rtl/>
        </w:rPr>
        <w:t xml:space="preserve"> ראשונה</w:t>
      </w:r>
    </w:p>
    <w:p w:rsidR="005C5CB4" w:rsidRPr="001D56E5" w:rsidRDefault="00334C0B" w:rsidP="001D56E5">
      <w:pPr>
        <w:pStyle w:val="P00"/>
        <w:spacing w:before="72"/>
        <w:ind w:left="0" w:right="1134"/>
        <w:jc w:val="center"/>
        <w:rPr>
          <w:rStyle w:val="default"/>
          <w:rFonts w:cs="FrankRuehl" w:hint="cs"/>
          <w:sz w:val="24"/>
          <w:szCs w:val="24"/>
          <w:rtl/>
        </w:rPr>
      </w:pPr>
      <w:r>
        <w:rPr>
          <w:rStyle w:val="default"/>
          <w:rFonts w:cs="FrankRuehl" w:hint="cs"/>
          <w:sz w:val="24"/>
          <w:szCs w:val="24"/>
          <w:rtl/>
        </w:rPr>
        <w:t>(תקנות 8(א) עד (ד), 9(א) ו-10</w:t>
      </w:r>
      <w:r w:rsidR="001D56E5" w:rsidRPr="001D56E5">
        <w:rPr>
          <w:rStyle w:val="default"/>
          <w:rFonts w:cs="FrankRuehl" w:hint="cs"/>
          <w:sz w:val="24"/>
          <w:szCs w:val="24"/>
          <w:rtl/>
        </w:rPr>
        <w:t>)</w:t>
      </w:r>
    </w:p>
    <w:p w:rsidR="005C5CB4" w:rsidRPr="009D6B1B" w:rsidRDefault="009D6B1B" w:rsidP="009D6B1B">
      <w:pPr>
        <w:pStyle w:val="P00"/>
        <w:tabs>
          <w:tab w:val="clear" w:pos="624"/>
          <w:tab w:val="clear" w:pos="1021"/>
          <w:tab w:val="clear" w:pos="1474"/>
          <w:tab w:val="clear" w:pos="1928"/>
          <w:tab w:val="clear" w:pos="2381"/>
          <w:tab w:val="clear" w:pos="2835"/>
          <w:tab w:val="clear" w:pos="6259"/>
          <w:tab w:val="center" w:pos="2268"/>
          <w:tab w:val="center" w:pos="6237"/>
        </w:tabs>
        <w:spacing w:before="72"/>
        <w:ind w:left="0" w:right="1134"/>
        <w:rPr>
          <w:rStyle w:val="default"/>
          <w:rFonts w:cs="FrankRuehl" w:hint="cs"/>
          <w:sz w:val="22"/>
          <w:szCs w:val="22"/>
          <w:rtl/>
        </w:rPr>
      </w:pPr>
      <w:r w:rsidRPr="009D6B1B">
        <w:rPr>
          <w:rStyle w:val="default"/>
          <w:rFonts w:cs="FrankRuehl" w:hint="cs"/>
          <w:sz w:val="22"/>
          <w:szCs w:val="22"/>
          <w:rtl/>
        </w:rPr>
        <w:tab/>
      </w:r>
      <w:r w:rsidRPr="009D6B1B">
        <w:rPr>
          <w:rStyle w:val="default"/>
          <w:rFonts w:cs="FrankRuehl" w:hint="cs"/>
          <w:sz w:val="22"/>
          <w:szCs w:val="22"/>
          <w:rtl/>
        </w:rPr>
        <w:tab/>
        <w:t xml:space="preserve">טור ב' </w:t>
      </w:r>
      <w:r w:rsidRPr="009D6B1B">
        <w:rPr>
          <w:rStyle w:val="default"/>
          <w:rFonts w:cs="FrankRuehl"/>
          <w:sz w:val="22"/>
          <w:szCs w:val="22"/>
          <w:rtl/>
        </w:rPr>
        <w:t>–</w:t>
      </w:r>
      <w:r w:rsidRPr="009D6B1B">
        <w:rPr>
          <w:rStyle w:val="default"/>
          <w:rFonts w:cs="FrankRuehl" w:hint="cs"/>
          <w:sz w:val="22"/>
          <w:szCs w:val="22"/>
          <w:rtl/>
        </w:rPr>
        <w:t xml:space="preserve"> מספר השנים</w:t>
      </w:r>
    </w:p>
    <w:p w:rsidR="009D6B1B" w:rsidRPr="009D6B1B" w:rsidRDefault="009D6B1B" w:rsidP="009D6B1B">
      <w:pPr>
        <w:pStyle w:val="P00"/>
        <w:tabs>
          <w:tab w:val="clear" w:pos="624"/>
          <w:tab w:val="clear" w:pos="1021"/>
          <w:tab w:val="clear" w:pos="1474"/>
          <w:tab w:val="clear" w:pos="1928"/>
          <w:tab w:val="clear" w:pos="2381"/>
          <w:tab w:val="clear" w:pos="2835"/>
          <w:tab w:val="clear" w:pos="6259"/>
          <w:tab w:val="center" w:pos="2268"/>
          <w:tab w:val="center" w:pos="6237"/>
        </w:tabs>
        <w:spacing w:before="0"/>
        <w:ind w:left="0" w:right="1134"/>
        <w:rPr>
          <w:rStyle w:val="default"/>
          <w:rFonts w:cs="FrankRuehl" w:hint="cs"/>
          <w:sz w:val="22"/>
          <w:szCs w:val="22"/>
          <w:rtl/>
        </w:rPr>
      </w:pPr>
      <w:r w:rsidRPr="009D6B1B">
        <w:rPr>
          <w:rStyle w:val="default"/>
          <w:rFonts w:cs="FrankRuehl" w:hint="cs"/>
          <w:sz w:val="22"/>
          <w:szCs w:val="22"/>
          <w:rtl/>
        </w:rPr>
        <w:tab/>
      </w:r>
      <w:r w:rsidRPr="009D6B1B">
        <w:rPr>
          <w:rStyle w:val="default"/>
          <w:rFonts w:cs="FrankRuehl" w:hint="cs"/>
          <w:sz w:val="22"/>
          <w:szCs w:val="22"/>
          <w:rtl/>
        </w:rPr>
        <w:tab/>
        <w:t>ממועד היווצרות החומר</w:t>
      </w:r>
    </w:p>
    <w:p w:rsidR="009D6B1B" w:rsidRPr="009D6B1B" w:rsidRDefault="009D6B1B" w:rsidP="009D6B1B">
      <w:pPr>
        <w:pStyle w:val="P00"/>
        <w:tabs>
          <w:tab w:val="clear" w:pos="624"/>
          <w:tab w:val="clear" w:pos="1021"/>
          <w:tab w:val="clear" w:pos="1474"/>
          <w:tab w:val="clear" w:pos="1928"/>
          <w:tab w:val="clear" w:pos="2381"/>
          <w:tab w:val="clear" w:pos="2835"/>
          <w:tab w:val="clear" w:pos="6259"/>
          <w:tab w:val="center" w:pos="2268"/>
          <w:tab w:val="center" w:pos="6237"/>
        </w:tabs>
        <w:spacing w:before="0"/>
        <w:ind w:left="0" w:right="1134"/>
        <w:rPr>
          <w:rStyle w:val="default"/>
          <w:rFonts w:cs="FrankRuehl" w:hint="cs"/>
          <w:sz w:val="22"/>
          <w:szCs w:val="22"/>
          <w:rtl/>
        </w:rPr>
      </w:pPr>
      <w:r w:rsidRPr="009D6B1B">
        <w:rPr>
          <w:rStyle w:val="default"/>
          <w:rFonts w:cs="FrankRuehl" w:hint="cs"/>
          <w:sz w:val="22"/>
          <w:szCs w:val="22"/>
          <w:rtl/>
        </w:rPr>
        <w:tab/>
      </w:r>
      <w:r w:rsidRPr="009D6B1B">
        <w:rPr>
          <w:rStyle w:val="default"/>
          <w:rFonts w:cs="FrankRuehl" w:hint="cs"/>
          <w:sz w:val="22"/>
          <w:szCs w:val="22"/>
          <w:rtl/>
        </w:rPr>
        <w:tab/>
        <w:t>הארכיוני, וככל שמדובר</w:t>
      </w:r>
    </w:p>
    <w:p w:rsidR="009D6B1B" w:rsidRPr="009D6B1B" w:rsidRDefault="009D6B1B" w:rsidP="009D6B1B">
      <w:pPr>
        <w:pStyle w:val="P00"/>
        <w:tabs>
          <w:tab w:val="clear" w:pos="624"/>
          <w:tab w:val="clear" w:pos="1021"/>
          <w:tab w:val="clear" w:pos="1474"/>
          <w:tab w:val="clear" w:pos="1928"/>
          <w:tab w:val="clear" w:pos="2381"/>
          <w:tab w:val="clear" w:pos="2835"/>
          <w:tab w:val="clear" w:pos="6259"/>
          <w:tab w:val="center" w:pos="2268"/>
          <w:tab w:val="center" w:pos="6237"/>
        </w:tabs>
        <w:spacing w:before="0"/>
        <w:ind w:left="0" w:right="1134"/>
        <w:rPr>
          <w:rStyle w:val="default"/>
          <w:rFonts w:cs="FrankRuehl" w:hint="cs"/>
          <w:sz w:val="22"/>
          <w:szCs w:val="22"/>
          <w:rtl/>
        </w:rPr>
      </w:pPr>
      <w:r w:rsidRPr="009D6B1B">
        <w:rPr>
          <w:rStyle w:val="default"/>
          <w:rFonts w:cs="FrankRuehl" w:hint="cs"/>
          <w:sz w:val="22"/>
          <w:szCs w:val="22"/>
          <w:rtl/>
        </w:rPr>
        <w:tab/>
      </w:r>
      <w:r w:rsidRPr="009D6B1B">
        <w:rPr>
          <w:rStyle w:val="default"/>
          <w:rFonts w:cs="FrankRuehl" w:hint="cs"/>
          <w:sz w:val="22"/>
          <w:szCs w:val="22"/>
          <w:rtl/>
        </w:rPr>
        <w:tab/>
        <w:t xml:space="preserve">במסמך </w:t>
      </w:r>
      <w:r w:rsidRPr="009D6B1B">
        <w:rPr>
          <w:rStyle w:val="default"/>
          <w:rFonts w:cs="FrankRuehl"/>
          <w:sz w:val="22"/>
          <w:szCs w:val="22"/>
          <w:rtl/>
        </w:rPr>
        <w:t>–</w:t>
      </w:r>
      <w:r w:rsidRPr="009D6B1B">
        <w:rPr>
          <w:rStyle w:val="default"/>
          <w:rFonts w:cs="FrankRuehl" w:hint="cs"/>
          <w:sz w:val="22"/>
          <w:szCs w:val="22"/>
          <w:rtl/>
        </w:rPr>
        <w:t xml:space="preserve"> ממועד היווצרות</w:t>
      </w:r>
    </w:p>
    <w:p w:rsidR="009D6B1B" w:rsidRPr="009D6B1B" w:rsidRDefault="009D6B1B" w:rsidP="009D6B1B">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237"/>
        </w:tabs>
        <w:spacing w:before="0"/>
        <w:ind w:left="0" w:right="1134"/>
        <w:rPr>
          <w:rStyle w:val="default"/>
          <w:rFonts w:cs="FrankRuehl" w:hint="cs"/>
          <w:sz w:val="22"/>
          <w:szCs w:val="22"/>
          <w:rtl/>
        </w:rPr>
      </w:pPr>
      <w:r w:rsidRPr="009D6B1B">
        <w:rPr>
          <w:rStyle w:val="default"/>
          <w:rFonts w:cs="FrankRuehl" w:hint="cs"/>
          <w:sz w:val="22"/>
          <w:szCs w:val="22"/>
          <w:rtl/>
        </w:rPr>
        <w:tab/>
        <w:t xml:space="preserve">טור א' </w:t>
      </w:r>
      <w:r w:rsidRPr="009D6B1B">
        <w:rPr>
          <w:rStyle w:val="default"/>
          <w:rFonts w:cs="FrankRuehl"/>
          <w:sz w:val="22"/>
          <w:szCs w:val="22"/>
          <w:rtl/>
        </w:rPr>
        <w:t>–</w:t>
      </w:r>
      <w:r w:rsidRPr="009D6B1B">
        <w:rPr>
          <w:rStyle w:val="default"/>
          <w:rFonts w:cs="FrankRuehl" w:hint="cs"/>
          <w:sz w:val="22"/>
          <w:szCs w:val="22"/>
          <w:rtl/>
        </w:rPr>
        <w:t xml:space="preserve"> חומר ארכיוני שזכות העיון בו מוגבלת</w:t>
      </w:r>
      <w:r w:rsidRPr="009D6B1B">
        <w:rPr>
          <w:rStyle w:val="default"/>
          <w:rFonts w:cs="FrankRuehl" w:hint="cs"/>
          <w:sz w:val="22"/>
          <w:szCs w:val="22"/>
          <w:rtl/>
        </w:rPr>
        <w:tab/>
        <w:t>המסמך האחרון בתיק</w:t>
      </w:r>
    </w:p>
    <w:p w:rsidR="009D6B1B" w:rsidRDefault="009D6B1B" w:rsidP="009D6B1B">
      <w:pPr>
        <w:pStyle w:val="P00"/>
        <w:tabs>
          <w:tab w:val="clear" w:pos="624"/>
          <w:tab w:val="clear" w:pos="1021"/>
          <w:tab w:val="clear" w:pos="1474"/>
          <w:tab w:val="clear" w:pos="1928"/>
          <w:tab w:val="clear" w:pos="2381"/>
          <w:tab w:val="clear" w:pos="2835"/>
          <w:tab w:val="clear" w:pos="6259"/>
          <w:tab w:val="left" w:pos="397"/>
          <w:tab w:val="left" w:pos="6124"/>
        </w:tabs>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חומר של מוסד ממוסדות המדינה או של רשות מקומית, </w:t>
      </w:r>
      <w:r>
        <w:rPr>
          <w:rStyle w:val="default"/>
          <w:rFonts w:cs="FrankRuehl" w:hint="cs"/>
          <w:rtl/>
        </w:rPr>
        <w:tab/>
        <w:t>15</w:t>
      </w:r>
    </w:p>
    <w:p w:rsidR="009D6B1B" w:rsidRDefault="009D6B1B" w:rsidP="00551794">
      <w:pPr>
        <w:pStyle w:val="P00"/>
        <w:tabs>
          <w:tab w:val="clear" w:pos="624"/>
          <w:tab w:val="clear" w:pos="1021"/>
          <w:tab w:val="clear" w:pos="1474"/>
          <w:tab w:val="clear" w:pos="1928"/>
          <w:tab w:val="clear" w:pos="2381"/>
          <w:tab w:val="clear" w:pos="2835"/>
          <w:tab w:val="clear" w:pos="6259"/>
          <w:tab w:val="left" w:pos="397"/>
          <w:tab w:val="left" w:pos="6124"/>
        </w:tabs>
        <w:spacing w:before="0"/>
        <w:ind w:left="397" w:right="3969"/>
        <w:jc w:val="left"/>
        <w:rPr>
          <w:rStyle w:val="default"/>
          <w:rFonts w:cs="FrankRuehl" w:hint="cs"/>
          <w:rtl/>
        </w:rPr>
      </w:pPr>
      <w:r>
        <w:rPr>
          <w:rStyle w:val="default"/>
          <w:rFonts w:cs="FrankRuehl" w:hint="cs"/>
          <w:rtl/>
        </w:rPr>
        <w:t>שאינו מנוי בפרטים אחרים;</w:t>
      </w:r>
    </w:p>
    <w:p w:rsidR="009D6B1B" w:rsidRDefault="009D6B1B" w:rsidP="009D6B1B">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6124"/>
        </w:tabs>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פרוטוקולים של ישיבות חסויות של ועדות הכנסת, </w:t>
      </w:r>
      <w:r>
        <w:rPr>
          <w:rStyle w:val="default"/>
          <w:rFonts w:cs="FrankRuehl" w:hint="cs"/>
          <w:rtl/>
        </w:rPr>
        <w:tab/>
        <w:t>20</w:t>
      </w:r>
    </w:p>
    <w:p w:rsidR="009D6B1B" w:rsidRDefault="009D6B1B" w:rsidP="009D6B1B">
      <w:pPr>
        <w:pStyle w:val="P00"/>
        <w:tabs>
          <w:tab w:val="clear" w:pos="624"/>
          <w:tab w:val="clear" w:pos="1021"/>
          <w:tab w:val="clear" w:pos="1474"/>
          <w:tab w:val="clear" w:pos="1928"/>
          <w:tab w:val="clear" w:pos="2381"/>
          <w:tab w:val="clear" w:pos="2835"/>
          <w:tab w:val="clear" w:pos="6259"/>
          <w:tab w:val="left" w:pos="397"/>
          <w:tab w:val="left" w:pos="6124"/>
        </w:tabs>
        <w:spacing w:before="0"/>
        <w:ind w:left="397" w:right="3969"/>
        <w:jc w:val="left"/>
        <w:rPr>
          <w:rStyle w:val="default"/>
          <w:rFonts w:cs="FrankRuehl" w:hint="cs"/>
          <w:rtl/>
        </w:rPr>
      </w:pPr>
      <w:r>
        <w:rPr>
          <w:rStyle w:val="default"/>
          <w:rFonts w:cs="FrankRuehl" w:hint="cs"/>
          <w:rtl/>
        </w:rPr>
        <w:t>ופרוטוקולים של ישיבות ועדת הכנסת שיושב ראש הוועדה, באישור אותה ועדה, החליט לאסור את העיון בהם בהתאם לסמכותו על פי תקנון הכנסת, שאינם מנויים בפרטים אחרים;</w:t>
      </w:r>
    </w:p>
    <w:p w:rsidR="009D6B1B" w:rsidRDefault="009D6B1B" w:rsidP="009D6B1B">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794"/>
          <w:tab w:val="left" w:pos="6124"/>
        </w:tabs>
        <w:spacing w:before="72"/>
        <w:ind w:left="0" w:right="1134"/>
        <w:rPr>
          <w:rStyle w:val="default"/>
          <w:rFonts w:cs="FrankRuehl" w:hint="cs"/>
          <w:rtl/>
        </w:rPr>
      </w:pPr>
      <w:r>
        <w:rPr>
          <w:rStyle w:val="default"/>
          <w:rFonts w:cs="FrankRuehl" w:hint="cs"/>
          <w:rtl/>
        </w:rPr>
        <w:t>3.</w:t>
      </w:r>
      <w:r>
        <w:rPr>
          <w:rStyle w:val="default"/>
          <w:rFonts w:cs="FrankRuehl" w:hint="cs"/>
          <w:rtl/>
        </w:rPr>
        <w:tab/>
        <w:t>(א)</w:t>
      </w:r>
      <w:r>
        <w:rPr>
          <w:rStyle w:val="default"/>
          <w:rFonts w:cs="FrankRuehl" w:hint="cs"/>
          <w:rtl/>
        </w:rPr>
        <w:tab/>
        <w:t>חומר בענייני חוץ של משרד החוץ, משרד ראש</w:t>
      </w:r>
      <w:r>
        <w:rPr>
          <w:rStyle w:val="default"/>
          <w:rFonts w:cs="FrankRuehl" w:hint="cs"/>
          <w:rtl/>
        </w:rPr>
        <w:tab/>
        <w:t>25</w:t>
      </w:r>
    </w:p>
    <w:p w:rsidR="009D6B1B" w:rsidRDefault="009D6B1B" w:rsidP="009D6B1B">
      <w:pPr>
        <w:pStyle w:val="P00"/>
        <w:tabs>
          <w:tab w:val="clear" w:pos="624"/>
          <w:tab w:val="clear" w:pos="1021"/>
          <w:tab w:val="clear" w:pos="1474"/>
          <w:tab w:val="clear" w:pos="1928"/>
          <w:tab w:val="clear" w:pos="2381"/>
          <w:tab w:val="clear" w:pos="2835"/>
          <w:tab w:val="clear" w:pos="6259"/>
          <w:tab w:val="left" w:pos="397"/>
          <w:tab w:val="left" w:pos="6124"/>
        </w:tabs>
        <w:spacing w:before="0"/>
        <w:ind w:left="397" w:right="3969"/>
        <w:jc w:val="left"/>
        <w:rPr>
          <w:rStyle w:val="default"/>
          <w:rFonts w:cs="FrankRuehl" w:hint="cs"/>
          <w:rtl/>
        </w:rPr>
      </w:pPr>
      <w:r>
        <w:rPr>
          <w:rStyle w:val="default"/>
          <w:rFonts w:cs="FrankRuehl" w:hint="cs"/>
          <w:rtl/>
        </w:rPr>
        <w:t>הממשלה וכל משרד ממשלתי אחר או רשות מקומית, שאינו מנוי בפרטים אחרים;</w:t>
      </w:r>
    </w:p>
    <w:p w:rsidR="009D6B1B" w:rsidRDefault="009D6B1B" w:rsidP="009D6B1B">
      <w:pPr>
        <w:pStyle w:val="P00"/>
        <w:tabs>
          <w:tab w:val="clear" w:pos="624"/>
          <w:tab w:val="clear" w:pos="1021"/>
          <w:tab w:val="clear" w:pos="1474"/>
          <w:tab w:val="clear" w:pos="1928"/>
          <w:tab w:val="clear" w:pos="2381"/>
          <w:tab w:val="clear" w:pos="2835"/>
          <w:tab w:val="clear" w:pos="6259"/>
          <w:tab w:val="left" w:pos="397"/>
          <w:tab w:val="left" w:pos="794"/>
          <w:tab w:val="left" w:pos="6124"/>
        </w:tabs>
        <w:spacing w:before="0"/>
        <w:ind w:left="397" w:right="3969"/>
        <w:jc w:val="left"/>
        <w:rPr>
          <w:rStyle w:val="default"/>
          <w:rFonts w:cs="FrankRuehl" w:hint="cs"/>
          <w:rtl/>
        </w:rPr>
      </w:pPr>
      <w:r>
        <w:rPr>
          <w:rStyle w:val="default"/>
          <w:rFonts w:cs="FrankRuehl" w:hint="cs"/>
          <w:rtl/>
        </w:rPr>
        <w:t>(ב)</w:t>
      </w:r>
      <w:r>
        <w:rPr>
          <w:rStyle w:val="default"/>
          <w:rFonts w:cs="FrankRuehl" w:hint="cs"/>
          <w:rtl/>
        </w:rPr>
        <w:tab/>
        <w:t>חומר של לשכת ראש הממשלה, שאינו מנוי בפרטים אחרים;</w:t>
      </w:r>
    </w:p>
    <w:p w:rsidR="009D6B1B" w:rsidRDefault="009D6B1B" w:rsidP="009D6B1B">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794"/>
          <w:tab w:val="left" w:pos="6124"/>
        </w:tabs>
        <w:spacing w:before="72"/>
        <w:ind w:left="0" w:right="1134"/>
        <w:rPr>
          <w:rStyle w:val="default"/>
          <w:rFonts w:cs="FrankRuehl" w:hint="cs"/>
          <w:rtl/>
        </w:rPr>
      </w:pPr>
      <w:r>
        <w:rPr>
          <w:rStyle w:val="default"/>
          <w:rFonts w:cs="FrankRuehl" w:hint="cs"/>
          <w:rtl/>
        </w:rPr>
        <w:t>4.</w:t>
      </w:r>
      <w:r>
        <w:rPr>
          <w:rStyle w:val="default"/>
          <w:rFonts w:cs="FrankRuehl" w:hint="cs"/>
          <w:rtl/>
        </w:rPr>
        <w:tab/>
        <w:t>(א)</w:t>
      </w:r>
      <w:r>
        <w:rPr>
          <w:rStyle w:val="default"/>
          <w:rFonts w:cs="FrankRuehl" w:hint="cs"/>
          <w:rtl/>
        </w:rPr>
        <w:tab/>
        <w:t xml:space="preserve">סטנוגרמות של ישיבות הממשלה ושל ועדות השרים, </w:t>
      </w:r>
      <w:r>
        <w:rPr>
          <w:rStyle w:val="default"/>
          <w:rFonts w:cs="FrankRuehl" w:hint="cs"/>
          <w:rtl/>
        </w:rPr>
        <w:tab/>
        <w:t>30</w:t>
      </w:r>
    </w:p>
    <w:p w:rsidR="009D6B1B" w:rsidRDefault="009D6B1B" w:rsidP="009D6B1B">
      <w:pPr>
        <w:pStyle w:val="P00"/>
        <w:tabs>
          <w:tab w:val="clear" w:pos="624"/>
          <w:tab w:val="clear" w:pos="1021"/>
          <w:tab w:val="clear" w:pos="1474"/>
          <w:tab w:val="clear" w:pos="1928"/>
          <w:tab w:val="clear" w:pos="2381"/>
          <w:tab w:val="clear" w:pos="2835"/>
          <w:tab w:val="clear" w:pos="6259"/>
          <w:tab w:val="left" w:pos="397"/>
          <w:tab w:val="left" w:pos="6124"/>
        </w:tabs>
        <w:spacing w:before="0"/>
        <w:ind w:left="397" w:right="3969"/>
        <w:jc w:val="left"/>
        <w:rPr>
          <w:rStyle w:val="default"/>
          <w:rFonts w:cs="FrankRuehl" w:hint="cs"/>
          <w:rtl/>
        </w:rPr>
      </w:pPr>
      <w:r>
        <w:rPr>
          <w:rStyle w:val="default"/>
          <w:rFonts w:cs="FrankRuehl" w:hint="cs"/>
          <w:rtl/>
        </w:rPr>
        <w:t>על ספחיהן, שאינם מנויים בפרט 5 להלן;</w:t>
      </w:r>
    </w:p>
    <w:p w:rsidR="009D6B1B" w:rsidRDefault="009D6B1B" w:rsidP="009D6B1B">
      <w:pPr>
        <w:pStyle w:val="P00"/>
        <w:tabs>
          <w:tab w:val="clear" w:pos="624"/>
          <w:tab w:val="clear" w:pos="1021"/>
          <w:tab w:val="clear" w:pos="1474"/>
          <w:tab w:val="clear" w:pos="1928"/>
          <w:tab w:val="clear" w:pos="2381"/>
          <w:tab w:val="clear" w:pos="2835"/>
          <w:tab w:val="clear" w:pos="6259"/>
          <w:tab w:val="left" w:pos="397"/>
          <w:tab w:val="left" w:pos="794"/>
          <w:tab w:val="left" w:pos="6124"/>
        </w:tabs>
        <w:spacing w:before="0"/>
        <w:ind w:left="397" w:right="3969"/>
        <w:jc w:val="left"/>
        <w:rPr>
          <w:rStyle w:val="default"/>
          <w:rFonts w:cs="FrankRuehl" w:hint="cs"/>
          <w:rtl/>
        </w:rPr>
      </w:pPr>
      <w:r>
        <w:rPr>
          <w:rStyle w:val="default"/>
          <w:rFonts w:cs="FrankRuehl" w:hint="cs"/>
          <w:rtl/>
        </w:rPr>
        <w:t>(ב)</w:t>
      </w:r>
      <w:r>
        <w:rPr>
          <w:rStyle w:val="default"/>
          <w:rFonts w:cs="FrankRuehl" w:hint="cs"/>
          <w:rtl/>
        </w:rPr>
        <w:tab/>
        <w:t>פרוטוקולים של ישיבות מליאת ועדת חוץ וביטחון של הכנסת שאינן פומביות;</w:t>
      </w:r>
    </w:p>
    <w:p w:rsidR="009D6B1B" w:rsidRDefault="009D6B1B" w:rsidP="009D6B1B">
      <w:pPr>
        <w:pStyle w:val="P00"/>
        <w:tabs>
          <w:tab w:val="clear" w:pos="624"/>
          <w:tab w:val="clear" w:pos="1021"/>
          <w:tab w:val="clear" w:pos="1474"/>
          <w:tab w:val="clear" w:pos="1928"/>
          <w:tab w:val="clear" w:pos="2381"/>
          <w:tab w:val="clear" w:pos="2835"/>
          <w:tab w:val="clear" w:pos="6259"/>
          <w:tab w:val="left" w:pos="397"/>
          <w:tab w:val="left" w:pos="794"/>
          <w:tab w:val="left" w:pos="6124"/>
        </w:tabs>
        <w:spacing w:before="0"/>
        <w:ind w:left="397" w:right="3969"/>
        <w:jc w:val="left"/>
        <w:rPr>
          <w:rStyle w:val="default"/>
          <w:rFonts w:cs="FrankRuehl" w:hint="cs"/>
          <w:rtl/>
        </w:rPr>
      </w:pPr>
      <w:r>
        <w:rPr>
          <w:rStyle w:val="default"/>
          <w:rFonts w:cs="FrankRuehl" w:hint="cs"/>
          <w:rtl/>
        </w:rPr>
        <w:t>(ג)</w:t>
      </w:r>
      <w:r>
        <w:rPr>
          <w:rStyle w:val="default"/>
          <w:rFonts w:cs="FrankRuehl" w:hint="cs"/>
          <w:rtl/>
        </w:rPr>
        <w:tab/>
        <w:t>פרוטוקולים של ישיבות חסויות של ועדות משנה של ועדות הכנסת בענייני חוץ, ביטחון וביטחון הפנים, שאינם מנויים בפרטים אחרים;</w:t>
      </w:r>
    </w:p>
    <w:p w:rsidR="009D6B1B" w:rsidRDefault="009D6B1B" w:rsidP="009D6B1B">
      <w:pPr>
        <w:pStyle w:val="P00"/>
        <w:tabs>
          <w:tab w:val="clear" w:pos="624"/>
          <w:tab w:val="clear" w:pos="1021"/>
          <w:tab w:val="clear" w:pos="1474"/>
          <w:tab w:val="clear" w:pos="1928"/>
          <w:tab w:val="clear" w:pos="2381"/>
          <w:tab w:val="clear" w:pos="2835"/>
          <w:tab w:val="clear" w:pos="6259"/>
          <w:tab w:val="left" w:pos="397"/>
          <w:tab w:val="left" w:pos="794"/>
          <w:tab w:val="left" w:pos="6124"/>
        </w:tabs>
        <w:spacing w:before="0"/>
        <w:ind w:left="397" w:right="3969"/>
        <w:jc w:val="left"/>
        <w:rPr>
          <w:rStyle w:val="default"/>
          <w:rFonts w:cs="FrankRuehl" w:hint="cs"/>
          <w:rtl/>
        </w:rPr>
      </w:pPr>
      <w:r>
        <w:rPr>
          <w:rStyle w:val="default"/>
          <w:rFonts w:cs="FrankRuehl" w:hint="cs"/>
          <w:rtl/>
        </w:rPr>
        <w:t>(ד)</w:t>
      </w:r>
      <w:r>
        <w:rPr>
          <w:rStyle w:val="default"/>
          <w:rFonts w:cs="FrankRuehl" w:hint="cs"/>
          <w:rtl/>
        </w:rPr>
        <w:tab/>
        <w:t xml:space="preserve">חומר של משרד הביטחון של יחידות הסמך שלו, או של צבא הגנה לישראל (להלן </w:t>
      </w:r>
      <w:r>
        <w:rPr>
          <w:rStyle w:val="default"/>
          <w:rFonts w:cs="FrankRuehl"/>
          <w:rtl/>
        </w:rPr>
        <w:t>–</w:t>
      </w:r>
      <w:r>
        <w:rPr>
          <w:rStyle w:val="default"/>
          <w:rFonts w:cs="FrankRuehl" w:hint="cs"/>
          <w:rtl/>
        </w:rPr>
        <w:t xml:space="preserve"> צה"ל), שאיננו מנוי בפרט 5 או 6;</w:t>
      </w:r>
    </w:p>
    <w:p w:rsidR="009D6B1B" w:rsidRDefault="009D6B1B" w:rsidP="009D6B1B">
      <w:pPr>
        <w:pStyle w:val="P00"/>
        <w:tabs>
          <w:tab w:val="clear" w:pos="624"/>
          <w:tab w:val="clear" w:pos="1021"/>
          <w:tab w:val="clear" w:pos="1474"/>
          <w:tab w:val="clear" w:pos="1928"/>
          <w:tab w:val="clear" w:pos="2381"/>
          <w:tab w:val="clear" w:pos="2835"/>
          <w:tab w:val="clear" w:pos="6259"/>
          <w:tab w:val="left" w:pos="397"/>
          <w:tab w:val="left" w:pos="794"/>
          <w:tab w:val="left" w:pos="6124"/>
        </w:tabs>
        <w:spacing w:before="0"/>
        <w:ind w:left="397" w:right="3969"/>
        <w:jc w:val="left"/>
        <w:rPr>
          <w:rStyle w:val="default"/>
          <w:rFonts w:cs="FrankRuehl" w:hint="cs"/>
          <w:rtl/>
        </w:rPr>
      </w:pPr>
      <w:r>
        <w:rPr>
          <w:rStyle w:val="default"/>
          <w:rFonts w:cs="FrankRuehl" w:hint="cs"/>
          <w:rtl/>
        </w:rPr>
        <w:t>(ה)</w:t>
      </w:r>
      <w:r>
        <w:rPr>
          <w:rStyle w:val="default"/>
          <w:rFonts w:cs="FrankRuehl" w:hint="cs"/>
          <w:rtl/>
        </w:rPr>
        <w:tab/>
        <w:t>חומר בענייני ביטחון הפנים, לרבות חומר ארכיוני כאמור של המשרד לביטחון הפנים, משטרת ישראל, ושירות בתי הסוהר;</w:t>
      </w:r>
    </w:p>
    <w:p w:rsidR="009D6B1B" w:rsidRDefault="009D6B1B" w:rsidP="009D6B1B">
      <w:pPr>
        <w:pStyle w:val="P00"/>
        <w:tabs>
          <w:tab w:val="clear" w:pos="624"/>
          <w:tab w:val="clear" w:pos="1021"/>
          <w:tab w:val="clear" w:pos="1474"/>
          <w:tab w:val="clear" w:pos="1928"/>
          <w:tab w:val="clear" w:pos="2381"/>
          <w:tab w:val="clear" w:pos="2835"/>
          <w:tab w:val="clear" w:pos="6259"/>
          <w:tab w:val="left" w:pos="397"/>
          <w:tab w:val="left" w:pos="794"/>
          <w:tab w:val="left" w:pos="6124"/>
        </w:tabs>
        <w:spacing w:before="0"/>
        <w:ind w:left="397" w:right="3969"/>
        <w:jc w:val="left"/>
        <w:rPr>
          <w:rStyle w:val="default"/>
          <w:rFonts w:cs="FrankRuehl" w:hint="cs"/>
          <w:rtl/>
        </w:rPr>
      </w:pPr>
      <w:r>
        <w:rPr>
          <w:rStyle w:val="default"/>
          <w:rFonts w:cs="FrankRuehl" w:hint="cs"/>
          <w:rtl/>
        </w:rPr>
        <w:t>(ו)</w:t>
      </w:r>
      <w:r>
        <w:rPr>
          <w:rStyle w:val="default"/>
          <w:rFonts w:cs="FrankRuehl" w:hint="cs"/>
          <w:rtl/>
        </w:rPr>
        <w:tab/>
        <w:t>חומר של כל גוף או רשות שיש להם סמכות חקירה לפי דין, לגבי מידע שנאסף או נוצר לצורכי חקירה ולגבי מידע מודיעיני;</w:t>
      </w:r>
    </w:p>
    <w:p w:rsidR="009D6B1B" w:rsidRDefault="009D6B1B" w:rsidP="009D6B1B">
      <w:pPr>
        <w:pStyle w:val="P00"/>
        <w:tabs>
          <w:tab w:val="clear" w:pos="624"/>
          <w:tab w:val="clear" w:pos="1021"/>
          <w:tab w:val="clear" w:pos="1474"/>
          <w:tab w:val="clear" w:pos="1928"/>
          <w:tab w:val="clear" w:pos="2381"/>
          <w:tab w:val="clear" w:pos="2835"/>
          <w:tab w:val="clear" w:pos="6259"/>
          <w:tab w:val="left" w:pos="397"/>
          <w:tab w:val="left" w:pos="794"/>
          <w:tab w:val="left" w:pos="6124"/>
        </w:tabs>
        <w:spacing w:before="0"/>
        <w:ind w:left="397" w:right="3969"/>
        <w:jc w:val="left"/>
        <w:rPr>
          <w:rStyle w:val="default"/>
          <w:rFonts w:cs="FrankRuehl" w:hint="cs"/>
          <w:rtl/>
        </w:rPr>
      </w:pPr>
      <w:r>
        <w:rPr>
          <w:rStyle w:val="default"/>
          <w:rFonts w:cs="FrankRuehl" w:hint="cs"/>
          <w:rtl/>
        </w:rPr>
        <w:t>(ז)</w:t>
      </w:r>
      <w:r>
        <w:rPr>
          <w:rStyle w:val="default"/>
          <w:rFonts w:cs="FrankRuehl" w:hint="cs"/>
          <w:rtl/>
        </w:rPr>
        <w:tab/>
        <w:t xml:space="preserve">חומר של לשכת הקשר </w:t>
      </w:r>
      <w:r>
        <w:rPr>
          <w:rStyle w:val="default"/>
          <w:rFonts w:cs="FrankRuehl"/>
          <w:rtl/>
        </w:rPr>
        <w:t>–</w:t>
      </w:r>
      <w:r>
        <w:rPr>
          <w:rStyle w:val="default"/>
          <w:rFonts w:cs="FrankRuehl" w:hint="cs"/>
          <w:rtl/>
        </w:rPr>
        <w:t xml:space="preserve"> נתיב;</w:t>
      </w:r>
    </w:p>
    <w:p w:rsidR="009D6B1B" w:rsidRDefault="009D6B1B" w:rsidP="00551794">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794"/>
          <w:tab w:val="left" w:pos="6124"/>
        </w:tabs>
        <w:spacing w:before="72"/>
        <w:ind w:left="0" w:right="1134"/>
        <w:rPr>
          <w:rStyle w:val="default"/>
          <w:rFonts w:cs="FrankRuehl" w:hint="cs"/>
          <w:rtl/>
        </w:rPr>
      </w:pPr>
      <w:r>
        <w:rPr>
          <w:rStyle w:val="default"/>
          <w:rFonts w:cs="FrankRuehl" w:hint="cs"/>
          <w:rtl/>
        </w:rPr>
        <w:t>5.</w:t>
      </w:r>
      <w:r>
        <w:rPr>
          <w:rStyle w:val="default"/>
          <w:rFonts w:cs="FrankRuehl" w:hint="cs"/>
          <w:rtl/>
        </w:rPr>
        <w:tab/>
      </w:r>
      <w:r w:rsidR="00551794">
        <w:rPr>
          <w:rStyle w:val="default"/>
          <w:rFonts w:cs="FrankRuehl" w:hint="cs"/>
          <w:rtl/>
        </w:rPr>
        <w:t>(א)</w:t>
      </w:r>
      <w:r w:rsidR="00551794">
        <w:rPr>
          <w:rStyle w:val="default"/>
          <w:rFonts w:cs="FrankRuehl" w:hint="cs"/>
          <w:rtl/>
        </w:rPr>
        <w:tab/>
        <w:t xml:space="preserve">החלטות, פרוטוקולים וסטנוגרמות של ישיבות ועדת </w:t>
      </w:r>
      <w:r w:rsidR="00551794">
        <w:rPr>
          <w:rStyle w:val="default"/>
          <w:rFonts w:cs="FrankRuehl" w:hint="cs"/>
          <w:rtl/>
        </w:rPr>
        <w:tab/>
        <w:t>50</w:t>
      </w:r>
    </w:p>
    <w:p w:rsidR="00551794" w:rsidRDefault="00551794" w:rsidP="00551794">
      <w:pPr>
        <w:pStyle w:val="P00"/>
        <w:tabs>
          <w:tab w:val="clear" w:pos="624"/>
          <w:tab w:val="clear" w:pos="1021"/>
          <w:tab w:val="clear" w:pos="1474"/>
          <w:tab w:val="clear" w:pos="1928"/>
          <w:tab w:val="clear" w:pos="2381"/>
          <w:tab w:val="clear" w:pos="2835"/>
          <w:tab w:val="clear" w:pos="6259"/>
          <w:tab w:val="left" w:pos="397"/>
          <w:tab w:val="left" w:pos="6124"/>
        </w:tabs>
        <w:spacing w:before="0"/>
        <w:ind w:left="397" w:right="3969"/>
        <w:jc w:val="left"/>
        <w:rPr>
          <w:rStyle w:val="default"/>
          <w:rFonts w:cs="FrankRuehl" w:hint="cs"/>
          <w:rtl/>
        </w:rPr>
      </w:pPr>
      <w:r>
        <w:rPr>
          <w:rStyle w:val="default"/>
          <w:rFonts w:cs="FrankRuehl" w:hint="cs"/>
          <w:rtl/>
        </w:rPr>
        <w:t>השרים לענייני ביטחון לאומי המכונה "הקבינט המדיני-ביטחוני", או בכינוייה הקודמים, ושל ישיבות הממשלה או ועדות שרים בנושאים שחל עליהם סעיף 35 לחוק-יסוד: הממשלה;</w:t>
      </w:r>
    </w:p>
    <w:p w:rsidR="00551794" w:rsidRDefault="00551794" w:rsidP="00551794">
      <w:pPr>
        <w:pStyle w:val="P00"/>
        <w:tabs>
          <w:tab w:val="clear" w:pos="624"/>
          <w:tab w:val="clear" w:pos="1021"/>
          <w:tab w:val="clear" w:pos="1474"/>
          <w:tab w:val="clear" w:pos="1928"/>
          <w:tab w:val="clear" w:pos="2381"/>
          <w:tab w:val="clear" w:pos="2835"/>
          <w:tab w:val="clear" w:pos="6259"/>
          <w:tab w:val="left" w:pos="397"/>
          <w:tab w:val="left" w:pos="794"/>
          <w:tab w:val="left" w:pos="6124"/>
        </w:tabs>
        <w:spacing w:before="0"/>
        <w:ind w:left="397" w:right="3969"/>
        <w:jc w:val="left"/>
        <w:rPr>
          <w:rStyle w:val="default"/>
          <w:rFonts w:cs="FrankRuehl" w:hint="cs"/>
          <w:rtl/>
        </w:rPr>
      </w:pPr>
      <w:r>
        <w:rPr>
          <w:rStyle w:val="default"/>
          <w:rFonts w:cs="FrankRuehl" w:hint="cs"/>
          <w:rtl/>
        </w:rPr>
        <w:t>(ב)</w:t>
      </w:r>
      <w:r>
        <w:rPr>
          <w:rStyle w:val="default"/>
          <w:rFonts w:cs="FrankRuehl" w:hint="cs"/>
          <w:rtl/>
        </w:rPr>
        <w:tab/>
        <w:t>חומר בענייני ביטחון של משרד הביטחון, צה"ל, וכל שלוחה אחרת של מערכת הביטחון, משרד ראש הממשלה, של משרד החוץ ושל כל משרד ממשלתי אחר או רשות מקומית, שאינם מנויים בפרט 6;</w:t>
      </w:r>
    </w:p>
    <w:p w:rsidR="00551794" w:rsidRDefault="00551794" w:rsidP="00551794">
      <w:pPr>
        <w:pStyle w:val="P00"/>
        <w:tabs>
          <w:tab w:val="clear" w:pos="624"/>
          <w:tab w:val="clear" w:pos="1021"/>
          <w:tab w:val="clear" w:pos="1474"/>
          <w:tab w:val="clear" w:pos="1928"/>
          <w:tab w:val="clear" w:pos="2381"/>
          <w:tab w:val="clear" w:pos="2835"/>
          <w:tab w:val="clear" w:pos="6259"/>
          <w:tab w:val="left" w:pos="397"/>
          <w:tab w:val="left" w:pos="794"/>
          <w:tab w:val="left" w:pos="6124"/>
        </w:tabs>
        <w:spacing w:before="0"/>
        <w:ind w:left="397" w:right="3969"/>
        <w:jc w:val="left"/>
        <w:rPr>
          <w:rStyle w:val="default"/>
          <w:rFonts w:cs="FrankRuehl" w:hint="cs"/>
          <w:rtl/>
        </w:rPr>
      </w:pPr>
      <w:r>
        <w:rPr>
          <w:rStyle w:val="default"/>
          <w:rFonts w:cs="FrankRuehl" w:hint="cs"/>
          <w:rtl/>
        </w:rPr>
        <w:t>(ג)</w:t>
      </w:r>
      <w:r>
        <w:rPr>
          <w:rStyle w:val="default"/>
          <w:rFonts w:cs="FrankRuehl" w:hint="cs"/>
          <w:rtl/>
        </w:rPr>
        <w:tab/>
        <w:t>חומר של יחידות הביטחון במוסדות המדינה בעניינים המונחים על ידי שירות הביטחון הכללי או מטעמו, או על ידי הממונה על הביטחון במערכת הביטחון או מטעמו;</w:t>
      </w:r>
    </w:p>
    <w:p w:rsidR="00551794" w:rsidRDefault="00551794" w:rsidP="00551794">
      <w:pPr>
        <w:pStyle w:val="P00"/>
        <w:tabs>
          <w:tab w:val="clear" w:pos="624"/>
          <w:tab w:val="clear" w:pos="1021"/>
          <w:tab w:val="clear" w:pos="1474"/>
          <w:tab w:val="clear" w:pos="1928"/>
          <w:tab w:val="clear" w:pos="2381"/>
          <w:tab w:val="clear" w:pos="2835"/>
          <w:tab w:val="clear" w:pos="6259"/>
          <w:tab w:val="left" w:pos="397"/>
          <w:tab w:val="left" w:pos="794"/>
          <w:tab w:val="left" w:pos="6124"/>
        </w:tabs>
        <w:spacing w:before="0"/>
        <w:ind w:left="397" w:right="3969"/>
        <w:jc w:val="left"/>
        <w:rPr>
          <w:rStyle w:val="default"/>
          <w:rFonts w:cs="FrankRuehl" w:hint="cs"/>
          <w:rtl/>
        </w:rPr>
      </w:pPr>
      <w:r>
        <w:rPr>
          <w:rStyle w:val="default"/>
          <w:rFonts w:cs="FrankRuehl" w:hint="cs"/>
          <w:rtl/>
        </w:rPr>
        <w:t>(ד)</w:t>
      </w:r>
      <w:r>
        <w:rPr>
          <w:rStyle w:val="default"/>
          <w:rFonts w:cs="FrankRuehl" w:hint="cs"/>
          <w:rtl/>
        </w:rPr>
        <w:tab/>
        <w:t>חומר של המרכז למחקר מדיני, החטיבה לתכנון מדיני והחטיבה לפירוק הנשק במשרד החוץ;</w:t>
      </w:r>
    </w:p>
    <w:p w:rsidR="00551794" w:rsidRDefault="00551794" w:rsidP="00551794">
      <w:pPr>
        <w:pStyle w:val="P00"/>
        <w:tabs>
          <w:tab w:val="clear" w:pos="624"/>
          <w:tab w:val="clear" w:pos="1021"/>
          <w:tab w:val="clear" w:pos="1474"/>
          <w:tab w:val="clear" w:pos="1928"/>
          <w:tab w:val="clear" w:pos="2381"/>
          <w:tab w:val="clear" w:pos="2835"/>
          <w:tab w:val="clear" w:pos="6259"/>
          <w:tab w:val="left" w:pos="397"/>
          <w:tab w:val="left" w:pos="794"/>
          <w:tab w:val="left" w:pos="6124"/>
        </w:tabs>
        <w:spacing w:before="0"/>
        <w:ind w:left="397" w:right="3969"/>
        <w:jc w:val="left"/>
        <w:rPr>
          <w:rStyle w:val="default"/>
          <w:rFonts w:cs="FrankRuehl" w:hint="cs"/>
          <w:rtl/>
        </w:rPr>
      </w:pPr>
      <w:r>
        <w:rPr>
          <w:rStyle w:val="default"/>
          <w:rFonts w:cs="FrankRuehl" w:hint="cs"/>
          <w:rtl/>
        </w:rPr>
        <w:t>(ה)</w:t>
      </w:r>
      <w:r>
        <w:rPr>
          <w:rStyle w:val="default"/>
          <w:rFonts w:cs="FrankRuehl" w:hint="cs"/>
          <w:rtl/>
        </w:rPr>
        <w:tab/>
        <w:t>פרוטוקולים של ישיבות חסויות של ועדת המשנה של ועדת חוץ וביטחון של הכנסת, למעט פרוטוקולים בעניין פעילותן של יחידות כאמור בפרט 6;</w:t>
      </w:r>
    </w:p>
    <w:p w:rsidR="00551794" w:rsidRDefault="00026010" w:rsidP="00026010">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6124"/>
        </w:tabs>
        <w:spacing w:before="72"/>
        <w:ind w:left="0" w:right="1134"/>
        <w:rPr>
          <w:rStyle w:val="default"/>
          <w:rFonts w:cs="FrankRuehl" w:hint="cs"/>
          <w:rtl/>
        </w:rPr>
      </w:pPr>
      <w:r w:rsidRPr="00F36E80">
        <w:rPr>
          <w:rtl/>
          <w:lang w:val="he-IL"/>
        </w:rPr>
        <w:pict>
          <v:shapetype id="_x0000_t202" coordsize="21600,21600" o:spt="202" path="m,l,21600r21600,l21600,xe">
            <v:stroke joinstyle="miter"/>
            <v:path gradientshapeok="t" o:connecttype="rect"/>
          </v:shapetype>
          <v:shape id="_x0000_s2464" type="#_x0000_t202" style="position:absolute;left:0;text-align:left;margin-left:470.25pt;margin-top:7.1pt;width:1in;height:11.95pt;z-index:251662848" filled="f" stroked="f">
            <v:textbox inset="1mm,0,1mm,0">
              <w:txbxContent>
                <w:p w:rsidR="00026010" w:rsidRDefault="00026010" w:rsidP="00026010">
                  <w:pPr>
                    <w:spacing w:line="160" w:lineRule="exact"/>
                    <w:rPr>
                      <w:rFonts w:cs="Miriam" w:hint="cs"/>
                      <w:szCs w:val="18"/>
                      <w:rtl/>
                    </w:rPr>
                  </w:pPr>
                  <w:r>
                    <w:rPr>
                      <w:rFonts w:cs="Miriam" w:hint="cs"/>
                      <w:szCs w:val="18"/>
                      <w:rtl/>
                    </w:rPr>
                    <w:t>תק' תשע"ט-2019</w:t>
                  </w:r>
                </w:p>
              </w:txbxContent>
            </v:textbox>
            <w10:anchorlock/>
          </v:shape>
        </w:pict>
      </w:r>
      <w:r>
        <w:rPr>
          <w:rStyle w:val="default"/>
          <w:rFonts w:cs="FrankRuehl" w:hint="cs"/>
          <w:rtl/>
        </w:rPr>
        <w:t>6.</w:t>
      </w:r>
      <w:r w:rsidRPr="00F36E80">
        <w:rPr>
          <w:rStyle w:val="default"/>
          <w:rFonts w:cs="FrankRuehl" w:hint="cs"/>
          <w:rtl/>
        </w:rPr>
        <w:tab/>
      </w:r>
      <w:r w:rsidR="00551794">
        <w:rPr>
          <w:rStyle w:val="default"/>
          <w:rFonts w:cs="FrankRuehl" w:hint="cs"/>
          <w:rtl/>
        </w:rPr>
        <w:t xml:space="preserve">חומר של יחידות סמך ביטחוניות של משרד ראש הממשלה, </w:t>
      </w:r>
      <w:r w:rsidR="00551794">
        <w:rPr>
          <w:rStyle w:val="default"/>
          <w:rFonts w:cs="FrankRuehl" w:hint="cs"/>
          <w:rtl/>
        </w:rPr>
        <w:tab/>
      </w:r>
      <w:r>
        <w:rPr>
          <w:rStyle w:val="default"/>
          <w:rFonts w:cs="FrankRuehl" w:hint="cs"/>
          <w:rtl/>
        </w:rPr>
        <w:t>9</w:t>
      </w:r>
      <w:r w:rsidR="00551794">
        <w:rPr>
          <w:rStyle w:val="default"/>
          <w:rFonts w:cs="FrankRuehl" w:hint="cs"/>
          <w:rtl/>
        </w:rPr>
        <w:t>0</w:t>
      </w:r>
    </w:p>
    <w:p w:rsidR="00551794" w:rsidRDefault="00551794" w:rsidP="00551794">
      <w:pPr>
        <w:pStyle w:val="P00"/>
        <w:tabs>
          <w:tab w:val="clear" w:pos="624"/>
          <w:tab w:val="clear" w:pos="1021"/>
          <w:tab w:val="clear" w:pos="1474"/>
          <w:tab w:val="clear" w:pos="1928"/>
          <w:tab w:val="clear" w:pos="2381"/>
          <w:tab w:val="clear" w:pos="2835"/>
          <w:tab w:val="clear" w:pos="6259"/>
          <w:tab w:val="left" w:pos="397"/>
          <w:tab w:val="left" w:pos="6124"/>
        </w:tabs>
        <w:spacing w:before="0"/>
        <w:ind w:left="397" w:right="3969"/>
        <w:jc w:val="left"/>
        <w:rPr>
          <w:rStyle w:val="default"/>
          <w:rFonts w:cs="FrankRuehl"/>
          <w:rtl/>
        </w:rPr>
      </w:pPr>
      <w:r>
        <w:rPr>
          <w:rStyle w:val="default"/>
          <w:rFonts w:cs="FrankRuehl" w:hint="cs"/>
          <w:rtl/>
        </w:rPr>
        <w:t>של יחידות ויחידות סמך ביטחוניות של מרד הביטחון ושל יחידות צה"ל, שנק</w:t>
      </w:r>
      <w:r w:rsidR="00926325">
        <w:rPr>
          <w:rStyle w:val="default"/>
          <w:rFonts w:cs="FrankRuehl" w:hint="cs"/>
          <w:rtl/>
        </w:rPr>
        <w:t>ב</w:t>
      </w:r>
      <w:r>
        <w:rPr>
          <w:rStyle w:val="default"/>
          <w:rFonts w:cs="FrankRuehl" w:hint="cs"/>
          <w:rtl/>
        </w:rPr>
        <w:t>עו בתוספת השנייה או לפיה, וחומר ארכיוני בעניין פעילותן של יחידות אלה המצוי בידי מוסדות מדינה אחרים;</w:t>
      </w:r>
    </w:p>
    <w:p w:rsidR="00026010" w:rsidRPr="000F3F2A" w:rsidRDefault="00026010" w:rsidP="00026010">
      <w:pPr>
        <w:pStyle w:val="P00"/>
        <w:tabs>
          <w:tab w:val="clear" w:pos="624"/>
          <w:tab w:val="clear" w:pos="1021"/>
          <w:tab w:val="clear" w:pos="1474"/>
          <w:tab w:val="clear" w:pos="1928"/>
          <w:tab w:val="clear" w:pos="2381"/>
          <w:tab w:val="clear" w:pos="2835"/>
          <w:tab w:val="clear" w:pos="6259"/>
          <w:tab w:val="left" w:pos="397"/>
          <w:tab w:val="left" w:pos="6124"/>
        </w:tabs>
        <w:spacing w:before="0"/>
        <w:ind w:left="0" w:right="1134"/>
        <w:jc w:val="left"/>
        <w:rPr>
          <w:rStyle w:val="default"/>
          <w:rFonts w:cs="FrankRuehl"/>
          <w:vanish/>
          <w:color w:val="FF0000"/>
          <w:sz w:val="20"/>
          <w:szCs w:val="20"/>
          <w:shd w:val="clear" w:color="auto" w:fill="FFFF99"/>
          <w:rtl/>
        </w:rPr>
      </w:pPr>
      <w:bookmarkStart w:id="14" w:name="Rov15"/>
      <w:r w:rsidRPr="000F3F2A">
        <w:rPr>
          <w:rStyle w:val="default"/>
          <w:rFonts w:cs="FrankRuehl" w:hint="cs"/>
          <w:vanish/>
          <w:color w:val="FF0000"/>
          <w:sz w:val="20"/>
          <w:szCs w:val="20"/>
          <w:shd w:val="clear" w:color="auto" w:fill="FFFF99"/>
          <w:rtl/>
        </w:rPr>
        <w:t>מיום 3.2.2019</w:t>
      </w:r>
    </w:p>
    <w:p w:rsidR="00026010" w:rsidRPr="000F3F2A" w:rsidRDefault="00026010" w:rsidP="00026010">
      <w:pPr>
        <w:pStyle w:val="P00"/>
        <w:tabs>
          <w:tab w:val="clear" w:pos="624"/>
          <w:tab w:val="clear" w:pos="1021"/>
          <w:tab w:val="clear" w:pos="1474"/>
          <w:tab w:val="clear" w:pos="1928"/>
          <w:tab w:val="clear" w:pos="2381"/>
          <w:tab w:val="clear" w:pos="2835"/>
          <w:tab w:val="clear" w:pos="6259"/>
          <w:tab w:val="left" w:pos="397"/>
          <w:tab w:val="left" w:pos="6124"/>
        </w:tabs>
        <w:spacing w:before="0"/>
        <w:ind w:left="0" w:right="1134"/>
        <w:jc w:val="left"/>
        <w:rPr>
          <w:rStyle w:val="default"/>
          <w:rFonts w:cs="FrankRuehl"/>
          <w:vanish/>
          <w:sz w:val="20"/>
          <w:szCs w:val="20"/>
          <w:shd w:val="clear" w:color="auto" w:fill="FFFF99"/>
          <w:rtl/>
        </w:rPr>
      </w:pPr>
      <w:r w:rsidRPr="000F3F2A">
        <w:rPr>
          <w:rStyle w:val="default"/>
          <w:rFonts w:cs="FrankRuehl" w:hint="cs"/>
          <w:b/>
          <w:bCs/>
          <w:vanish/>
          <w:sz w:val="20"/>
          <w:szCs w:val="20"/>
          <w:shd w:val="clear" w:color="auto" w:fill="FFFF99"/>
          <w:rtl/>
        </w:rPr>
        <w:t>תק' תשע"ט-2019</w:t>
      </w:r>
    </w:p>
    <w:p w:rsidR="00026010" w:rsidRPr="000F3F2A" w:rsidRDefault="00026010" w:rsidP="00026010">
      <w:pPr>
        <w:pStyle w:val="P00"/>
        <w:tabs>
          <w:tab w:val="clear" w:pos="624"/>
          <w:tab w:val="clear" w:pos="1021"/>
          <w:tab w:val="clear" w:pos="1474"/>
          <w:tab w:val="clear" w:pos="1928"/>
          <w:tab w:val="clear" w:pos="2381"/>
          <w:tab w:val="clear" w:pos="2835"/>
          <w:tab w:val="clear" w:pos="6259"/>
          <w:tab w:val="left" w:pos="397"/>
          <w:tab w:val="left" w:pos="6124"/>
        </w:tabs>
        <w:spacing w:before="0"/>
        <w:ind w:left="0" w:right="1134"/>
        <w:jc w:val="left"/>
        <w:rPr>
          <w:rStyle w:val="default"/>
          <w:rFonts w:cs="FrankRuehl"/>
          <w:vanish/>
          <w:sz w:val="20"/>
          <w:szCs w:val="20"/>
          <w:shd w:val="clear" w:color="auto" w:fill="FFFF99"/>
          <w:rtl/>
        </w:rPr>
      </w:pPr>
      <w:hyperlink r:id="rId7" w:history="1">
        <w:r w:rsidRPr="000F3F2A">
          <w:rPr>
            <w:rStyle w:val="Hyperlink"/>
            <w:rFonts w:cs="FrankRuehl" w:hint="cs"/>
            <w:vanish/>
            <w:szCs w:val="20"/>
            <w:shd w:val="clear" w:color="auto" w:fill="FFFF99"/>
            <w:rtl/>
          </w:rPr>
          <w:t>ק"ת תשע"ט מס' 8162</w:t>
        </w:r>
      </w:hyperlink>
      <w:r w:rsidRPr="000F3F2A">
        <w:rPr>
          <w:rStyle w:val="default"/>
          <w:rFonts w:cs="FrankRuehl" w:hint="cs"/>
          <w:vanish/>
          <w:sz w:val="20"/>
          <w:szCs w:val="20"/>
          <w:shd w:val="clear" w:color="auto" w:fill="FFFF99"/>
          <w:rtl/>
        </w:rPr>
        <w:t xml:space="preserve"> מיום 3.2.2019 עמ' 1964</w:t>
      </w:r>
    </w:p>
    <w:p w:rsidR="00026010" w:rsidRPr="000F3F2A" w:rsidRDefault="00026010" w:rsidP="00026010">
      <w:pPr>
        <w:pStyle w:val="P00"/>
        <w:tabs>
          <w:tab w:val="clear" w:pos="624"/>
          <w:tab w:val="clear" w:pos="1021"/>
          <w:tab w:val="clear" w:pos="1474"/>
          <w:tab w:val="clear" w:pos="1928"/>
          <w:tab w:val="clear" w:pos="2381"/>
          <w:tab w:val="clear" w:pos="2835"/>
          <w:tab w:val="clear" w:pos="6259"/>
          <w:tab w:val="left" w:pos="397"/>
          <w:tab w:val="left" w:pos="6124"/>
        </w:tabs>
        <w:ind w:left="0" w:right="1134"/>
        <w:rPr>
          <w:rStyle w:val="default"/>
          <w:rFonts w:cs="FrankRuehl" w:hint="cs"/>
          <w:vanish/>
          <w:sz w:val="22"/>
          <w:szCs w:val="22"/>
          <w:shd w:val="clear" w:color="auto" w:fill="FFFF99"/>
          <w:rtl/>
        </w:rPr>
      </w:pPr>
      <w:r w:rsidRPr="000F3F2A">
        <w:rPr>
          <w:rStyle w:val="default"/>
          <w:rFonts w:cs="FrankRuehl" w:hint="cs"/>
          <w:vanish/>
          <w:sz w:val="22"/>
          <w:szCs w:val="22"/>
          <w:shd w:val="clear" w:color="auto" w:fill="FFFF99"/>
          <w:rtl/>
        </w:rPr>
        <w:t>6.</w:t>
      </w:r>
      <w:r w:rsidRPr="000F3F2A">
        <w:rPr>
          <w:rStyle w:val="default"/>
          <w:rFonts w:cs="FrankRuehl" w:hint="cs"/>
          <w:vanish/>
          <w:sz w:val="22"/>
          <w:szCs w:val="22"/>
          <w:shd w:val="clear" w:color="auto" w:fill="FFFF99"/>
          <w:rtl/>
        </w:rPr>
        <w:tab/>
        <w:t xml:space="preserve">חומר של יחידות סמך ביטחוניות של משרד ראש הממשלה, </w:t>
      </w:r>
      <w:r w:rsidRPr="000F3F2A">
        <w:rPr>
          <w:rStyle w:val="default"/>
          <w:rFonts w:cs="FrankRuehl" w:hint="cs"/>
          <w:vanish/>
          <w:sz w:val="22"/>
          <w:szCs w:val="22"/>
          <w:shd w:val="clear" w:color="auto" w:fill="FFFF99"/>
          <w:rtl/>
        </w:rPr>
        <w:tab/>
      </w:r>
      <w:r w:rsidRPr="000F3F2A">
        <w:rPr>
          <w:rStyle w:val="default"/>
          <w:rFonts w:cs="FrankRuehl" w:hint="cs"/>
          <w:strike/>
          <w:vanish/>
          <w:sz w:val="22"/>
          <w:szCs w:val="22"/>
          <w:shd w:val="clear" w:color="auto" w:fill="FFFF99"/>
          <w:rtl/>
        </w:rPr>
        <w:t>70</w:t>
      </w:r>
      <w:r w:rsidRPr="000F3F2A">
        <w:rPr>
          <w:rStyle w:val="default"/>
          <w:rFonts w:cs="FrankRuehl" w:hint="cs"/>
          <w:vanish/>
          <w:sz w:val="22"/>
          <w:szCs w:val="22"/>
          <w:shd w:val="clear" w:color="auto" w:fill="FFFF99"/>
          <w:rtl/>
        </w:rPr>
        <w:t xml:space="preserve"> </w:t>
      </w:r>
      <w:r w:rsidRPr="000F3F2A">
        <w:rPr>
          <w:rStyle w:val="default"/>
          <w:rFonts w:cs="FrankRuehl" w:hint="cs"/>
          <w:vanish/>
          <w:sz w:val="22"/>
          <w:szCs w:val="22"/>
          <w:u w:val="single"/>
          <w:shd w:val="clear" w:color="auto" w:fill="FFFF99"/>
          <w:rtl/>
        </w:rPr>
        <w:t>90</w:t>
      </w:r>
    </w:p>
    <w:p w:rsidR="00026010" w:rsidRPr="00926325" w:rsidRDefault="00026010" w:rsidP="00926325">
      <w:pPr>
        <w:pStyle w:val="P00"/>
        <w:tabs>
          <w:tab w:val="clear" w:pos="624"/>
          <w:tab w:val="clear" w:pos="1021"/>
          <w:tab w:val="clear" w:pos="1474"/>
          <w:tab w:val="clear" w:pos="1928"/>
          <w:tab w:val="clear" w:pos="2381"/>
          <w:tab w:val="clear" w:pos="2835"/>
          <w:tab w:val="clear" w:pos="6259"/>
          <w:tab w:val="left" w:pos="397"/>
          <w:tab w:val="left" w:pos="6124"/>
        </w:tabs>
        <w:spacing w:before="0"/>
        <w:ind w:left="397" w:right="3969"/>
        <w:jc w:val="left"/>
        <w:rPr>
          <w:rStyle w:val="default"/>
          <w:rFonts w:cs="FrankRuehl"/>
          <w:sz w:val="2"/>
          <w:szCs w:val="2"/>
          <w:rtl/>
        </w:rPr>
      </w:pPr>
      <w:r w:rsidRPr="000F3F2A">
        <w:rPr>
          <w:rStyle w:val="default"/>
          <w:rFonts w:cs="FrankRuehl" w:hint="cs"/>
          <w:vanish/>
          <w:sz w:val="22"/>
          <w:szCs w:val="22"/>
          <w:shd w:val="clear" w:color="auto" w:fill="FFFF99"/>
          <w:rtl/>
        </w:rPr>
        <w:t>של יחידות ויחידות סמך ביטחוניות של מרד הביטחון ושל יחידות צה"ל, שנק</w:t>
      </w:r>
      <w:r w:rsidR="00926325" w:rsidRPr="000F3F2A">
        <w:rPr>
          <w:rStyle w:val="default"/>
          <w:rFonts w:cs="FrankRuehl" w:hint="cs"/>
          <w:vanish/>
          <w:sz w:val="22"/>
          <w:szCs w:val="22"/>
          <w:shd w:val="clear" w:color="auto" w:fill="FFFF99"/>
          <w:rtl/>
        </w:rPr>
        <w:t>ב</w:t>
      </w:r>
      <w:r w:rsidRPr="000F3F2A">
        <w:rPr>
          <w:rStyle w:val="default"/>
          <w:rFonts w:cs="FrankRuehl" w:hint="cs"/>
          <w:vanish/>
          <w:sz w:val="22"/>
          <w:szCs w:val="22"/>
          <w:shd w:val="clear" w:color="auto" w:fill="FFFF99"/>
          <w:rtl/>
        </w:rPr>
        <w:t>עו בתוספת השנייה או לפיה, וחומר ארכיוני בעניין פעילותן של יחידות אלה המצוי בידי מוסדות מדינה אחרים;</w:t>
      </w:r>
      <w:bookmarkEnd w:id="14"/>
    </w:p>
    <w:p w:rsidR="00551794" w:rsidRDefault="00026010" w:rsidP="00026010">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6124"/>
        </w:tabs>
        <w:spacing w:before="72"/>
        <w:ind w:left="0" w:right="1134"/>
        <w:rPr>
          <w:rStyle w:val="default"/>
          <w:rFonts w:cs="FrankRuehl" w:hint="cs"/>
          <w:rtl/>
        </w:rPr>
      </w:pPr>
      <w:r w:rsidRPr="00F36E80">
        <w:rPr>
          <w:rtl/>
          <w:lang w:val="he-IL"/>
        </w:rPr>
        <w:pict>
          <v:shape id="_x0000_s2465" type="#_x0000_t202" style="position:absolute;left:0;text-align:left;margin-left:470.25pt;margin-top:7.1pt;width:1in;height:11.95pt;z-index:251663872" filled="f" stroked="f">
            <v:textbox inset="1mm,0,1mm,0">
              <w:txbxContent>
                <w:p w:rsidR="00026010" w:rsidRDefault="00026010" w:rsidP="00026010">
                  <w:pPr>
                    <w:spacing w:line="160" w:lineRule="exact"/>
                    <w:rPr>
                      <w:rFonts w:cs="Miriam" w:hint="cs"/>
                      <w:szCs w:val="18"/>
                      <w:rtl/>
                    </w:rPr>
                  </w:pPr>
                  <w:r>
                    <w:rPr>
                      <w:rFonts w:cs="Miriam" w:hint="cs"/>
                      <w:szCs w:val="18"/>
                      <w:rtl/>
                    </w:rPr>
                    <w:t>תק' תשע"ט-2019</w:t>
                  </w:r>
                </w:p>
              </w:txbxContent>
            </v:textbox>
            <w10:anchorlock/>
          </v:shape>
        </w:pict>
      </w:r>
      <w:r>
        <w:rPr>
          <w:rStyle w:val="default"/>
          <w:rFonts w:cs="FrankRuehl" w:hint="cs"/>
          <w:rtl/>
        </w:rPr>
        <w:t>7.</w:t>
      </w:r>
      <w:r w:rsidRPr="00F36E80">
        <w:rPr>
          <w:rStyle w:val="default"/>
          <w:rFonts w:cs="FrankRuehl" w:hint="cs"/>
          <w:rtl/>
        </w:rPr>
        <w:tab/>
      </w:r>
      <w:r w:rsidR="00551794">
        <w:rPr>
          <w:rStyle w:val="default"/>
          <w:rFonts w:cs="FrankRuehl" w:hint="cs"/>
          <w:rtl/>
        </w:rPr>
        <w:t xml:space="preserve">חומר של אגף המודיעין בצה"ל שהוא חומר מודיעיני גולמי </w:t>
      </w:r>
      <w:r w:rsidR="00551794">
        <w:rPr>
          <w:rStyle w:val="default"/>
          <w:rFonts w:cs="FrankRuehl" w:hint="cs"/>
          <w:rtl/>
        </w:rPr>
        <w:tab/>
      </w:r>
      <w:r w:rsidR="00926325">
        <w:rPr>
          <w:rStyle w:val="default"/>
          <w:rFonts w:cs="FrankRuehl" w:hint="cs"/>
          <w:rtl/>
        </w:rPr>
        <w:t>9</w:t>
      </w:r>
      <w:r w:rsidR="00551794">
        <w:rPr>
          <w:rStyle w:val="default"/>
          <w:rFonts w:cs="FrankRuehl" w:hint="cs"/>
          <w:rtl/>
        </w:rPr>
        <w:t>0</w:t>
      </w:r>
    </w:p>
    <w:p w:rsidR="00551794" w:rsidRDefault="00551794" w:rsidP="00551794">
      <w:pPr>
        <w:pStyle w:val="P00"/>
        <w:tabs>
          <w:tab w:val="clear" w:pos="624"/>
          <w:tab w:val="clear" w:pos="1021"/>
          <w:tab w:val="clear" w:pos="1474"/>
          <w:tab w:val="clear" w:pos="1928"/>
          <w:tab w:val="clear" w:pos="2381"/>
          <w:tab w:val="clear" w:pos="2835"/>
          <w:tab w:val="clear" w:pos="6259"/>
          <w:tab w:val="left" w:pos="397"/>
          <w:tab w:val="left" w:pos="6124"/>
        </w:tabs>
        <w:spacing w:before="0"/>
        <w:ind w:left="397" w:right="3969"/>
        <w:jc w:val="left"/>
        <w:rPr>
          <w:rStyle w:val="default"/>
          <w:rFonts w:cs="FrankRuehl"/>
          <w:rtl/>
        </w:rPr>
      </w:pPr>
      <w:r>
        <w:rPr>
          <w:rStyle w:val="default"/>
          <w:rFonts w:cs="FrankRuehl" w:hint="cs"/>
          <w:rtl/>
        </w:rPr>
        <w:t>ממקורות מסווגים בסיווג "סודי" ומעלה [למעט פרסומי מודיעין] וחומר על אודות פעילות איסוף מודיעיני של אגף המודיעין בצה"ל, לרבות פעילות מבצעית או טכנולוגית, לעניין זה, המסווג בסיווג "סודי" ומעלה וכן חומר ארכיוני מסוג זה המצוי בידי מוסדות מדינה אחרים;</w:t>
      </w:r>
    </w:p>
    <w:p w:rsidR="00026010" w:rsidRPr="000F3F2A" w:rsidRDefault="00026010" w:rsidP="00026010">
      <w:pPr>
        <w:pStyle w:val="P00"/>
        <w:tabs>
          <w:tab w:val="clear" w:pos="624"/>
          <w:tab w:val="clear" w:pos="1021"/>
          <w:tab w:val="clear" w:pos="1474"/>
          <w:tab w:val="clear" w:pos="1928"/>
          <w:tab w:val="clear" w:pos="2381"/>
          <w:tab w:val="clear" w:pos="2835"/>
          <w:tab w:val="clear" w:pos="6259"/>
          <w:tab w:val="left" w:pos="397"/>
          <w:tab w:val="left" w:pos="6124"/>
        </w:tabs>
        <w:spacing w:before="0"/>
        <w:ind w:left="0" w:right="1134"/>
        <w:jc w:val="left"/>
        <w:rPr>
          <w:rStyle w:val="default"/>
          <w:rFonts w:cs="FrankRuehl"/>
          <w:vanish/>
          <w:color w:val="FF0000"/>
          <w:sz w:val="20"/>
          <w:szCs w:val="20"/>
          <w:shd w:val="clear" w:color="auto" w:fill="FFFF99"/>
          <w:rtl/>
        </w:rPr>
      </w:pPr>
      <w:bookmarkStart w:id="15" w:name="Rov16"/>
      <w:r w:rsidRPr="000F3F2A">
        <w:rPr>
          <w:rStyle w:val="default"/>
          <w:rFonts w:cs="FrankRuehl" w:hint="cs"/>
          <w:vanish/>
          <w:color w:val="FF0000"/>
          <w:sz w:val="20"/>
          <w:szCs w:val="20"/>
          <w:shd w:val="clear" w:color="auto" w:fill="FFFF99"/>
          <w:rtl/>
        </w:rPr>
        <w:t>מיום 3.2.2019</w:t>
      </w:r>
    </w:p>
    <w:p w:rsidR="00026010" w:rsidRPr="000F3F2A" w:rsidRDefault="00026010" w:rsidP="00026010">
      <w:pPr>
        <w:pStyle w:val="P00"/>
        <w:tabs>
          <w:tab w:val="clear" w:pos="624"/>
          <w:tab w:val="clear" w:pos="1021"/>
          <w:tab w:val="clear" w:pos="1474"/>
          <w:tab w:val="clear" w:pos="1928"/>
          <w:tab w:val="clear" w:pos="2381"/>
          <w:tab w:val="clear" w:pos="2835"/>
          <w:tab w:val="clear" w:pos="6259"/>
          <w:tab w:val="left" w:pos="397"/>
          <w:tab w:val="left" w:pos="6124"/>
        </w:tabs>
        <w:spacing w:before="0"/>
        <w:ind w:left="0" w:right="1134"/>
        <w:jc w:val="left"/>
        <w:rPr>
          <w:rStyle w:val="default"/>
          <w:rFonts w:cs="FrankRuehl"/>
          <w:vanish/>
          <w:sz w:val="20"/>
          <w:szCs w:val="20"/>
          <w:shd w:val="clear" w:color="auto" w:fill="FFFF99"/>
          <w:rtl/>
        </w:rPr>
      </w:pPr>
      <w:r w:rsidRPr="000F3F2A">
        <w:rPr>
          <w:rStyle w:val="default"/>
          <w:rFonts w:cs="FrankRuehl" w:hint="cs"/>
          <w:b/>
          <w:bCs/>
          <w:vanish/>
          <w:sz w:val="20"/>
          <w:szCs w:val="20"/>
          <w:shd w:val="clear" w:color="auto" w:fill="FFFF99"/>
          <w:rtl/>
        </w:rPr>
        <w:t>תק' תשע"ט-2019</w:t>
      </w:r>
    </w:p>
    <w:p w:rsidR="00026010" w:rsidRPr="000F3F2A" w:rsidRDefault="00026010" w:rsidP="00026010">
      <w:pPr>
        <w:pStyle w:val="P00"/>
        <w:tabs>
          <w:tab w:val="clear" w:pos="624"/>
          <w:tab w:val="clear" w:pos="1021"/>
          <w:tab w:val="clear" w:pos="1474"/>
          <w:tab w:val="clear" w:pos="1928"/>
          <w:tab w:val="clear" w:pos="2381"/>
          <w:tab w:val="clear" w:pos="2835"/>
          <w:tab w:val="clear" w:pos="6259"/>
          <w:tab w:val="left" w:pos="397"/>
          <w:tab w:val="left" w:pos="6124"/>
        </w:tabs>
        <w:spacing w:before="0"/>
        <w:ind w:left="0" w:right="1134"/>
        <w:jc w:val="left"/>
        <w:rPr>
          <w:rStyle w:val="default"/>
          <w:rFonts w:cs="FrankRuehl"/>
          <w:vanish/>
          <w:sz w:val="20"/>
          <w:szCs w:val="20"/>
          <w:shd w:val="clear" w:color="auto" w:fill="FFFF99"/>
          <w:rtl/>
        </w:rPr>
      </w:pPr>
      <w:hyperlink r:id="rId8" w:history="1">
        <w:r w:rsidRPr="000F3F2A">
          <w:rPr>
            <w:rStyle w:val="Hyperlink"/>
            <w:rFonts w:cs="FrankRuehl" w:hint="cs"/>
            <w:vanish/>
            <w:szCs w:val="20"/>
            <w:shd w:val="clear" w:color="auto" w:fill="FFFF99"/>
            <w:rtl/>
          </w:rPr>
          <w:t>ק"ת תשע"ט מס' 8162</w:t>
        </w:r>
      </w:hyperlink>
      <w:r w:rsidRPr="000F3F2A">
        <w:rPr>
          <w:rStyle w:val="default"/>
          <w:rFonts w:cs="FrankRuehl" w:hint="cs"/>
          <w:vanish/>
          <w:sz w:val="20"/>
          <w:szCs w:val="20"/>
          <w:shd w:val="clear" w:color="auto" w:fill="FFFF99"/>
          <w:rtl/>
        </w:rPr>
        <w:t xml:space="preserve"> מיום 3.2.2019 עמ' 1964</w:t>
      </w:r>
    </w:p>
    <w:p w:rsidR="00026010" w:rsidRPr="000F3F2A" w:rsidRDefault="00026010" w:rsidP="00026010">
      <w:pPr>
        <w:pStyle w:val="P00"/>
        <w:tabs>
          <w:tab w:val="clear" w:pos="624"/>
          <w:tab w:val="clear" w:pos="1021"/>
          <w:tab w:val="clear" w:pos="1474"/>
          <w:tab w:val="clear" w:pos="1928"/>
          <w:tab w:val="clear" w:pos="2381"/>
          <w:tab w:val="clear" w:pos="2835"/>
          <w:tab w:val="clear" w:pos="6259"/>
          <w:tab w:val="left" w:pos="397"/>
          <w:tab w:val="left" w:pos="6124"/>
        </w:tabs>
        <w:ind w:left="0" w:right="1134"/>
        <w:rPr>
          <w:rStyle w:val="default"/>
          <w:rFonts w:cs="FrankRuehl" w:hint="cs"/>
          <w:vanish/>
          <w:sz w:val="22"/>
          <w:szCs w:val="22"/>
          <w:shd w:val="clear" w:color="auto" w:fill="FFFF99"/>
          <w:rtl/>
        </w:rPr>
      </w:pPr>
      <w:r w:rsidRPr="000F3F2A">
        <w:rPr>
          <w:rStyle w:val="default"/>
          <w:rFonts w:cs="FrankRuehl" w:hint="cs"/>
          <w:vanish/>
          <w:sz w:val="22"/>
          <w:szCs w:val="22"/>
          <w:shd w:val="clear" w:color="auto" w:fill="FFFF99"/>
          <w:rtl/>
        </w:rPr>
        <w:t>7.</w:t>
      </w:r>
      <w:r w:rsidRPr="000F3F2A">
        <w:rPr>
          <w:rStyle w:val="default"/>
          <w:rFonts w:cs="FrankRuehl" w:hint="cs"/>
          <w:vanish/>
          <w:sz w:val="22"/>
          <w:szCs w:val="22"/>
          <w:shd w:val="clear" w:color="auto" w:fill="FFFF99"/>
          <w:rtl/>
        </w:rPr>
        <w:tab/>
        <w:t xml:space="preserve">חומר של אגף המודיעין בצה"ל שהוא חומר מודיעיני גולמי </w:t>
      </w:r>
      <w:r w:rsidRPr="000F3F2A">
        <w:rPr>
          <w:rStyle w:val="default"/>
          <w:rFonts w:cs="FrankRuehl" w:hint="cs"/>
          <w:vanish/>
          <w:sz w:val="22"/>
          <w:szCs w:val="22"/>
          <w:shd w:val="clear" w:color="auto" w:fill="FFFF99"/>
          <w:rtl/>
        </w:rPr>
        <w:tab/>
      </w:r>
      <w:r w:rsidRPr="000F3F2A">
        <w:rPr>
          <w:rStyle w:val="default"/>
          <w:rFonts w:cs="FrankRuehl" w:hint="cs"/>
          <w:strike/>
          <w:vanish/>
          <w:sz w:val="22"/>
          <w:szCs w:val="22"/>
          <w:shd w:val="clear" w:color="auto" w:fill="FFFF99"/>
          <w:rtl/>
        </w:rPr>
        <w:t>70</w:t>
      </w:r>
      <w:r w:rsidR="00926325" w:rsidRPr="000F3F2A">
        <w:rPr>
          <w:rStyle w:val="default"/>
          <w:rFonts w:cs="FrankRuehl" w:hint="cs"/>
          <w:vanish/>
          <w:sz w:val="22"/>
          <w:szCs w:val="22"/>
          <w:shd w:val="clear" w:color="auto" w:fill="FFFF99"/>
          <w:rtl/>
        </w:rPr>
        <w:t xml:space="preserve"> </w:t>
      </w:r>
      <w:r w:rsidR="00926325" w:rsidRPr="000F3F2A">
        <w:rPr>
          <w:rStyle w:val="default"/>
          <w:rFonts w:cs="FrankRuehl" w:hint="cs"/>
          <w:vanish/>
          <w:sz w:val="22"/>
          <w:szCs w:val="22"/>
          <w:u w:val="single"/>
          <w:shd w:val="clear" w:color="auto" w:fill="FFFF99"/>
          <w:rtl/>
        </w:rPr>
        <w:t>90</w:t>
      </w:r>
    </w:p>
    <w:p w:rsidR="00026010" w:rsidRPr="00926325" w:rsidRDefault="00026010" w:rsidP="00926325">
      <w:pPr>
        <w:pStyle w:val="P00"/>
        <w:tabs>
          <w:tab w:val="clear" w:pos="624"/>
          <w:tab w:val="clear" w:pos="1021"/>
          <w:tab w:val="clear" w:pos="1474"/>
          <w:tab w:val="clear" w:pos="1928"/>
          <w:tab w:val="clear" w:pos="2381"/>
          <w:tab w:val="clear" w:pos="2835"/>
          <w:tab w:val="clear" w:pos="6259"/>
          <w:tab w:val="left" w:pos="397"/>
          <w:tab w:val="left" w:pos="6124"/>
        </w:tabs>
        <w:spacing w:before="0"/>
        <w:ind w:left="397" w:right="3969"/>
        <w:jc w:val="left"/>
        <w:rPr>
          <w:rStyle w:val="default"/>
          <w:rFonts w:cs="FrankRuehl"/>
          <w:sz w:val="2"/>
          <w:szCs w:val="2"/>
          <w:rtl/>
        </w:rPr>
      </w:pPr>
      <w:r w:rsidRPr="000F3F2A">
        <w:rPr>
          <w:rStyle w:val="default"/>
          <w:rFonts w:cs="FrankRuehl" w:hint="cs"/>
          <w:vanish/>
          <w:sz w:val="22"/>
          <w:szCs w:val="22"/>
          <w:shd w:val="clear" w:color="auto" w:fill="FFFF99"/>
          <w:rtl/>
        </w:rPr>
        <w:t>ממקורות מסווגים בסיווג "סודי" ומעלה [למעט פרסומי מודיעין] וחומר על אודות פעילות איסוף מודיעיני של אגף המודיעין בצה"ל, לרבות פעילות מבצעית או טכנולוגית, לעניין זה, המסווג בסיווג "סודי" ומעלה וכן חומר ארכיוני מסוג זה המצוי בידי מוסדות מדינה אחרים;</w:t>
      </w:r>
      <w:bookmarkEnd w:id="15"/>
    </w:p>
    <w:p w:rsidR="00551794" w:rsidRDefault="00551794" w:rsidP="00551794">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6124"/>
        </w:tabs>
        <w:spacing w:before="72"/>
        <w:ind w:left="0" w:right="1134"/>
        <w:rPr>
          <w:rStyle w:val="default"/>
          <w:rFonts w:cs="FrankRuehl" w:hint="cs"/>
          <w:rtl/>
        </w:rPr>
      </w:pPr>
      <w:r>
        <w:rPr>
          <w:rStyle w:val="default"/>
          <w:rFonts w:cs="FrankRuehl" w:hint="cs"/>
          <w:rtl/>
        </w:rPr>
        <w:t>8.</w:t>
      </w:r>
      <w:r>
        <w:rPr>
          <w:rStyle w:val="default"/>
          <w:rFonts w:cs="FrankRuehl" w:hint="cs"/>
          <w:rtl/>
        </w:rPr>
        <w:tab/>
        <w:t xml:space="preserve">חומר בענייני פרט של אדם ומסמכים אישיים, אף אם הם </w:t>
      </w:r>
      <w:r>
        <w:rPr>
          <w:rStyle w:val="default"/>
          <w:rFonts w:cs="FrankRuehl" w:hint="cs"/>
          <w:rtl/>
        </w:rPr>
        <w:tab/>
        <w:t>70</w:t>
      </w:r>
    </w:p>
    <w:p w:rsidR="00551794" w:rsidRDefault="00551794" w:rsidP="00551794">
      <w:pPr>
        <w:pStyle w:val="P00"/>
        <w:tabs>
          <w:tab w:val="clear" w:pos="624"/>
          <w:tab w:val="clear" w:pos="1021"/>
          <w:tab w:val="clear" w:pos="1474"/>
          <w:tab w:val="clear" w:pos="1928"/>
          <w:tab w:val="clear" w:pos="2381"/>
          <w:tab w:val="clear" w:pos="2835"/>
          <w:tab w:val="clear" w:pos="6259"/>
          <w:tab w:val="left" w:pos="397"/>
          <w:tab w:val="left" w:pos="6124"/>
        </w:tabs>
        <w:spacing w:before="0"/>
        <w:ind w:left="397" w:right="3969"/>
        <w:jc w:val="left"/>
        <w:rPr>
          <w:rStyle w:val="default"/>
          <w:rFonts w:cs="FrankRuehl" w:hint="cs"/>
          <w:rtl/>
        </w:rPr>
      </w:pPr>
      <w:r>
        <w:rPr>
          <w:rStyle w:val="default"/>
          <w:rFonts w:cs="FrankRuehl" w:hint="cs"/>
          <w:rtl/>
        </w:rPr>
        <w:t>כלולים בחומר המפורט לעיל</w:t>
      </w:r>
      <w:r w:rsidR="004C4AA0">
        <w:rPr>
          <w:rStyle w:val="default"/>
          <w:rFonts w:cs="FrankRuehl" w:hint="cs"/>
          <w:rtl/>
        </w:rPr>
        <w:t>;</w:t>
      </w:r>
    </w:p>
    <w:p w:rsidR="004C4AA0" w:rsidRDefault="004C4AA0" w:rsidP="004C4AA0">
      <w:pPr>
        <w:pStyle w:val="P00"/>
        <w:pBdr>
          <w:top w:val="single" w:sz="4" w:space="1" w:color="auto"/>
        </w:pBdr>
        <w:tabs>
          <w:tab w:val="clear" w:pos="624"/>
          <w:tab w:val="clear" w:pos="1021"/>
          <w:tab w:val="clear" w:pos="1474"/>
          <w:tab w:val="clear" w:pos="1928"/>
          <w:tab w:val="clear" w:pos="2381"/>
          <w:tab w:val="clear" w:pos="2835"/>
          <w:tab w:val="clear" w:pos="6259"/>
          <w:tab w:val="left" w:pos="397"/>
          <w:tab w:val="left" w:pos="6124"/>
        </w:tabs>
        <w:spacing w:before="72"/>
        <w:ind w:left="0" w:right="1134"/>
        <w:rPr>
          <w:rStyle w:val="default"/>
          <w:rFonts w:cs="FrankRuehl" w:hint="cs"/>
          <w:rtl/>
        </w:rPr>
      </w:pPr>
      <w:r w:rsidRPr="00F36E80">
        <w:rPr>
          <w:rtl/>
          <w:lang w:val="he-IL"/>
        </w:rPr>
        <w:pict>
          <v:shape id="_x0000_s2469" type="#_x0000_t202" style="position:absolute;left:0;text-align:left;margin-left:470.25pt;margin-top:7.1pt;width:1in;height:11.95pt;z-index:251665920" filled="f" stroked="f">
            <v:textbox inset="1mm,0,1mm,0">
              <w:txbxContent>
                <w:p w:rsidR="004C4AA0" w:rsidRDefault="004C4AA0" w:rsidP="004C4AA0">
                  <w:pPr>
                    <w:spacing w:line="160" w:lineRule="exact"/>
                    <w:rPr>
                      <w:rFonts w:cs="Miriam" w:hint="cs"/>
                      <w:szCs w:val="18"/>
                      <w:rtl/>
                    </w:rPr>
                  </w:pPr>
                  <w:r>
                    <w:rPr>
                      <w:rFonts w:cs="Miriam" w:hint="cs"/>
                      <w:szCs w:val="18"/>
                      <w:rtl/>
                    </w:rPr>
                    <w:t>תק' תשפ"ב-2022</w:t>
                  </w:r>
                </w:p>
              </w:txbxContent>
            </v:textbox>
            <w10:anchorlock/>
          </v:shape>
        </w:pict>
      </w:r>
      <w:r>
        <w:rPr>
          <w:rStyle w:val="default"/>
          <w:rFonts w:cs="FrankRuehl" w:hint="cs"/>
          <w:rtl/>
        </w:rPr>
        <w:t>9.</w:t>
      </w:r>
      <w:r w:rsidRPr="00F36E80">
        <w:rPr>
          <w:rStyle w:val="default"/>
          <w:rFonts w:cs="FrankRuehl" w:hint="cs"/>
          <w:rtl/>
        </w:rPr>
        <w:tab/>
      </w:r>
      <w:r w:rsidR="000F3F2A">
        <w:rPr>
          <w:rStyle w:val="default"/>
          <w:rFonts w:cs="FrankRuehl" w:hint="cs"/>
          <w:rtl/>
        </w:rPr>
        <w:t xml:space="preserve">חומר של הועדה לאנרגיה אטומית לרבות מרכזי המחקר </w:t>
      </w:r>
      <w:r>
        <w:rPr>
          <w:rStyle w:val="default"/>
          <w:rFonts w:cs="FrankRuehl" w:hint="cs"/>
          <w:rtl/>
        </w:rPr>
        <w:tab/>
        <w:t>90</w:t>
      </w:r>
    </w:p>
    <w:p w:rsidR="004C4AA0" w:rsidRDefault="000F3F2A" w:rsidP="004C4AA0">
      <w:pPr>
        <w:pStyle w:val="P00"/>
        <w:tabs>
          <w:tab w:val="clear" w:pos="624"/>
          <w:tab w:val="clear" w:pos="1021"/>
          <w:tab w:val="clear" w:pos="1474"/>
          <w:tab w:val="clear" w:pos="1928"/>
          <w:tab w:val="clear" w:pos="2381"/>
          <w:tab w:val="clear" w:pos="2835"/>
          <w:tab w:val="clear" w:pos="6259"/>
          <w:tab w:val="left" w:pos="397"/>
          <w:tab w:val="left" w:pos="6124"/>
        </w:tabs>
        <w:spacing w:before="0"/>
        <w:ind w:left="397" w:right="3969"/>
        <w:jc w:val="left"/>
        <w:rPr>
          <w:rStyle w:val="default"/>
          <w:rFonts w:cs="FrankRuehl"/>
          <w:rtl/>
        </w:rPr>
      </w:pPr>
      <w:r>
        <w:rPr>
          <w:rStyle w:val="default"/>
          <w:rFonts w:cs="FrankRuehl" w:hint="cs"/>
          <w:rtl/>
        </w:rPr>
        <w:t>הגרעיני שבאחריותה, וכן חומר ארכיוני בעניינה שמצוי בידי מוסדות מדינה אחרים.</w:t>
      </w:r>
    </w:p>
    <w:p w:rsidR="002B6491" w:rsidRPr="000F3F2A" w:rsidRDefault="004C4AA0" w:rsidP="004C4AA0">
      <w:pPr>
        <w:pStyle w:val="P00"/>
        <w:tabs>
          <w:tab w:val="clear" w:pos="624"/>
          <w:tab w:val="clear" w:pos="1021"/>
          <w:tab w:val="clear" w:pos="1474"/>
          <w:tab w:val="clear" w:pos="1928"/>
          <w:tab w:val="clear" w:pos="2381"/>
          <w:tab w:val="clear" w:pos="2835"/>
          <w:tab w:val="clear" w:pos="6259"/>
          <w:tab w:val="left" w:pos="397"/>
          <w:tab w:val="left" w:pos="6124"/>
        </w:tabs>
        <w:spacing w:before="0"/>
        <w:ind w:left="0" w:right="1134"/>
        <w:jc w:val="left"/>
        <w:rPr>
          <w:rStyle w:val="default"/>
          <w:rFonts w:cs="FrankRuehl"/>
          <w:vanish/>
          <w:color w:val="FF0000"/>
          <w:sz w:val="20"/>
          <w:szCs w:val="20"/>
          <w:shd w:val="clear" w:color="auto" w:fill="FFFF99"/>
          <w:rtl/>
        </w:rPr>
      </w:pPr>
      <w:bookmarkStart w:id="16" w:name="Rov18"/>
      <w:r w:rsidRPr="000F3F2A">
        <w:rPr>
          <w:rStyle w:val="default"/>
          <w:rFonts w:cs="FrankRuehl" w:hint="cs"/>
          <w:vanish/>
          <w:color w:val="FF0000"/>
          <w:sz w:val="20"/>
          <w:szCs w:val="20"/>
          <w:shd w:val="clear" w:color="auto" w:fill="FFFF99"/>
          <w:rtl/>
        </w:rPr>
        <w:t>מיום 1.2.2022</w:t>
      </w:r>
    </w:p>
    <w:p w:rsidR="004C4AA0" w:rsidRPr="000F3F2A" w:rsidRDefault="004C4AA0" w:rsidP="004C4AA0">
      <w:pPr>
        <w:pStyle w:val="P00"/>
        <w:tabs>
          <w:tab w:val="clear" w:pos="624"/>
          <w:tab w:val="clear" w:pos="1021"/>
          <w:tab w:val="clear" w:pos="1474"/>
          <w:tab w:val="clear" w:pos="1928"/>
          <w:tab w:val="clear" w:pos="2381"/>
          <w:tab w:val="clear" w:pos="2835"/>
          <w:tab w:val="clear" w:pos="6259"/>
          <w:tab w:val="left" w:pos="397"/>
          <w:tab w:val="left" w:pos="6124"/>
        </w:tabs>
        <w:spacing w:before="0"/>
        <w:ind w:left="0" w:right="1134"/>
        <w:jc w:val="left"/>
        <w:rPr>
          <w:rStyle w:val="default"/>
          <w:rFonts w:cs="FrankRuehl"/>
          <w:vanish/>
          <w:sz w:val="20"/>
          <w:szCs w:val="20"/>
          <w:shd w:val="clear" w:color="auto" w:fill="FFFF99"/>
          <w:rtl/>
        </w:rPr>
      </w:pPr>
      <w:r w:rsidRPr="000F3F2A">
        <w:rPr>
          <w:rStyle w:val="default"/>
          <w:rFonts w:cs="FrankRuehl" w:hint="cs"/>
          <w:b/>
          <w:bCs/>
          <w:vanish/>
          <w:sz w:val="20"/>
          <w:szCs w:val="20"/>
          <w:shd w:val="clear" w:color="auto" w:fill="FFFF99"/>
          <w:rtl/>
        </w:rPr>
        <w:t>תק' תשפ"ב-2022</w:t>
      </w:r>
    </w:p>
    <w:p w:rsidR="004C4AA0" w:rsidRPr="000F3F2A" w:rsidRDefault="000F3F2A" w:rsidP="004C4AA0">
      <w:pPr>
        <w:pStyle w:val="P00"/>
        <w:tabs>
          <w:tab w:val="clear" w:pos="624"/>
          <w:tab w:val="clear" w:pos="1021"/>
          <w:tab w:val="clear" w:pos="1474"/>
          <w:tab w:val="clear" w:pos="1928"/>
          <w:tab w:val="clear" w:pos="2381"/>
          <w:tab w:val="clear" w:pos="2835"/>
          <w:tab w:val="clear" w:pos="6259"/>
          <w:tab w:val="left" w:pos="397"/>
          <w:tab w:val="left" w:pos="6124"/>
        </w:tabs>
        <w:spacing w:before="0"/>
        <w:ind w:left="0" w:right="1134"/>
        <w:jc w:val="left"/>
        <w:rPr>
          <w:rStyle w:val="default"/>
          <w:rFonts w:cs="FrankRuehl"/>
          <w:vanish/>
          <w:sz w:val="20"/>
          <w:szCs w:val="20"/>
          <w:shd w:val="clear" w:color="auto" w:fill="FFFF99"/>
          <w:rtl/>
        </w:rPr>
      </w:pPr>
      <w:hyperlink r:id="rId9" w:history="1">
        <w:r w:rsidR="004C4AA0" w:rsidRPr="000F3F2A">
          <w:rPr>
            <w:rStyle w:val="Hyperlink"/>
            <w:rFonts w:cs="FrankRuehl" w:hint="cs"/>
            <w:vanish/>
            <w:szCs w:val="20"/>
            <w:shd w:val="clear" w:color="auto" w:fill="FFFF99"/>
            <w:rtl/>
          </w:rPr>
          <w:t xml:space="preserve">ק"ת תשפ"ב </w:t>
        </w:r>
        <w:r w:rsidRPr="000F3F2A">
          <w:rPr>
            <w:rStyle w:val="Hyperlink"/>
            <w:rFonts w:cs="FrankRuehl" w:hint="cs"/>
            <w:vanish/>
            <w:szCs w:val="20"/>
            <w:shd w:val="clear" w:color="auto" w:fill="FFFF99"/>
            <w:rtl/>
          </w:rPr>
          <w:t>9964</w:t>
        </w:r>
      </w:hyperlink>
      <w:r w:rsidRPr="000F3F2A">
        <w:rPr>
          <w:rStyle w:val="default"/>
          <w:rFonts w:cs="FrankRuehl" w:hint="cs"/>
          <w:vanish/>
          <w:sz w:val="20"/>
          <w:szCs w:val="20"/>
          <w:shd w:val="clear" w:color="auto" w:fill="FFFF99"/>
          <w:rtl/>
        </w:rPr>
        <w:t xml:space="preserve"> מיום 1.2.2022 עמ' 1882</w:t>
      </w:r>
    </w:p>
    <w:p w:rsidR="000F3F2A" w:rsidRPr="000F3F2A" w:rsidRDefault="000F3F2A" w:rsidP="000F3F2A">
      <w:pPr>
        <w:pStyle w:val="P00"/>
        <w:tabs>
          <w:tab w:val="clear" w:pos="624"/>
          <w:tab w:val="clear" w:pos="1021"/>
          <w:tab w:val="clear" w:pos="1474"/>
          <w:tab w:val="clear" w:pos="1928"/>
          <w:tab w:val="clear" w:pos="2381"/>
          <w:tab w:val="clear" w:pos="2835"/>
          <w:tab w:val="clear" w:pos="6259"/>
          <w:tab w:val="left" w:pos="397"/>
          <w:tab w:val="left" w:pos="6124"/>
        </w:tabs>
        <w:spacing w:before="0"/>
        <w:ind w:left="0" w:right="1134"/>
        <w:jc w:val="left"/>
        <w:rPr>
          <w:rStyle w:val="default"/>
          <w:rFonts w:cs="FrankRuehl"/>
          <w:sz w:val="2"/>
          <w:szCs w:val="2"/>
          <w:shd w:val="clear" w:color="auto" w:fill="FFFF99"/>
          <w:rtl/>
        </w:rPr>
      </w:pPr>
      <w:r w:rsidRPr="000F3F2A">
        <w:rPr>
          <w:rStyle w:val="default"/>
          <w:rFonts w:cs="FrankRuehl" w:hint="cs"/>
          <w:b/>
          <w:bCs/>
          <w:vanish/>
          <w:sz w:val="20"/>
          <w:szCs w:val="20"/>
          <w:shd w:val="clear" w:color="auto" w:fill="FFFF99"/>
          <w:rtl/>
        </w:rPr>
        <w:t>הוספת פרט 9</w:t>
      </w:r>
      <w:bookmarkEnd w:id="16"/>
    </w:p>
    <w:p w:rsidR="004C4AA0" w:rsidRDefault="004C4AA0" w:rsidP="00551794">
      <w:pPr>
        <w:pStyle w:val="P00"/>
        <w:spacing w:before="72"/>
        <w:ind w:left="0" w:right="1134"/>
        <w:rPr>
          <w:rStyle w:val="default"/>
          <w:rFonts w:cs="FrankRuehl" w:hint="cs"/>
          <w:rtl/>
        </w:rPr>
      </w:pPr>
    </w:p>
    <w:p w:rsidR="00551794" w:rsidRPr="00026010" w:rsidRDefault="00551794" w:rsidP="00026010">
      <w:pPr>
        <w:pStyle w:val="medium2-header"/>
        <w:keepLines w:val="0"/>
        <w:spacing w:before="72"/>
        <w:ind w:left="0" w:right="1134"/>
        <w:rPr>
          <w:rFonts w:cs="FrankRuehl" w:hint="cs"/>
          <w:noProof/>
          <w:sz w:val="20"/>
          <w:rtl/>
        </w:rPr>
      </w:pPr>
      <w:r w:rsidRPr="00026010">
        <w:rPr>
          <w:rFonts w:cs="FrankRuehl" w:hint="cs"/>
          <w:noProof/>
          <w:sz w:val="20"/>
          <w:rtl/>
        </w:rPr>
        <w:t>תוספת שנייה</w:t>
      </w:r>
    </w:p>
    <w:p w:rsidR="00551794" w:rsidRPr="00551794" w:rsidRDefault="00551794" w:rsidP="00551794">
      <w:pPr>
        <w:pStyle w:val="P00"/>
        <w:spacing w:before="72"/>
        <w:ind w:left="0" w:right="1134"/>
        <w:jc w:val="center"/>
        <w:rPr>
          <w:rStyle w:val="default"/>
          <w:rFonts w:cs="FrankRuehl" w:hint="cs"/>
          <w:sz w:val="24"/>
          <w:szCs w:val="24"/>
          <w:rtl/>
        </w:rPr>
      </w:pPr>
      <w:r w:rsidRPr="00551794">
        <w:rPr>
          <w:rStyle w:val="default"/>
          <w:rFonts w:cs="FrankRuehl" w:hint="cs"/>
          <w:sz w:val="24"/>
          <w:szCs w:val="24"/>
          <w:rtl/>
        </w:rPr>
        <w:t>(תקנה 8(ה))</w:t>
      </w:r>
    </w:p>
    <w:p w:rsidR="00551794" w:rsidRDefault="00551794" w:rsidP="00B86D3F">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שירות הביטחון הכללי;</w:t>
      </w:r>
    </w:p>
    <w:p w:rsidR="00551794" w:rsidRDefault="00551794" w:rsidP="00B86D3F">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המוסד למודיעין ולתפקידים מיוחדים;</w:t>
      </w:r>
    </w:p>
    <w:p w:rsidR="00551794" w:rsidRDefault="000F3F2A" w:rsidP="000F3F2A">
      <w:pPr>
        <w:pStyle w:val="P00"/>
        <w:spacing w:before="72"/>
        <w:ind w:left="624" w:right="1134" w:hanging="624"/>
        <w:rPr>
          <w:rStyle w:val="default"/>
          <w:rFonts w:cs="FrankRuehl" w:hint="cs"/>
          <w:rtl/>
        </w:rPr>
      </w:pPr>
      <w:r w:rsidRPr="00F36E80">
        <w:rPr>
          <w:rtl/>
          <w:lang w:val="he-IL"/>
        </w:rPr>
        <w:pict>
          <v:shape id="_x0000_s2470" type="#_x0000_t202" style="position:absolute;left:0;text-align:left;margin-left:470.25pt;margin-top:7.1pt;width:1in;height:11.95pt;z-index:251666944" filled="f" stroked="f">
            <v:textbox inset="1mm,0,1mm,0">
              <w:txbxContent>
                <w:p w:rsidR="000F3F2A" w:rsidRDefault="000F3F2A" w:rsidP="000F3F2A">
                  <w:pPr>
                    <w:spacing w:line="160" w:lineRule="exact"/>
                    <w:rPr>
                      <w:rFonts w:cs="Miriam" w:hint="cs"/>
                      <w:szCs w:val="18"/>
                      <w:rtl/>
                    </w:rPr>
                  </w:pPr>
                  <w:r>
                    <w:rPr>
                      <w:rFonts w:cs="Miriam" w:hint="cs"/>
                      <w:szCs w:val="18"/>
                      <w:rtl/>
                    </w:rPr>
                    <w:t>תק' תשפ"ב-2022</w:t>
                  </w:r>
                </w:p>
              </w:txbxContent>
            </v:textbox>
            <w10:anchorlock/>
          </v:shape>
        </w:pict>
      </w:r>
      <w:r>
        <w:rPr>
          <w:rStyle w:val="default"/>
          <w:rFonts w:cs="FrankRuehl" w:hint="cs"/>
          <w:rtl/>
        </w:rPr>
        <w:t>3.</w:t>
      </w:r>
      <w:r w:rsidRPr="00F36E80">
        <w:rPr>
          <w:rStyle w:val="default"/>
          <w:rFonts w:cs="FrankRuehl" w:hint="cs"/>
          <w:rtl/>
        </w:rPr>
        <w:tab/>
      </w:r>
      <w:r>
        <w:rPr>
          <w:rStyle w:val="default"/>
          <w:rFonts w:cs="FrankRuehl" w:hint="cs"/>
          <w:rtl/>
        </w:rPr>
        <w:t>(נמחק)</w:t>
      </w:r>
      <w:r w:rsidR="00551794">
        <w:rPr>
          <w:rStyle w:val="default"/>
          <w:rFonts w:cs="FrankRuehl" w:hint="cs"/>
          <w:rtl/>
        </w:rPr>
        <w:t>;</w:t>
      </w:r>
    </w:p>
    <w:p w:rsidR="00551794" w:rsidRDefault="00551794" w:rsidP="00B86D3F">
      <w:pPr>
        <w:pStyle w:val="P00"/>
        <w:spacing w:before="72"/>
        <w:ind w:left="624" w:right="1134" w:hanging="624"/>
        <w:rPr>
          <w:rStyle w:val="default"/>
          <w:rFonts w:cs="FrankRuehl"/>
          <w:rtl/>
        </w:rPr>
      </w:pPr>
      <w:r>
        <w:rPr>
          <w:rStyle w:val="default"/>
          <w:rFonts w:cs="FrankRuehl" w:hint="cs"/>
          <w:rtl/>
        </w:rPr>
        <w:t>4.</w:t>
      </w:r>
      <w:r>
        <w:rPr>
          <w:rStyle w:val="default"/>
          <w:rFonts w:cs="FrankRuehl" w:hint="cs"/>
          <w:rtl/>
        </w:rPr>
        <w:tab/>
      </w:r>
      <w:r w:rsidR="00B86D3F">
        <w:rPr>
          <w:rStyle w:val="default"/>
          <w:rFonts w:cs="FrankRuehl" w:hint="cs"/>
          <w:rtl/>
        </w:rPr>
        <w:t>המכון למחקר ביולוגי;</w:t>
      </w:r>
    </w:p>
    <w:p w:rsidR="00B86D3F" w:rsidRDefault="00926325" w:rsidP="00926325">
      <w:pPr>
        <w:pStyle w:val="P00"/>
        <w:spacing w:before="72"/>
        <w:ind w:left="624" w:right="1134" w:hanging="624"/>
        <w:rPr>
          <w:rStyle w:val="default"/>
          <w:rFonts w:cs="FrankRuehl" w:hint="cs"/>
          <w:rtl/>
        </w:rPr>
      </w:pPr>
      <w:r w:rsidRPr="00F36E80">
        <w:rPr>
          <w:rtl/>
          <w:lang w:val="he-IL"/>
        </w:rPr>
        <w:pict>
          <v:shape id="_x0000_s2468" type="#_x0000_t202" style="position:absolute;left:0;text-align:left;margin-left:470.25pt;margin-top:7.1pt;width:1in;height:11.95pt;z-index:251664896" filled="f" stroked="f">
            <v:textbox inset="1mm,0,1mm,0">
              <w:txbxContent>
                <w:p w:rsidR="00926325" w:rsidRDefault="00926325" w:rsidP="00926325">
                  <w:pPr>
                    <w:spacing w:line="160" w:lineRule="exact"/>
                    <w:rPr>
                      <w:rFonts w:cs="Miriam" w:hint="cs"/>
                      <w:szCs w:val="18"/>
                      <w:rtl/>
                    </w:rPr>
                  </w:pPr>
                  <w:r>
                    <w:rPr>
                      <w:rFonts w:cs="Miriam" w:hint="cs"/>
                      <w:szCs w:val="18"/>
                      <w:rtl/>
                    </w:rPr>
                    <w:t>תק' תשע"ט-2019</w:t>
                  </w:r>
                </w:p>
              </w:txbxContent>
            </v:textbox>
            <w10:anchorlock/>
          </v:shape>
        </w:pict>
      </w:r>
      <w:r>
        <w:rPr>
          <w:rStyle w:val="default"/>
          <w:rFonts w:cs="FrankRuehl" w:hint="cs"/>
          <w:rtl/>
        </w:rPr>
        <w:t>5.</w:t>
      </w:r>
      <w:r w:rsidRPr="00F36E80">
        <w:rPr>
          <w:rStyle w:val="default"/>
          <w:rFonts w:cs="FrankRuehl" w:hint="cs"/>
          <w:rtl/>
        </w:rPr>
        <w:tab/>
      </w:r>
      <w:r w:rsidR="00B86D3F">
        <w:rPr>
          <w:rStyle w:val="default"/>
          <w:rFonts w:cs="FrankRuehl" w:hint="cs"/>
          <w:rtl/>
        </w:rPr>
        <w:t xml:space="preserve">יחידות של צה"ל ויחידות ויחידות סמך של משרד הביטחון שקבע שר הביטחון בצו, באישור ועדת משנה של ועדת החוץ והביטחון של הכנסת (להלן </w:t>
      </w:r>
      <w:r w:rsidR="00B86D3F">
        <w:rPr>
          <w:rStyle w:val="default"/>
          <w:rFonts w:cs="FrankRuehl"/>
          <w:rtl/>
        </w:rPr>
        <w:t>–</w:t>
      </w:r>
      <w:r w:rsidR="00B86D3F">
        <w:rPr>
          <w:rStyle w:val="default"/>
          <w:rFonts w:cs="FrankRuehl" w:hint="cs"/>
          <w:rtl/>
        </w:rPr>
        <w:t xml:space="preserve"> הוועדה), כי כדי למנוע פגיעה בביטחון המדינה יש הכרח לקבוע לגביהן תקופת הגבלה מעיון בת </w:t>
      </w:r>
      <w:r>
        <w:rPr>
          <w:rStyle w:val="default"/>
          <w:rFonts w:cs="FrankRuehl" w:hint="cs"/>
          <w:rtl/>
        </w:rPr>
        <w:t>9</w:t>
      </w:r>
      <w:r w:rsidR="00B86D3F">
        <w:rPr>
          <w:rStyle w:val="default"/>
          <w:rFonts w:cs="FrankRuehl" w:hint="cs"/>
          <w:rtl/>
        </w:rPr>
        <w:t>0 שנה; הוועדה רשאית לקבוע כי צו לעניין זה, שאושר על ידה לא יפורסם ברשומות, כולו או חלקו; קבעה הוועדה כאמור, יופקד הצו אצל הגנז.</w:t>
      </w:r>
    </w:p>
    <w:p w:rsidR="00926325" w:rsidRPr="000F3F2A" w:rsidRDefault="00926325" w:rsidP="00926325">
      <w:pPr>
        <w:pStyle w:val="P00"/>
        <w:tabs>
          <w:tab w:val="clear" w:pos="624"/>
          <w:tab w:val="clear" w:pos="1021"/>
          <w:tab w:val="clear" w:pos="1474"/>
          <w:tab w:val="clear" w:pos="1928"/>
          <w:tab w:val="clear" w:pos="2381"/>
          <w:tab w:val="clear" w:pos="2835"/>
          <w:tab w:val="clear" w:pos="6259"/>
          <w:tab w:val="left" w:pos="397"/>
          <w:tab w:val="left" w:pos="6124"/>
        </w:tabs>
        <w:spacing w:before="0"/>
        <w:ind w:left="0" w:right="1134"/>
        <w:jc w:val="left"/>
        <w:rPr>
          <w:rStyle w:val="default"/>
          <w:rFonts w:cs="FrankRuehl"/>
          <w:vanish/>
          <w:color w:val="FF0000"/>
          <w:sz w:val="20"/>
          <w:szCs w:val="20"/>
          <w:shd w:val="clear" w:color="auto" w:fill="FFFF99"/>
          <w:rtl/>
        </w:rPr>
      </w:pPr>
      <w:bookmarkStart w:id="17" w:name="Rov19"/>
      <w:r w:rsidRPr="000F3F2A">
        <w:rPr>
          <w:rStyle w:val="default"/>
          <w:rFonts w:cs="FrankRuehl" w:hint="cs"/>
          <w:vanish/>
          <w:color w:val="FF0000"/>
          <w:sz w:val="20"/>
          <w:szCs w:val="20"/>
          <w:shd w:val="clear" w:color="auto" w:fill="FFFF99"/>
          <w:rtl/>
        </w:rPr>
        <w:t>מיום 3.2.2019</w:t>
      </w:r>
    </w:p>
    <w:p w:rsidR="00926325" w:rsidRPr="000F3F2A" w:rsidRDefault="00926325" w:rsidP="00926325">
      <w:pPr>
        <w:pStyle w:val="P00"/>
        <w:tabs>
          <w:tab w:val="clear" w:pos="624"/>
          <w:tab w:val="clear" w:pos="1021"/>
          <w:tab w:val="clear" w:pos="1474"/>
          <w:tab w:val="clear" w:pos="1928"/>
          <w:tab w:val="clear" w:pos="2381"/>
          <w:tab w:val="clear" w:pos="2835"/>
          <w:tab w:val="clear" w:pos="6259"/>
          <w:tab w:val="left" w:pos="397"/>
          <w:tab w:val="left" w:pos="6124"/>
        </w:tabs>
        <w:spacing w:before="0"/>
        <w:ind w:left="0" w:right="1134"/>
        <w:jc w:val="left"/>
        <w:rPr>
          <w:rStyle w:val="default"/>
          <w:rFonts w:cs="FrankRuehl"/>
          <w:vanish/>
          <w:sz w:val="20"/>
          <w:szCs w:val="20"/>
          <w:shd w:val="clear" w:color="auto" w:fill="FFFF99"/>
          <w:rtl/>
        </w:rPr>
      </w:pPr>
      <w:r w:rsidRPr="000F3F2A">
        <w:rPr>
          <w:rStyle w:val="default"/>
          <w:rFonts w:cs="FrankRuehl" w:hint="cs"/>
          <w:b/>
          <w:bCs/>
          <w:vanish/>
          <w:sz w:val="20"/>
          <w:szCs w:val="20"/>
          <w:shd w:val="clear" w:color="auto" w:fill="FFFF99"/>
          <w:rtl/>
        </w:rPr>
        <w:t>תק' תשע"ט-2019</w:t>
      </w:r>
    </w:p>
    <w:p w:rsidR="00926325" w:rsidRPr="000F3F2A" w:rsidRDefault="00926325" w:rsidP="00926325">
      <w:pPr>
        <w:pStyle w:val="P00"/>
        <w:tabs>
          <w:tab w:val="clear" w:pos="624"/>
          <w:tab w:val="clear" w:pos="1021"/>
          <w:tab w:val="clear" w:pos="1474"/>
          <w:tab w:val="clear" w:pos="1928"/>
          <w:tab w:val="clear" w:pos="2381"/>
          <w:tab w:val="clear" w:pos="2835"/>
          <w:tab w:val="clear" w:pos="6259"/>
          <w:tab w:val="left" w:pos="397"/>
          <w:tab w:val="left" w:pos="6124"/>
        </w:tabs>
        <w:spacing w:before="0"/>
        <w:ind w:left="0" w:right="1134"/>
        <w:jc w:val="left"/>
        <w:rPr>
          <w:rStyle w:val="default"/>
          <w:rFonts w:cs="FrankRuehl"/>
          <w:vanish/>
          <w:sz w:val="20"/>
          <w:szCs w:val="20"/>
          <w:shd w:val="clear" w:color="auto" w:fill="FFFF99"/>
          <w:rtl/>
        </w:rPr>
      </w:pPr>
      <w:hyperlink r:id="rId10" w:history="1">
        <w:r w:rsidRPr="000F3F2A">
          <w:rPr>
            <w:rStyle w:val="Hyperlink"/>
            <w:rFonts w:cs="FrankRuehl" w:hint="cs"/>
            <w:vanish/>
            <w:szCs w:val="20"/>
            <w:shd w:val="clear" w:color="auto" w:fill="FFFF99"/>
            <w:rtl/>
          </w:rPr>
          <w:t>ק"ת תשע"ט מס' 8162</w:t>
        </w:r>
      </w:hyperlink>
      <w:r w:rsidRPr="000F3F2A">
        <w:rPr>
          <w:rStyle w:val="default"/>
          <w:rFonts w:cs="FrankRuehl" w:hint="cs"/>
          <w:vanish/>
          <w:sz w:val="20"/>
          <w:szCs w:val="20"/>
          <w:shd w:val="clear" w:color="auto" w:fill="FFFF99"/>
          <w:rtl/>
        </w:rPr>
        <w:t xml:space="preserve"> מיום 3.2.2019 עמ' 1964</w:t>
      </w:r>
    </w:p>
    <w:p w:rsidR="00926325" w:rsidRPr="000F3F2A" w:rsidRDefault="00926325" w:rsidP="00926325">
      <w:pPr>
        <w:pStyle w:val="P00"/>
        <w:ind w:left="624" w:right="1134" w:hanging="624"/>
        <w:rPr>
          <w:rStyle w:val="default"/>
          <w:rFonts w:cs="FrankRuehl"/>
          <w:vanish/>
          <w:sz w:val="22"/>
          <w:szCs w:val="22"/>
          <w:shd w:val="clear" w:color="auto" w:fill="FFFF99"/>
          <w:rtl/>
        </w:rPr>
      </w:pPr>
      <w:r w:rsidRPr="000F3F2A">
        <w:rPr>
          <w:rStyle w:val="default"/>
          <w:rFonts w:cs="FrankRuehl" w:hint="cs"/>
          <w:vanish/>
          <w:sz w:val="22"/>
          <w:szCs w:val="22"/>
          <w:shd w:val="clear" w:color="auto" w:fill="FFFF99"/>
          <w:rtl/>
        </w:rPr>
        <w:t>5.</w:t>
      </w:r>
      <w:r w:rsidRPr="000F3F2A">
        <w:rPr>
          <w:rStyle w:val="default"/>
          <w:rFonts w:cs="FrankRuehl" w:hint="cs"/>
          <w:vanish/>
          <w:sz w:val="22"/>
          <w:szCs w:val="22"/>
          <w:shd w:val="clear" w:color="auto" w:fill="FFFF99"/>
          <w:rtl/>
        </w:rPr>
        <w:tab/>
        <w:t xml:space="preserve">יחידות של צה"ל ויחידות ויחידות סמך של משרד הביטחון שקבע שר הביטחון בצו, באישור ועדת משנה של ועדת החוץ והביטחון של הכנסת (להלן </w:t>
      </w:r>
      <w:r w:rsidRPr="000F3F2A">
        <w:rPr>
          <w:rStyle w:val="default"/>
          <w:rFonts w:cs="FrankRuehl"/>
          <w:vanish/>
          <w:sz w:val="22"/>
          <w:szCs w:val="22"/>
          <w:shd w:val="clear" w:color="auto" w:fill="FFFF99"/>
          <w:rtl/>
        </w:rPr>
        <w:t>–</w:t>
      </w:r>
      <w:r w:rsidRPr="000F3F2A">
        <w:rPr>
          <w:rStyle w:val="default"/>
          <w:rFonts w:cs="FrankRuehl" w:hint="cs"/>
          <w:vanish/>
          <w:sz w:val="22"/>
          <w:szCs w:val="22"/>
          <w:shd w:val="clear" w:color="auto" w:fill="FFFF99"/>
          <w:rtl/>
        </w:rPr>
        <w:t xml:space="preserve"> הוועדה), כי כדי למנוע פגיעה בביטחון המדינה יש הכרח לקבוע לגביהן תקופת הגבלה מעיון בת </w:t>
      </w:r>
      <w:r w:rsidRPr="000F3F2A">
        <w:rPr>
          <w:rStyle w:val="default"/>
          <w:rFonts w:cs="FrankRuehl" w:hint="cs"/>
          <w:strike/>
          <w:vanish/>
          <w:sz w:val="22"/>
          <w:szCs w:val="22"/>
          <w:shd w:val="clear" w:color="auto" w:fill="FFFF99"/>
          <w:rtl/>
        </w:rPr>
        <w:t>70</w:t>
      </w:r>
      <w:r w:rsidRPr="000F3F2A">
        <w:rPr>
          <w:rStyle w:val="default"/>
          <w:rFonts w:cs="FrankRuehl" w:hint="cs"/>
          <w:vanish/>
          <w:sz w:val="22"/>
          <w:szCs w:val="22"/>
          <w:shd w:val="clear" w:color="auto" w:fill="FFFF99"/>
          <w:rtl/>
        </w:rPr>
        <w:t xml:space="preserve"> </w:t>
      </w:r>
      <w:r w:rsidRPr="000F3F2A">
        <w:rPr>
          <w:rStyle w:val="default"/>
          <w:rFonts w:cs="FrankRuehl" w:hint="cs"/>
          <w:vanish/>
          <w:sz w:val="22"/>
          <w:szCs w:val="22"/>
          <w:u w:val="single"/>
          <w:shd w:val="clear" w:color="auto" w:fill="FFFF99"/>
          <w:rtl/>
        </w:rPr>
        <w:t>90</w:t>
      </w:r>
      <w:r w:rsidRPr="000F3F2A">
        <w:rPr>
          <w:rStyle w:val="default"/>
          <w:rFonts w:cs="FrankRuehl" w:hint="cs"/>
          <w:vanish/>
          <w:sz w:val="22"/>
          <w:szCs w:val="22"/>
          <w:shd w:val="clear" w:color="auto" w:fill="FFFF99"/>
          <w:rtl/>
        </w:rPr>
        <w:t xml:space="preserve"> שנה; הוועדה רשאית לקבוע כי צו לעניין זה, שאושר על ידה לא יפורסם ברשומות, כולו או חלקו; קבעה הוועדה כאמור, יופקד הצו אצל הגנז.</w:t>
      </w:r>
    </w:p>
    <w:p w:rsidR="002B6491" w:rsidRPr="000F3F2A" w:rsidRDefault="002B6491" w:rsidP="000F3F2A">
      <w:pPr>
        <w:pStyle w:val="P00"/>
        <w:tabs>
          <w:tab w:val="clear" w:pos="624"/>
          <w:tab w:val="clear" w:pos="1021"/>
          <w:tab w:val="clear" w:pos="1474"/>
          <w:tab w:val="clear" w:pos="1928"/>
          <w:tab w:val="clear" w:pos="2381"/>
          <w:tab w:val="clear" w:pos="2835"/>
          <w:tab w:val="clear" w:pos="6259"/>
          <w:tab w:val="left" w:pos="397"/>
          <w:tab w:val="left" w:pos="6124"/>
        </w:tabs>
        <w:spacing w:before="0"/>
        <w:ind w:left="0" w:right="1134"/>
        <w:jc w:val="left"/>
        <w:rPr>
          <w:rStyle w:val="default"/>
          <w:rFonts w:cs="FrankRuehl"/>
          <w:vanish/>
          <w:sz w:val="20"/>
          <w:szCs w:val="20"/>
          <w:shd w:val="clear" w:color="auto" w:fill="FFFF99"/>
          <w:rtl/>
        </w:rPr>
      </w:pPr>
    </w:p>
    <w:p w:rsidR="000F3F2A" w:rsidRPr="000F3F2A" w:rsidRDefault="000F3F2A" w:rsidP="000F3F2A">
      <w:pPr>
        <w:pStyle w:val="P00"/>
        <w:tabs>
          <w:tab w:val="clear" w:pos="624"/>
          <w:tab w:val="clear" w:pos="1021"/>
          <w:tab w:val="clear" w:pos="1474"/>
          <w:tab w:val="clear" w:pos="1928"/>
          <w:tab w:val="clear" w:pos="2381"/>
          <w:tab w:val="clear" w:pos="2835"/>
          <w:tab w:val="clear" w:pos="6259"/>
          <w:tab w:val="left" w:pos="397"/>
          <w:tab w:val="left" w:pos="6124"/>
        </w:tabs>
        <w:spacing w:before="0"/>
        <w:ind w:left="0" w:right="1134"/>
        <w:jc w:val="left"/>
        <w:rPr>
          <w:rStyle w:val="default"/>
          <w:rFonts w:cs="FrankRuehl"/>
          <w:vanish/>
          <w:color w:val="FF0000"/>
          <w:sz w:val="20"/>
          <w:szCs w:val="20"/>
          <w:shd w:val="clear" w:color="auto" w:fill="FFFF99"/>
          <w:rtl/>
        </w:rPr>
      </w:pPr>
      <w:r w:rsidRPr="000F3F2A">
        <w:rPr>
          <w:rStyle w:val="default"/>
          <w:rFonts w:cs="FrankRuehl" w:hint="cs"/>
          <w:vanish/>
          <w:color w:val="FF0000"/>
          <w:sz w:val="20"/>
          <w:szCs w:val="20"/>
          <w:shd w:val="clear" w:color="auto" w:fill="FFFF99"/>
          <w:rtl/>
        </w:rPr>
        <w:t>מיום 1.2.2022</w:t>
      </w:r>
    </w:p>
    <w:p w:rsidR="000F3F2A" w:rsidRPr="000F3F2A" w:rsidRDefault="000F3F2A" w:rsidP="000F3F2A">
      <w:pPr>
        <w:pStyle w:val="P00"/>
        <w:tabs>
          <w:tab w:val="clear" w:pos="624"/>
          <w:tab w:val="clear" w:pos="1021"/>
          <w:tab w:val="clear" w:pos="1474"/>
          <w:tab w:val="clear" w:pos="1928"/>
          <w:tab w:val="clear" w:pos="2381"/>
          <w:tab w:val="clear" w:pos="2835"/>
          <w:tab w:val="clear" w:pos="6259"/>
          <w:tab w:val="left" w:pos="397"/>
          <w:tab w:val="left" w:pos="6124"/>
        </w:tabs>
        <w:spacing w:before="0"/>
        <w:ind w:left="0" w:right="1134"/>
        <w:jc w:val="left"/>
        <w:rPr>
          <w:rStyle w:val="default"/>
          <w:rFonts w:cs="FrankRuehl"/>
          <w:vanish/>
          <w:sz w:val="20"/>
          <w:szCs w:val="20"/>
          <w:shd w:val="clear" w:color="auto" w:fill="FFFF99"/>
          <w:rtl/>
        </w:rPr>
      </w:pPr>
      <w:r w:rsidRPr="000F3F2A">
        <w:rPr>
          <w:rStyle w:val="default"/>
          <w:rFonts w:cs="FrankRuehl" w:hint="cs"/>
          <w:b/>
          <w:bCs/>
          <w:vanish/>
          <w:sz w:val="20"/>
          <w:szCs w:val="20"/>
          <w:shd w:val="clear" w:color="auto" w:fill="FFFF99"/>
          <w:rtl/>
        </w:rPr>
        <w:t>תק' תשפ"ב-2022</w:t>
      </w:r>
    </w:p>
    <w:p w:rsidR="000F3F2A" w:rsidRPr="000F3F2A" w:rsidRDefault="000F3F2A" w:rsidP="000F3F2A">
      <w:pPr>
        <w:pStyle w:val="P00"/>
        <w:tabs>
          <w:tab w:val="clear" w:pos="624"/>
          <w:tab w:val="clear" w:pos="1021"/>
          <w:tab w:val="clear" w:pos="1474"/>
          <w:tab w:val="clear" w:pos="1928"/>
          <w:tab w:val="clear" w:pos="2381"/>
          <w:tab w:val="clear" w:pos="2835"/>
          <w:tab w:val="clear" w:pos="6259"/>
          <w:tab w:val="left" w:pos="397"/>
          <w:tab w:val="left" w:pos="6124"/>
        </w:tabs>
        <w:spacing w:before="0"/>
        <w:ind w:left="0" w:right="1134"/>
        <w:jc w:val="left"/>
        <w:rPr>
          <w:rStyle w:val="default"/>
          <w:rFonts w:cs="FrankRuehl"/>
          <w:vanish/>
          <w:sz w:val="20"/>
          <w:szCs w:val="20"/>
          <w:shd w:val="clear" w:color="auto" w:fill="FFFF99"/>
          <w:rtl/>
        </w:rPr>
      </w:pPr>
      <w:hyperlink r:id="rId11" w:history="1">
        <w:r w:rsidRPr="000F3F2A">
          <w:rPr>
            <w:rStyle w:val="Hyperlink"/>
            <w:rFonts w:cs="FrankRuehl" w:hint="cs"/>
            <w:vanish/>
            <w:szCs w:val="20"/>
            <w:shd w:val="clear" w:color="auto" w:fill="FFFF99"/>
            <w:rtl/>
          </w:rPr>
          <w:t>ק"ת תשפ"ב 9964</w:t>
        </w:r>
      </w:hyperlink>
      <w:r w:rsidRPr="000F3F2A">
        <w:rPr>
          <w:rStyle w:val="default"/>
          <w:rFonts w:cs="FrankRuehl" w:hint="cs"/>
          <w:vanish/>
          <w:sz w:val="20"/>
          <w:szCs w:val="20"/>
          <w:shd w:val="clear" w:color="auto" w:fill="FFFF99"/>
          <w:rtl/>
        </w:rPr>
        <w:t xml:space="preserve"> מיום 1.2.2022 עמ' 1882</w:t>
      </w:r>
    </w:p>
    <w:p w:rsidR="000F3F2A" w:rsidRPr="000F3F2A" w:rsidRDefault="000F3F2A" w:rsidP="000F3F2A">
      <w:pPr>
        <w:pStyle w:val="P00"/>
        <w:tabs>
          <w:tab w:val="clear" w:pos="624"/>
          <w:tab w:val="clear" w:pos="1021"/>
          <w:tab w:val="clear" w:pos="1474"/>
          <w:tab w:val="clear" w:pos="1928"/>
          <w:tab w:val="clear" w:pos="2381"/>
          <w:tab w:val="clear" w:pos="2835"/>
          <w:tab w:val="clear" w:pos="6259"/>
          <w:tab w:val="left" w:pos="397"/>
          <w:tab w:val="left" w:pos="6124"/>
        </w:tabs>
        <w:spacing w:before="0"/>
        <w:ind w:left="0" w:right="1134"/>
        <w:jc w:val="left"/>
        <w:rPr>
          <w:rStyle w:val="default"/>
          <w:rFonts w:cs="FrankRuehl"/>
          <w:vanish/>
          <w:sz w:val="20"/>
          <w:szCs w:val="20"/>
          <w:shd w:val="clear" w:color="auto" w:fill="FFFF99"/>
          <w:rtl/>
        </w:rPr>
      </w:pPr>
      <w:r w:rsidRPr="000F3F2A">
        <w:rPr>
          <w:rStyle w:val="default"/>
          <w:rFonts w:cs="FrankRuehl" w:hint="cs"/>
          <w:b/>
          <w:bCs/>
          <w:vanish/>
          <w:sz w:val="20"/>
          <w:szCs w:val="20"/>
          <w:shd w:val="clear" w:color="auto" w:fill="FFFF99"/>
          <w:rtl/>
        </w:rPr>
        <w:t>מחיקת פרט 3</w:t>
      </w:r>
    </w:p>
    <w:p w:rsidR="000F3F2A" w:rsidRPr="000F3F2A" w:rsidRDefault="000F3F2A" w:rsidP="000F3F2A">
      <w:pPr>
        <w:pStyle w:val="P00"/>
        <w:tabs>
          <w:tab w:val="clear" w:pos="624"/>
          <w:tab w:val="clear" w:pos="1021"/>
          <w:tab w:val="clear" w:pos="1474"/>
          <w:tab w:val="clear" w:pos="1928"/>
          <w:tab w:val="clear" w:pos="2381"/>
          <w:tab w:val="clear" w:pos="2835"/>
          <w:tab w:val="clear" w:pos="6259"/>
          <w:tab w:val="left" w:pos="397"/>
          <w:tab w:val="left" w:pos="6124"/>
        </w:tabs>
        <w:ind w:left="0" w:right="1134"/>
        <w:jc w:val="left"/>
        <w:rPr>
          <w:rStyle w:val="default"/>
          <w:rFonts w:cs="FrankRuehl"/>
          <w:vanish/>
          <w:sz w:val="20"/>
          <w:szCs w:val="20"/>
          <w:shd w:val="clear" w:color="auto" w:fill="FFFF99"/>
          <w:rtl/>
        </w:rPr>
      </w:pPr>
      <w:r w:rsidRPr="000F3F2A">
        <w:rPr>
          <w:rStyle w:val="default"/>
          <w:rFonts w:cs="FrankRuehl" w:hint="cs"/>
          <w:vanish/>
          <w:sz w:val="20"/>
          <w:szCs w:val="20"/>
          <w:shd w:val="clear" w:color="auto" w:fill="FFFF99"/>
          <w:rtl/>
        </w:rPr>
        <w:t>הנוסח הקודם:</w:t>
      </w:r>
    </w:p>
    <w:p w:rsidR="000F3F2A" w:rsidRPr="000F3F2A" w:rsidRDefault="000F3F2A" w:rsidP="000F3F2A">
      <w:pPr>
        <w:pStyle w:val="P00"/>
        <w:spacing w:before="0"/>
        <w:ind w:left="624" w:right="1134" w:hanging="624"/>
        <w:rPr>
          <w:rStyle w:val="default"/>
          <w:rFonts w:cs="FrankRuehl" w:hint="cs"/>
          <w:strike/>
          <w:sz w:val="2"/>
          <w:szCs w:val="2"/>
          <w:shd w:val="clear" w:color="auto" w:fill="FFFF99"/>
          <w:rtl/>
        </w:rPr>
      </w:pPr>
      <w:r w:rsidRPr="000F3F2A">
        <w:rPr>
          <w:rStyle w:val="default"/>
          <w:rFonts w:cs="FrankRuehl" w:hint="cs"/>
          <w:strike/>
          <w:vanish/>
          <w:sz w:val="22"/>
          <w:szCs w:val="22"/>
          <w:shd w:val="clear" w:color="auto" w:fill="FFFF99"/>
          <w:rtl/>
        </w:rPr>
        <w:t>3.</w:t>
      </w:r>
      <w:r w:rsidRPr="000F3F2A">
        <w:rPr>
          <w:rStyle w:val="default"/>
          <w:rFonts w:cs="FrankRuehl" w:hint="cs"/>
          <w:strike/>
          <w:vanish/>
          <w:sz w:val="22"/>
          <w:szCs w:val="22"/>
          <w:shd w:val="clear" w:color="auto" w:fill="FFFF99"/>
          <w:rtl/>
        </w:rPr>
        <w:tab/>
        <w:t>הוועדה לאנרגיה אטומית ומרכזי המחקר הגרעיני שבאחריותה;</w:t>
      </w:r>
      <w:bookmarkEnd w:id="17"/>
    </w:p>
    <w:p w:rsidR="000F3F2A" w:rsidRDefault="000F3F2A">
      <w:pPr>
        <w:pStyle w:val="P00"/>
        <w:spacing w:before="72"/>
        <w:ind w:left="0" w:right="1134"/>
        <w:rPr>
          <w:rStyle w:val="default"/>
          <w:rFonts w:cs="FrankRuehl" w:hint="cs"/>
          <w:rtl/>
        </w:rPr>
      </w:pPr>
    </w:p>
    <w:p w:rsidR="000A51DD" w:rsidRDefault="000A51DD">
      <w:pPr>
        <w:pStyle w:val="P00"/>
        <w:spacing w:before="72"/>
        <w:ind w:left="0" w:right="1134"/>
        <w:rPr>
          <w:rStyle w:val="default"/>
          <w:rFonts w:cs="FrankRuehl" w:hint="cs"/>
          <w:rtl/>
        </w:rPr>
      </w:pPr>
    </w:p>
    <w:p w:rsidR="000A51DD" w:rsidRDefault="00B86D3F" w:rsidP="00B86D3F">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כ"ט בתמוז</w:t>
      </w:r>
      <w:r w:rsidR="001B3C7B">
        <w:rPr>
          <w:rStyle w:val="default"/>
          <w:rFonts w:cs="FrankRuehl" w:hint="cs"/>
          <w:rtl/>
        </w:rPr>
        <w:t xml:space="preserve"> התש"ע (1</w:t>
      </w:r>
      <w:r>
        <w:rPr>
          <w:rStyle w:val="default"/>
          <w:rFonts w:cs="FrankRuehl" w:hint="cs"/>
          <w:rtl/>
        </w:rPr>
        <w:t>1</w:t>
      </w:r>
      <w:r w:rsidR="001B3C7B">
        <w:rPr>
          <w:rStyle w:val="default"/>
          <w:rFonts w:cs="FrankRuehl" w:hint="cs"/>
          <w:rtl/>
        </w:rPr>
        <w:t xml:space="preserve"> ביולי 2010</w:t>
      </w:r>
      <w:r w:rsidR="000A51DD">
        <w:rPr>
          <w:rStyle w:val="default"/>
          <w:rFonts w:cs="FrankRuehl" w:hint="cs"/>
          <w:rtl/>
        </w:rPr>
        <w:t>)</w:t>
      </w:r>
      <w:r w:rsidR="000A51DD">
        <w:rPr>
          <w:rStyle w:val="default"/>
          <w:rFonts w:cs="FrankRuehl" w:hint="cs"/>
          <w:rtl/>
        </w:rPr>
        <w:tab/>
      </w:r>
      <w:r>
        <w:rPr>
          <w:rStyle w:val="default"/>
          <w:rFonts w:cs="FrankRuehl" w:hint="cs"/>
          <w:rtl/>
        </w:rPr>
        <w:t>בנימין נתניהו</w:t>
      </w:r>
    </w:p>
    <w:p w:rsidR="00F83AB4" w:rsidRDefault="00F83AB4" w:rsidP="00B86D3F">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B86D3F">
        <w:rPr>
          <w:rFonts w:cs="FrankRuehl" w:hint="cs"/>
          <w:sz w:val="22"/>
          <w:szCs w:val="22"/>
          <w:rtl/>
        </w:rPr>
        <w:t>ראש הממשלה</w:t>
      </w:r>
    </w:p>
    <w:p w:rsidR="002B6491" w:rsidRDefault="002B6491">
      <w:pPr>
        <w:pStyle w:val="sig-0"/>
        <w:tabs>
          <w:tab w:val="clear" w:pos="4820"/>
          <w:tab w:val="center" w:pos="5670"/>
        </w:tabs>
        <w:ind w:left="0" w:right="1134"/>
        <w:rPr>
          <w:rFonts w:cs="FrankRuehl" w:hint="cs"/>
          <w:sz w:val="26"/>
          <w:rtl/>
        </w:rPr>
      </w:pPr>
    </w:p>
    <w:p w:rsidR="000A51DD" w:rsidRDefault="000A51DD">
      <w:pPr>
        <w:pStyle w:val="sig-0"/>
        <w:tabs>
          <w:tab w:val="clear" w:pos="4820"/>
          <w:tab w:val="center" w:pos="5670"/>
        </w:tabs>
        <w:ind w:left="0" w:right="1134"/>
        <w:rPr>
          <w:rFonts w:cs="FrankRuehl" w:hint="cs"/>
          <w:sz w:val="26"/>
          <w:rtl/>
        </w:rPr>
      </w:pPr>
    </w:p>
    <w:p w:rsidR="00F0342A" w:rsidRDefault="00F0342A">
      <w:pPr>
        <w:pStyle w:val="sig-0"/>
        <w:ind w:left="0" w:right="1134"/>
        <w:rPr>
          <w:rFonts w:cs="FrankRuehl"/>
          <w:sz w:val="26"/>
          <w:rtl/>
        </w:rPr>
      </w:pPr>
    </w:p>
    <w:p w:rsidR="00F0342A" w:rsidRDefault="00F0342A" w:rsidP="00F0342A">
      <w:pPr>
        <w:pStyle w:val="sig-0"/>
        <w:ind w:left="0" w:right="1134"/>
        <w:jc w:val="center"/>
        <w:rPr>
          <w:rFonts w:cs="David"/>
          <w:color w:val="0000FF"/>
          <w:sz w:val="26"/>
          <w:szCs w:val="24"/>
          <w:u w:val="single"/>
          <w:rtl/>
        </w:rPr>
      </w:pPr>
      <w:hyperlink r:id="rId12" w:history="1">
        <w:r>
          <w:rPr>
            <w:rFonts w:cs="David"/>
            <w:color w:val="0000FF"/>
            <w:sz w:val="26"/>
            <w:szCs w:val="24"/>
            <w:u w:val="single"/>
            <w:rtl/>
          </w:rPr>
          <w:t>הודעה למנויים על עריכה ושינויים במסמכי פסיקה, חקיקה ועוד באתר נבו - הקש כאן</w:t>
        </w:r>
      </w:hyperlink>
    </w:p>
    <w:p w:rsidR="000A51DD" w:rsidRPr="00F0342A" w:rsidRDefault="000A51DD" w:rsidP="00F0342A">
      <w:pPr>
        <w:pStyle w:val="sig-0"/>
        <w:ind w:left="0" w:right="1134"/>
        <w:jc w:val="center"/>
        <w:rPr>
          <w:rFonts w:cs="David" w:hint="cs"/>
          <w:color w:val="0000FF"/>
          <w:sz w:val="26"/>
          <w:szCs w:val="24"/>
          <w:u w:val="single"/>
          <w:rtl/>
        </w:rPr>
      </w:pPr>
    </w:p>
    <w:sectPr w:rsidR="000A51DD" w:rsidRPr="00F0342A">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6554" w:rsidRDefault="00A96554">
      <w:r>
        <w:separator/>
      </w:r>
    </w:p>
  </w:endnote>
  <w:endnote w:type="continuationSeparator" w:id="0">
    <w:p w:rsidR="00A96554" w:rsidRDefault="00A96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6B1B" w:rsidRDefault="009D6B1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D6B1B" w:rsidRDefault="009D6B1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D6B1B" w:rsidRDefault="009D6B1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0342A">
      <w:rPr>
        <w:rFonts w:cs="TopType Jerushalmi"/>
        <w:noProof/>
        <w:color w:val="000000"/>
        <w:sz w:val="14"/>
        <w:szCs w:val="14"/>
      </w:rPr>
      <w:t>V:\000-law\yael\10-08-05\tav\500_363.doc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6B1B" w:rsidRDefault="009D6B1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2739E">
      <w:rPr>
        <w:rFonts w:hAnsi="FrankRuehl" w:cs="FrankRuehl"/>
        <w:noProof/>
        <w:sz w:val="24"/>
        <w:szCs w:val="24"/>
        <w:rtl/>
      </w:rPr>
      <w:t>3</w:t>
    </w:r>
    <w:r>
      <w:rPr>
        <w:rFonts w:hAnsi="FrankRuehl" w:cs="FrankRuehl"/>
        <w:sz w:val="24"/>
        <w:szCs w:val="24"/>
        <w:rtl/>
      </w:rPr>
      <w:fldChar w:fldCharType="end"/>
    </w:r>
  </w:p>
  <w:p w:rsidR="009D6B1B" w:rsidRDefault="009D6B1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D6B1B" w:rsidRDefault="009D6B1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0342A">
      <w:rPr>
        <w:rFonts w:cs="TopType Jerushalmi"/>
        <w:noProof/>
        <w:color w:val="000000"/>
        <w:sz w:val="14"/>
        <w:szCs w:val="14"/>
      </w:rPr>
      <w:t>V:\000-law\yael\10-08-05\tav\500_363.doc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6554" w:rsidRDefault="00A96554">
      <w:pPr>
        <w:pStyle w:val="a5"/>
        <w:rPr>
          <w:rFonts w:cs="David"/>
          <w:sz w:val="24"/>
          <w:szCs w:val="24"/>
        </w:rPr>
      </w:pPr>
      <w:r>
        <w:separator/>
      </w:r>
    </w:p>
  </w:footnote>
  <w:footnote w:type="continuationSeparator" w:id="0">
    <w:p w:rsidR="00A96554" w:rsidRDefault="00A96554">
      <w:r>
        <w:continuationSeparator/>
      </w:r>
    </w:p>
  </w:footnote>
  <w:footnote w:id="1">
    <w:p w:rsidR="009664EA" w:rsidRDefault="009D6B1B" w:rsidP="009664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r w:rsidRPr="00F770F1">
        <w:rPr>
          <w:rFonts w:cs="FrankRuehl" w:hint="cs"/>
          <w:rtl/>
        </w:rPr>
        <w:t>ק</w:t>
      </w:r>
      <w:hyperlink r:id="rId1" w:history="1">
        <w:r w:rsidRPr="009664EA">
          <w:rPr>
            <w:rStyle w:val="Hyperlink"/>
            <w:rFonts w:cs="FrankRuehl" w:hint="cs"/>
            <w:rtl/>
          </w:rPr>
          <w:t>"ת תש"ע מס' 6917</w:t>
        </w:r>
      </w:hyperlink>
      <w:r>
        <w:rPr>
          <w:rFonts w:cs="FrankRuehl" w:hint="cs"/>
          <w:rtl/>
        </w:rPr>
        <w:t xml:space="preserve"> מיום 5.8.2010 עמ' 1462.</w:t>
      </w:r>
    </w:p>
    <w:p w:rsidR="00FF0601" w:rsidRDefault="00026010" w:rsidP="00FF06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FF0601">
          <w:rPr>
            <w:rStyle w:val="Hyperlink"/>
            <w:rFonts w:cs="FrankRuehl" w:hint="cs"/>
            <w:rtl/>
          </w:rPr>
          <w:t>ק"ת תשע"ט מס' 8162</w:t>
        </w:r>
      </w:hyperlink>
      <w:r>
        <w:rPr>
          <w:rFonts w:cs="FrankRuehl" w:hint="cs"/>
          <w:rtl/>
        </w:rPr>
        <w:t xml:space="preserve"> מיום 3.2.2019 עמ' 1964 </w:t>
      </w:r>
      <w:r>
        <w:rPr>
          <w:rFonts w:cs="FrankRuehl"/>
          <w:rtl/>
        </w:rPr>
        <w:t>–</w:t>
      </w:r>
      <w:r>
        <w:rPr>
          <w:rFonts w:cs="FrankRuehl" w:hint="cs"/>
          <w:rtl/>
        </w:rPr>
        <w:t xml:space="preserve"> תק' תשע"ט-2019.</w:t>
      </w:r>
    </w:p>
    <w:p w:rsidR="0022739E" w:rsidRDefault="0022739E" w:rsidP="002273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4C4AA0" w:rsidRPr="0022739E">
          <w:rPr>
            <w:rStyle w:val="Hyperlink"/>
            <w:rFonts w:cs="FrankRuehl" w:hint="cs"/>
            <w:rtl/>
          </w:rPr>
          <w:t>ק"ת תשפ"ב מס' 9964</w:t>
        </w:r>
      </w:hyperlink>
      <w:r w:rsidR="004C4AA0">
        <w:rPr>
          <w:rFonts w:cs="FrankRuehl" w:hint="cs"/>
          <w:rtl/>
        </w:rPr>
        <w:t xml:space="preserve"> מיום 1.2.2022 עמ' 1882 </w:t>
      </w:r>
      <w:r w:rsidR="004C4AA0">
        <w:rPr>
          <w:rFonts w:cs="FrankRuehl"/>
          <w:rtl/>
        </w:rPr>
        <w:t>–</w:t>
      </w:r>
      <w:r w:rsidR="004C4AA0">
        <w:rPr>
          <w:rFonts w:cs="FrankRuehl" w:hint="cs"/>
          <w:rtl/>
        </w:rPr>
        <w:t xml:space="preserve"> תק'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6B1B" w:rsidRDefault="009D6B1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D6B1B" w:rsidRDefault="009D6B1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D6B1B" w:rsidRDefault="009D6B1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6B1B" w:rsidRDefault="009D6B1B" w:rsidP="002B649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הארכיונים (עיון בחומר ארכיוני המופקד בגנזך), תש"ע-2010</w:t>
    </w:r>
  </w:p>
  <w:p w:rsidR="009D6B1B" w:rsidRDefault="009D6B1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D6B1B" w:rsidRDefault="009D6B1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41520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1211C"/>
    <w:rsid w:val="00017282"/>
    <w:rsid w:val="00026010"/>
    <w:rsid w:val="00036FDC"/>
    <w:rsid w:val="000418F4"/>
    <w:rsid w:val="00074689"/>
    <w:rsid w:val="00087314"/>
    <w:rsid w:val="000A51DD"/>
    <w:rsid w:val="000A54AF"/>
    <w:rsid w:val="000C4B22"/>
    <w:rsid w:val="000D77F1"/>
    <w:rsid w:val="000E0280"/>
    <w:rsid w:val="000E2C54"/>
    <w:rsid w:val="000F3F2A"/>
    <w:rsid w:val="00100187"/>
    <w:rsid w:val="00121DF4"/>
    <w:rsid w:val="0013293D"/>
    <w:rsid w:val="00161FC9"/>
    <w:rsid w:val="0016753E"/>
    <w:rsid w:val="0016798D"/>
    <w:rsid w:val="00181640"/>
    <w:rsid w:val="001A6711"/>
    <w:rsid w:val="001B2858"/>
    <w:rsid w:val="001B3C7B"/>
    <w:rsid w:val="001D56E5"/>
    <w:rsid w:val="0021145C"/>
    <w:rsid w:val="0022739E"/>
    <w:rsid w:val="0026207D"/>
    <w:rsid w:val="00264420"/>
    <w:rsid w:val="00283481"/>
    <w:rsid w:val="002A5E49"/>
    <w:rsid w:val="002B2EAC"/>
    <w:rsid w:val="002B6491"/>
    <w:rsid w:val="002C1DB5"/>
    <w:rsid w:val="002D37BE"/>
    <w:rsid w:val="00300F33"/>
    <w:rsid w:val="00310D71"/>
    <w:rsid w:val="00315F17"/>
    <w:rsid w:val="00316C2F"/>
    <w:rsid w:val="00334C0B"/>
    <w:rsid w:val="00336312"/>
    <w:rsid w:val="00364D76"/>
    <w:rsid w:val="003741AC"/>
    <w:rsid w:val="0038627D"/>
    <w:rsid w:val="00386C66"/>
    <w:rsid w:val="003B4526"/>
    <w:rsid w:val="003D5D75"/>
    <w:rsid w:val="003F60AB"/>
    <w:rsid w:val="00412461"/>
    <w:rsid w:val="0044663C"/>
    <w:rsid w:val="0046418D"/>
    <w:rsid w:val="004878D1"/>
    <w:rsid w:val="004A273A"/>
    <w:rsid w:val="004A2F0A"/>
    <w:rsid w:val="004A523D"/>
    <w:rsid w:val="004C4AA0"/>
    <w:rsid w:val="004C535E"/>
    <w:rsid w:val="005024AD"/>
    <w:rsid w:val="005079C2"/>
    <w:rsid w:val="00510071"/>
    <w:rsid w:val="005205A2"/>
    <w:rsid w:val="0053085F"/>
    <w:rsid w:val="005479CB"/>
    <w:rsid w:val="00551794"/>
    <w:rsid w:val="005673A0"/>
    <w:rsid w:val="0056763E"/>
    <w:rsid w:val="00592575"/>
    <w:rsid w:val="005B10F5"/>
    <w:rsid w:val="005C5CB4"/>
    <w:rsid w:val="005D170B"/>
    <w:rsid w:val="005F6385"/>
    <w:rsid w:val="006560ED"/>
    <w:rsid w:val="006640DC"/>
    <w:rsid w:val="006777B8"/>
    <w:rsid w:val="00677DC3"/>
    <w:rsid w:val="006B31DA"/>
    <w:rsid w:val="006C41CE"/>
    <w:rsid w:val="006D37A2"/>
    <w:rsid w:val="0070644C"/>
    <w:rsid w:val="007130E8"/>
    <w:rsid w:val="00713562"/>
    <w:rsid w:val="00716B67"/>
    <w:rsid w:val="00725EE3"/>
    <w:rsid w:val="00743873"/>
    <w:rsid w:val="007442B7"/>
    <w:rsid w:val="00746B53"/>
    <w:rsid w:val="00746E38"/>
    <w:rsid w:val="00782A1F"/>
    <w:rsid w:val="007A7F0B"/>
    <w:rsid w:val="007B46A4"/>
    <w:rsid w:val="007B53BE"/>
    <w:rsid w:val="007C18B3"/>
    <w:rsid w:val="007C7A1E"/>
    <w:rsid w:val="007E3394"/>
    <w:rsid w:val="007F3F91"/>
    <w:rsid w:val="008161A7"/>
    <w:rsid w:val="0081672D"/>
    <w:rsid w:val="0082447C"/>
    <w:rsid w:val="008418EC"/>
    <w:rsid w:val="00875A0E"/>
    <w:rsid w:val="0088339B"/>
    <w:rsid w:val="00896E3B"/>
    <w:rsid w:val="008A1B7B"/>
    <w:rsid w:val="008A2893"/>
    <w:rsid w:val="008D70B6"/>
    <w:rsid w:val="008E5CDE"/>
    <w:rsid w:val="00924A4D"/>
    <w:rsid w:val="00926249"/>
    <w:rsid w:val="00926325"/>
    <w:rsid w:val="00935F99"/>
    <w:rsid w:val="009442BE"/>
    <w:rsid w:val="00947E90"/>
    <w:rsid w:val="009533C9"/>
    <w:rsid w:val="0096268F"/>
    <w:rsid w:val="00963838"/>
    <w:rsid w:val="009664EA"/>
    <w:rsid w:val="00966C67"/>
    <w:rsid w:val="009777B7"/>
    <w:rsid w:val="009C00FC"/>
    <w:rsid w:val="009D425E"/>
    <w:rsid w:val="009D6B1B"/>
    <w:rsid w:val="009F32A8"/>
    <w:rsid w:val="009F3A28"/>
    <w:rsid w:val="00A04848"/>
    <w:rsid w:val="00A11C23"/>
    <w:rsid w:val="00A35EF4"/>
    <w:rsid w:val="00A37D28"/>
    <w:rsid w:val="00A601D9"/>
    <w:rsid w:val="00A76548"/>
    <w:rsid w:val="00A775E0"/>
    <w:rsid w:val="00A80C8B"/>
    <w:rsid w:val="00A85432"/>
    <w:rsid w:val="00A96554"/>
    <w:rsid w:val="00AD749B"/>
    <w:rsid w:val="00AE64BC"/>
    <w:rsid w:val="00B13813"/>
    <w:rsid w:val="00B17102"/>
    <w:rsid w:val="00B31ED8"/>
    <w:rsid w:val="00B36D07"/>
    <w:rsid w:val="00B36D82"/>
    <w:rsid w:val="00B46984"/>
    <w:rsid w:val="00B86D3F"/>
    <w:rsid w:val="00BC756E"/>
    <w:rsid w:val="00BF7A70"/>
    <w:rsid w:val="00C218B5"/>
    <w:rsid w:val="00C2501C"/>
    <w:rsid w:val="00C25542"/>
    <w:rsid w:val="00C278DF"/>
    <w:rsid w:val="00C32DC5"/>
    <w:rsid w:val="00C41976"/>
    <w:rsid w:val="00CA123E"/>
    <w:rsid w:val="00CC1D7C"/>
    <w:rsid w:val="00CF7974"/>
    <w:rsid w:val="00D03715"/>
    <w:rsid w:val="00D14C5D"/>
    <w:rsid w:val="00D42A29"/>
    <w:rsid w:val="00D51A23"/>
    <w:rsid w:val="00D672E6"/>
    <w:rsid w:val="00D801E8"/>
    <w:rsid w:val="00DA3359"/>
    <w:rsid w:val="00DB4A8E"/>
    <w:rsid w:val="00DC252B"/>
    <w:rsid w:val="00DC4B1C"/>
    <w:rsid w:val="00DC4D70"/>
    <w:rsid w:val="00E1244B"/>
    <w:rsid w:val="00E47AAB"/>
    <w:rsid w:val="00E535BB"/>
    <w:rsid w:val="00E62366"/>
    <w:rsid w:val="00E62435"/>
    <w:rsid w:val="00E6327D"/>
    <w:rsid w:val="00E7152C"/>
    <w:rsid w:val="00E715DE"/>
    <w:rsid w:val="00EA13F7"/>
    <w:rsid w:val="00EA6FDB"/>
    <w:rsid w:val="00EB4949"/>
    <w:rsid w:val="00EC116B"/>
    <w:rsid w:val="00EC1AB6"/>
    <w:rsid w:val="00ED44EB"/>
    <w:rsid w:val="00EE39E5"/>
    <w:rsid w:val="00F02C3B"/>
    <w:rsid w:val="00F0342A"/>
    <w:rsid w:val="00F07DAF"/>
    <w:rsid w:val="00F415CA"/>
    <w:rsid w:val="00F770F1"/>
    <w:rsid w:val="00F77AE3"/>
    <w:rsid w:val="00F83AB4"/>
    <w:rsid w:val="00F9584E"/>
    <w:rsid w:val="00FA7C34"/>
    <w:rsid w:val="00FC09CD"/>
    <w:rsid w:val="00FC746E"/>
    <w:rsid w:val="00FC7B4E"/>
    <w:rsid w:val="00FE721F"/>
    <w:rsid w:val="00FF0601"/>
    <w:rsid w:val="00FF37DE"/>
    <w:rsid w:val="00FF7B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FB347051-1B4C-4845-88F8-3094F319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customStyle="1" w:styleId="header-2">
    <w:name w:val="header-2"/>
    <w:basedOn w:val="P00"/>
    <w:rsid w:val="00CF7974"/>
    <w:pPr>
      <w:keepNext/>
      <w:keepLines/>
      <w:tabs>
        <w:tab w:val="clear" w:pos="6259"/>
      </w:tabs>
      <w:spacing w:before="240"/>
      <w:jc w:val="center"/>
    </w:pPr>
    <w:rPr>
      <w:szCs w:val="20"/>
    </w:rPr>
  </w:style>
  <w:style w:type="table" w:styleId="a8">
    <w:name w:val="Table Grid"/>
    <w:basedOn w:val="a1"/>
    <w:rsid w:val="00D42A2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026010"/>
    <w:rPr>
      <w:noProof/>
      <w:szCs w:val="26"/>
      <w:lang w:eastAsia="he-IL"/>
    </w:rPr>
  </w:style>
  <w:style w:type="character" w:customStyle="1" w:styleId="UnresolvedMention">
    <w:name w:val="Unresolved Mention"/>
    <w:uiPriority w:val="99"/>
    <w:semiHidden/>
    <w:unhideWhenUsed/>
    <w:rsid w:val="00026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8162.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_word/law06/tak-8162.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06/tak-9964.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Law_word/law06/tak-8162.pdf" TargetMode="External"/><Relationship Id="rId4" Type="http://schemas.openxmlformats.org/officeDocument/2006/relationships/webSettings" Target="webSettings.xml"/><Relationship Id="rId9" Type="http://schemas.openxmlformats.org/officeDocument/2006/relationships/hyperlink" Target="https://www.nevo.co.il/Law_word/law06/tak-9964.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9964.pdf" TargetMode="External"/><Relationship Id="rId2" Type="http://schemas.openxmlformats.org/officeDocument/2006/relationships/hyperlink" Target="http://www.nevo.co.il/Law_word/law06/tak-8162.pdf" TargetMode="External"/><Relationship Id="rId1" Type="http://schemas.openxmlformats.org/officeDocument/2006/relationships/hyperlink" Target="http://www.nevo.co.il/Law_word/law06/tak-69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15235</CharactersWithSpaces>
  <SharedDoc>false</SharedDoc>
  <HLinks>
    <vt:vector size="138" baseType="variant">
      <vt:variant>
        <vt:i4>393283</vt:i4>
      </vt:variant>
      <vt:variant>
        <vt:i4>99</vt:i4>
      </vt:variant>
      <vt:variant>
        <vt:i4>0</vt:i4>
      </vt:variant>
      <vt:variant>
        <vt:i4>5</vt:i4>
      </vt:variant>
      <vt:variant>
        <vt:lpwstr>http://www.nevo.co.il/advertisements/nevo-100.doc</vt:lpwstr>
      </vt:variant>
      <vt:variant>
        <vt:lpwstr/>
      </vt:variant>
      <vt:variant>
        <vt:i4>8060957</vt:i4>
      </vt:variant>
      <vt:variant>
        <vt:i4>96</vt:i4>
      </vt:variant>
      <vt:variant>
        <vt:i4>0</vt:i4>
      </vt:variant>
      <vt:variant>
        <vt:i4>5</vt:i4>
      </vt:variant>
      <vt:variant>
        <vt:lpwstr>https://www.nevo.co.il/Law_word/law06/tak-9964.pdf</vt:lpwstr>
      </vt:variant>
      <vt:variant>
        <vt:lpwstr/>
      </vt:variant>
      <vt:variant>
        <vt:i4>7798795</vt:i4>
      </vt:variant>
      <vt:variant>
        <vt:i4>93</vt:i4>
      </vt:variant>
      <vt:variant>
        <vt:i4>0</vt:i4>
      </vt:variant>
      <vt:variant>
        <vt:i4>5</vt:i4>
      </vt:variant>
      <vt:variant>
        <vt:lpwstr>http://www.nevo.co.il/Law_word/law06/tak-8162.pdf</vt:lpwstr>
      </vt:variant>
      <vt:variant>
        <vt:lpwstr/>
      </vt:variant>
      <vt:variant>
        <vt:i4>8060957</vt:i4>
      </vt:variant>
      <vt:variant>
        <vt:i4>90</vt:i4>
      </vt:variant>
      <vt:variant>
        <vt:i4>0</vt:i4>
      </vt:variant>
      <vt:variant>
        <vt:i4>5</vt:i4>
      </vt:variant>
      <vt:variant>
        <vt:lpwstr>https://www.nevo.co.il/Law_word/law06/tak-9964.pdf</vt:lpwstr>
      </vt:variant>
      <vt:variant>
        <vt:lpwstr/>
      </vt:variant>
      <vt:variant>
        <vt:i4>7798795</vt:i4>
      </vt:variant>
      <vt:variant>
        <vt:i4>87</vt:i4>
      </vt:variant>
      <vt:variant>
        <vt:i4>0</vt:i4>
      </vt:variant>
      <vt:variant>
        <vt:i4>5</vt:i4>
      </vt:variant>
      <vt:variant>
        <vt:lpwstr>http://www.nevo.co.il/Law_word/law06/tak-8162.pdf</vt:lpwstr>
      </vt:variant>
      <vt:variant>
        <vt:lpwstr/>
      </vt:variant>
      <vt:variant>
        <vt:i4>7798795</vt:i4>
      </vt:variant>
      <vt:variant>
        <vt:i4>84</vt:i4>
      </vt:variant>
      <vt:variant>
        <vt:i4>0</vt:i4>
      </vt:variant>
      <vt:variant>
        <vt:i4>5</vt:i4>
      </vt:variant>
      <vt:variant>
        <vt:lpwstr>http://www.nevo.co.il/Law_word/law06/tak-8162.pdf</vt:lpwstr>
      </vt:variant>
      <vt:variant>
        <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8060957</vt:i4>
      </vt:variant>
      <vt:variant>
        <vt:i4>6</vt:i4>
      </vt:variant>
      <vt:variant>
        <vt:i4>0</vt:i4>
      </vt:variant>
      <vt:variant>
        <vt:i4>5</vt:i4>
      </vt:variant>
      <vt:variant>
        <vt:lpwstr>https://www.nevo.co.il/law_word/law06/tak-9964.pdf</vt:lpwstr>
      </vt:variant>
      <vt:variant>
        <vt:lpwstr/>
      </vt:variant>
      <vt:variant>
        <vt:i4>7798795</vt:i4>
      </vt:variant>
      <vt:variant>
        <vt:i4>3</vt:i4>
      </vt:variant>
      <vt:variant>
        <vt:i4>0</vt:i4>
      </vt:variant>
      <vt:variant>
        <vt:i4>5</vt:i4>
      </vt:variant>
      <vt:variant>
        <vt:lpwstr>http://www.nevo.co.il/Law_word/law06/tak-8162.pdf</vt:lpwstr>
      </vt:variant>
      <vt:variant>
        <vt:lpwstr/>
      </vt:variant>
      <vt:variant>
        <vt:i4>8257542</vt:i4>
      </vt:variant>
      <vt:variant>
        <vt:i4>0</vt:i4>
      </vt:variant>
      <vt:variant>
        <vt:i4>0</vt:i4>
      </vt:variant>
      <vt:variant>
        <vt:i4>5</vt:i4>
      </vt:variant>
      <vt:variant>
        <vt:lpwstr>http://www.nevo.co.il/Law_word/law06/tak-6917.pdf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הארכיונים (עיון בחומר ארכיוני המופקד בגנזך), תש"ע-2010</vt:lpwstr>
  </property>
  <property fmtid="{D5CDD505-2E9C-101B-9397-08002B2CF9AE}" pid="4" name="LAWNUMBER">
    <vt:lpwstr>0363</vt:lpwstr>
  </property>
  <property fmtid="{D5CDD505-2E9C-101B-9397-08002B2CF9AE}" pid="5" name="TYPE">
    <vt:lpwstr>01</vt:lpwstr>
  </property>
  <property fmtid="{D5CDD505-2E9C-101B-9397-08002B2CF9AE}" pid="6" name="CHNAME">
    <vt:lpwstr>ארכיונים</vt:lpwstr>
  </property>
  <property fmtid="{D5CDD505-2E9C-101B-9397-08002B2CF9AE}" pid="7" name="LINKK2">
    <vt:lpwstr>http://www.nevo.co.il/Law_word/law06/tak-8162.pdf;‎רשומות - תקנות כלליות#תוקנו ק"ת תשע"ט ‏מס' 8162 #מיום 3.2.2019 עמ' 1964 – תק' תשע"ט-2019‏</vt:lpwstr>
  </property>
  <property fmtid="{D5CDD505-2E9C-101B-9397-08002B2CF9AE}" pid="8" name="LINKK3">
    <vt:lpwstr>https://www.nevo.co.il/law_word/law06/tak-9964.pdf;‎רשומות - תקנות כלליות#ק"ת תשפ"ב מס' ‏‏9964 #מיום 1.2.2022 עמ' 1882 – תק' תשפ"ב-2022‏</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41">
    <vt:lpwstr/>
  </property>
  <property fmtid="{D5CDD505-2E9C-101B-9397-08002B2CF9AE}" pid="23" name="NOSE42">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NOSE11">
    <vt:lpwstr>רשויות ומשפט מנהלי</vt:lpwstr>
  </property>
  <property fmtid="{D5CDD505-2E9C-101B-9397-08002B2CF9AE}" pid="53" name="NOSE21">
    <vt:lpwstr>ארכיונים</vt:lpwstr>
  </property>
  <property fmtid="{D5CDD505-2E9C-101B-9397-08002B2CF9AE}" pid="54" name="NOSE31">
    <vt:lpwstr>עיון</vt:lpwstr>
  </property>
  <property fmtid="{D5CDD505-2E9C-101B-9397-08002B2CF9AE}" pid="55" name="NOSE12">
    <vt:lpwstr/>
  </property>
  <property fmtid="{D5CDD505-2E9C-101B-9397-08002B2CF9AE}" pid="56" name="NOSE22">
    <vt:lpwstr/>
  </property>
  <property fmtid="{D5CDD505-2E9C-101B-9397-08002B2CF9AE}" pid="57" name="NOSE32">
    <vt:lpwstr/>
  </property>
  <property fmtid="{D5CDD505-2E9C-101B-9397-08002B2CF9AE}" pid="58" name="NOSE13">
    <vt:lpwstr/>
  </property>
  <property fmtid="{D5CDD505-2E9C-101B-9397-08002B2CF9AE}" pid="59" name="NOSE23">
    <vt:lpwstr/>
  </property>
  <property fmtid="{D5CDD505-2E9C-101B-9397-08002B2CF9AE}" pid="60" name="NOSE33">
    <vt:lpwstr/>
  </property>
  <property fmtid="{D5CDD505-2E9C-101B-9397-08002B2CF9AE}" pid="61" name="NOSE43">
    <vt:lpwstr/>
  </property>
  <property fmtid="{D5CDD505-2E9C-101B-9397-08002B2CF9AE}" pid="62" name="MEKOR_NAME1">
    <vt:lpwstr>חוק הארכיונים</vt:lpwstr>
  </property>
  <property fmtid="{D5CDD505-2E9C-101B-9397-08002B2CF9AE}" pid="63" name="MEKOR_SAIF1">
    <vt:lpwstr>10X;11X;18X</vt:lpwstr>
  </property>
  <property fmtid="{D5CDD505-2E9C-101B-9397-08002B2CF9AE}" pid="64" name="LINKK1">
    <vt:lpwstr>http://www.nevo.co.il/Law_word/law06/tak-6917.pdf;‎רשומות – תקנות כלליות#פורסמו ק"ת תש"ע ‏מס' 6917#מיום 5.8.2010#עמ' 1462‏</vt:lpwstr>
  </property>
</Properties>
</file>