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40E" w:rsidRDefault="00DD040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הארכת מועדים (סייגים לתחולת החוק), תשל"ז–1977</w:t>
      </w:r>
    </w:p>
    <w:p w:rsidR="002513D9" w:rsidRPr="002513D9" w:rsidRDefault="002513D9" w:rsidP="002513D9">
      <w:pPr>
        <w:spacing w:line="320" w:lineRule="auto"/>
        <w:jc w:val="left"/>
        <w:rPr>
          <w:rFonts w:cs="FrankRuehl"/>
          <w:szCs w:val="26"/>
          <w:rtl/>
        </w:rPr>
      </w:pPr>
    </w:p>
    <w:p w:rsidR="002513D9" w:rsidRPr="002513D9" w:rsidRDefault="002513D9" w:rsidP="002513D9">
      <w:pPr>
        <w:spacing w:line="320" w:lineRule="auto"/>
        <w:jc w:val="left"/>
        <w:rPr>
          <w:rFonts w:cs="Miriam" w:hint="cs"/>
          <w:szCs w:val="22"/>
          <w:rtl/>
        </w:rPr>
      </w:pPr>
      <w:r w:rsidRPr="002513D9">
        <w:rPr>
          <w:rFonts w:cs="Miriam"/>
          <w:szCs w:val="22"/>
          <w:rtl/>
        </w:rPr>
        <w:t>בטחון</w:t>
      </w:r>
      <w:r w:rsidRPr="002513D9">
        <w:rPr>
          <w:rFonts w:cs="FrankRuehl"/>
          <w:szCs w:val="26"/>
          <w:rtl/>
        </w:rPr>
        <w:t xml:space="preserve"> – שעת חירום – הארכת מועדים</w:t>
      </w:r>
    </w:p>
    <w:p w:rsidR="00DD040E" w:rsidRDefault="00DD040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D040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D040E" w:rsidRDefault="00DD040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D040E" w:rsidRDefault="00DD040E">
            <w:pPr>
              <w:spacing w:line="240" w:lineRule="auto"/>
              <w:rPr>
                <w:sz w:val="24"/>
              </w:rPr>
            </w:pPr>
            <w:hyperlink w:anchor="Seif0" w:tooltip="פרוט החיקו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D040E" w:rsidRDefault="00DD040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פרוט החיקוקים</w:t>
            </w:r>
          </w:p>
        </w:tc>
        <w:tc>
          <w:tcPr>
            <w:tcW w:w="1247" w:type="dxa"/>
          </w:tcPr>
          <w:p w:rsidR="00DD040E" w:rsidRDefault="00DD040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D040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D040E" w:rsidRDefault="00DD040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D040E" w:rsidRDefault="00DD040E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D040E" w:rsidRDefault="00DD040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DD040E" w:rsidRDefault="00DD040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DD040E" w:rsidRDefault="00DD040E">
      <w:pPr>
        <w:pStyle w:val="big-header"/>
        <w:ind w:left="0" w:right="1134"/>
        <w:rPr>
          <w:rFonts w:cs="FrankRuehl"/>
          <w:sz w:val="32"/>
          <w:rtl/>
        </w:rPr>
      </w:pPr>
    </w:p>
    <w:p w:rsidR="00DD040E" w:rsidRPr="002513D9" w:rsidRDefault="00DD040E" w:rsidP="002513D9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הארכת מועדים (סייגים לתחולת החוק), תשל"ז</w:t>
      </w:r>
      <w:r>
        <w:rPr>
          <w:rFonts w:cs="FrankRuehl"/>
          <w:sz w:val="32"/>
          <w:rtl/>
        </w:rPr>
        <w:t>–1977</w:t>
      </w:r>
      <w:r>
        <w:rPr>
          <w:rStyle w:val="super"/>
          <w:rFonts w:cs="Miriam"/>
          <w:noProof w:val="0"/>
          <w:rtl/>
          <w:lang w:eastAsia="he-IL"/>
        </w:rPr>
        <w:t>(4)</w:t>
      </w:r>
    </w:p>
    <w:p w:rsidR="00DD040E" w:rsidRDefault="00DD04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10(ב) לחוק הארכת מועדים, תשל"ה</w:t>
      </w:r>
      <w:r>
        <w:rPr>
          <w:rStyle w:val="default"/>
          <w:rFonts w:cs="FrankRuehl"/>
          <w:rtl/>
        </w:rPr>
        <w:t xml:space="preserve">– 1975, </w:t>
      </w:r>
      <w:r>
        <w:rPr>
          <w:rStyle w:val="default"/>
          <w:rFonts w:cs="FrankRuehl" w:hint="cs"/>
          <w:rtl/>
        </w:rPr>
        <w:t>אני מתקין תקנות אלה:</w:t>
      </w:r>
    </w:p>
    <w:p w:rsidR="00DD040E" w:rsidRDefault="00DD04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DD040E" w:rsidRDefault="00DD04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וט החיקוקים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החוק האמור לא יחולו על מועדים שנקבעו בחיקוקים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מפורטים להלן או על פיהם:</w:t>
      </w:r>
    </w:p>
    <w:p w:rsidR="00DD040E" w:rsidRDefault="00DD040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השיפוט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צבאי, תשט"ו</w:t>
      </w:r>
      <w:r>
        <w:rPr>
          <w:rStyle w:val="default"/>
          <w:rFonts w:cs="FrankRuehl"/>
          <w:rtl/>
        </w:rPr>
        <w:t xml:space="preserve">–1955, </w:t>
      </w:r>
      <w:r>
        <w:rPr>
          <w:rStyle w:val="default"/>
          <w:rFonts w:cs="FrankRuehl" w:hint="cs"/>
          <w:rtl/>
        </w:rPr>
        <w:t>והתקנות לפיו;</w:t>
      </w:r>
    </w:p>
    <w:p w:rsidR="00DD040E" w:rsidRDefault="00DD040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שירות בטחון, תשי"ט</w:t>
      </w:r>
      <w:r>
        <w:rPr>
          <w:rStyle w:val="default"/>
          <w:rFonts w:cs="FrankRuehl"/>
          <w:rtl/>
        </w:rPr>
        <w:t>–1959 [</w:t>
      </w:r>
      <w:r>
        <w:rPr>
          <w:rStyle w:val="default"/>
          <w:rFonts w:cs="FrankRuehl" w:hint="cs"/>
          <w:rtl/>
        </w:rPr>
        <w:t>נוסח משולב],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התקנות לפיו;</w:t>
      </w:r>
    </w:p>
    <w:p w:rsidR="00DD040E" w:rsidRDefault="00DD040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יני ההתגוננות האזרחית כמשמעותם בחוק ההתגוננות האזרחית, תשי"א</w:t>
      </w:r>
      <w:r>
        <w:rPr>
          <w:rStyle w:val="default"/>
          <w:rFonts w:cs="FrankRuehl"/>
          <w:rtl/>
        </w:rPr>
        <w:t>–1951;</w:t>
      </w:r>
    </w:p>
    <w:p w:rsidR="00DD040E" w:rsidRDefault="00DD040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קנות-שעת-חירום (רישום ציוד וגיוסו), תשי"ז</w:t>
      </w:r>
      <w:r>
        <w:rPr>
          <w:rStyle w:val="default"/>
          <w:rFonts w:cs="FrankRuehl"/>
          <w:rtl/>
        </w:rPr>
        <w:t xml:space="preserve">–1956, </w:t>
      </w:r>
      <w:r>
        <w:rPr>
          <w:rStyle w:val="default"/>
          <w:rFonts w:cs="FrankRuehl" w:hint="cs"/>
          <w:rtl/>
        </w:rPr>
        <w:t>והצווים לפיהן.</w:t>
      </w:r>
    </w:p>
    <w:p w:rsidR="00DD040E" w:rsidRDefault="00DD04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DD040E" w:rsidRDefault="00DD04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 xml:space="preserve">קנות אלה ייקרא </w:t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>קנות הארכת מועדים (סייגים לתחולת החוק), תשל"ז</w:t>
      </w:r>
      <w:r>
        <w:rPr>
          <w:rStyle w:val="default"/>
          <w:rFonts w:cs="FrankRuehl"/>
          <w:rtl/>
        </w:rPr>
        <w:t>–1977".</w:t>
      </w:r>
    </w:p>
    <w:p w:rsidR="00DD040E" w:rsidRDefault="00DD04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040E" w:rsidRDefault="00DD040E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ל' </w:t>
      </w:r>
      <w:r>
        <w:rPr>
          <w:rFonts w:cs="FrankRuehl" w:hint="cs"/>
          <w:sz w:val="26"/>
          <w:rtl/>
        </w:rPr>
        <w:t>בסיון תשל"ז (16 ביוני 1977)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מעון פרס</w:t>
      </w:r>
    </w:p>
    <w:p w:rsidR="00DD040E" w:rsidRDefault="00DD040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:rsidR="00DD040E" w:rsidRDefault="00DD040E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</w:t>
      </w:r>
      <w:r>
        <w:rPr>
          <w:rFonts w:cs="FrankRuehl" w:hint="cs"/>
          <w:sz w:val="26"/>
          <w:rtl/>
        </w:rPr>
        <w:t>-</w:t>
      </w:r>
    </w:p>
    <w:p w:rsidR="00DD040E" w:rsidRDefault="00DD04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 xml:space="preserve"> (4)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2513D9">
          <w:rPr>
            <w:rStyle w:val="Hyperlink"/>
            <w:rFonts w:cs="FrankRuehl" w:hint="cs"/>
            <w:rtl/>
          </w:rPr>
          <w:t>ק"ת תשל"ז מס' 3743</w:t>
        </w:r>
      </w:hyperlink>
      <w:r>
        <w:rPr>
          <w:rFonts w:cs="FrankRuehl" w:hint="cs"/>
          <w:rtl/>
        </w:rPr>
        <w:t xml:space="preserve"> מיום 28.7.1977 עמ'</w:t>
      </w:r>
      <w:r>
        <w:rPr>
          <w:rFonts w:cs="FrankRuehl"/>
          <w:rtl/>
        </w:rPr>
        <w:t xml:space="preserve"> 2288.</w:t>
      </w:r>
    </w:p>
    <w:p w:rsidR="00DD040E" w:rsidRDefault="00DD040E">
      <w:pPr>
        <w:ind w:right="1134"/>
        <w:rPr>
          <w:rFonts w:cs="David"/>
          <w:sz w:val="24"/>
          <w:rtl/>
        </w:rPr>
      </w:pPr>
      <w:bookmarkStart w:id="2" w:name="LawPartEnd"/>
    </w:p>
    <w:bookmarkEnd w:id="2"/>
    <w:p w:rsidR="00DD040E" w:rsidRDefault="00DD040E">
      <w:pPr>
        <w:ind w:right="1134"/>
        <w:rPr>
          <w:rFonts w:cs="David"/>
          <w:sz w:val="24"/>
          <w:rtl/>
        </w:rPr>
      </w:pPr>
    </w:p>
    <w:sectPr w:rsidR="00DD04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2805" w:rsidRDefault="00CE2805">
      <w:r>
        <w:separator/>
      </w:r>
    </w:p>
  </w:endnote>
  <w:endnote w:type="continuationSeparator" w:id="0">
    <w:p w:rsidR="00CE2805" w:rsidRDefault="00CE2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040E" w:rsidRDefault="00DD04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D040E" w:rsidRDefault="00DD04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D040E" w:rsidRDefault="00DD04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M:\0a-lishca\law\gideon-03-02-13\law01\078_004.doc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040E" w:rsidRDefault="00DD04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078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D040E" w:rsidRDefault="00DD04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D040E" w:rsidRDefault="00DD04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M:\0a-lishca\law\gideon-03-02-13\law01\078_004.doc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040E" w:rsidRDefault="00DD040E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2805" w:rsidRDefault="00CE2805">
      <w:r>
        <w:separator/>
      </w:r>
    </w:p>
  </w:footnote>
  <w:footnote w:type="continuationSeparator" w:id="0">
    <w:p w:rsidR="00CE2805" w:rsidRDefault="00CE2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040E" w:rsidRDefault="00DD040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הארכת מועדים (סייגים לתחולת החוק), תשל"ז–1977</w:t>
    </w:r>
  </w:p>
  <w:p w:rsidR="00DD040E" w:rsidRDefault="00DD04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D040E" w:rsidRDefault="00DD04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040E" w:rsidRDefault="00DD040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הארכת מועדים (סייגים לתחולת החוק), תשל"ז–1977</w:t>
    </w:r>
  </w:p>
  <w:p w:rsidR="00DD040E" w:rsidRDefault="00DD04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D040E" w:rsidRDefault="00DD04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040E" w:rsidRDefault="00DD040E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13D9"/>
    <w:rsid w:val="002513D9"/>
    <w:rsid w:val="005078A4"/>
    <w:rsid w:val="008B04FE"/>
    <w:rsid w:val="00B90ABF"/>
    <w:rsid w:val="00CE2805"/>
    <w:rsid w:val="00DD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9E097A9-588B-4937-82B7-7BD95B8C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743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78</vt:lpstr>
    </vt:vector>
  </TitlesOfParts>
  <Company/>
  <LinksUpToDate>false</LinksUpToDate>
  <CharactersWithSpaces>1001</CharactersWithSpaces>
  <SharedDoc>false</SharedDoc>
  <HLinks>
    <vt:vector size="18" baseType="variant">
      <vt:variant>
        <vt:i4>8257548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http://www.nevo.co.il/Law_word/law06/TAK-3743.pdf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78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0078</vt:lpwstr>
  </property>
  <property fmtid="{D5CDD505-2E9C-101B-9397-08002B2CF9AE}" pid="3" name="CHNAME">
    <vt:lpwstr>הארכת מועדים</vt:lpwstr>
  </property>
  <property fmtid="{D5CDD505-2E9C-101B-9397-08002B2CF9AE}" pid="4" name="LAWNAME">
    <vt:lpwstr>תקנות הארכת מועדים (סייגים לתחולת החוק), תשל"ז–1977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שעת חירום</vt:lpwstr>
  </property>
  <property fmtid="{D5CDD505-2E9C-101B-9397-08002B2CF9AE}" pid="9" name="NOSE31">
    <vt:lpwstr>הארכת מועדים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הארכת מועדים</vt:lpwstr>
  </property>
  <property fmtid="{D5CDD505-2E9C-101B-9397-08002B2CF9AE}" pid="48" name="MEKOR_SAIF1">
    <vt:lpwstr>10XבX</vt:lpwstr>
  </property>
</Properties>
</file>