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3EEC" w14:textId="77777777" w:rsidR="000835B2" w:rsidRDefault="000835B2">
      <w:pPr>
        <w:pStyle w:val="big-header"/>
        <w:ind w:left="0" w:right="1134"/>
        <w:rPr>
          <w:rFonts w:hint="cs"/>
          <w:rtl/>
        </w:rPr>
      </w:pPr>
      <w:r>
        <w:rPr>
          <w:rtl/>
        </w:rPr>
        <w:t>תקנות הבחירות לכנסת (סדרי ערעורים), תשי"ט</w:t>
      </w:r>
      <w:r>
        <w:rPr>
          <w:rFonts w:hint="cs"/>
          <w:rtl/>
        </w:rPr>
        <w:t>-</w:t>
      </w:r>
      <w:r>
        <w:rPr>
          <w:rtl/>
        </w:rPr>
        <w:t>1959</w:t>
      </w:r>
    </w:p>
    <w:p w14:paraId="51B5C092" w14:textId="77777777" w:rsidR="008431AD" w:rsidRPr="008431AD" w:rsidRDefault="008431AD" w:rsidP="008431AD">
      <w:pPr>
        <w:spacing w:line="320" w:lineRule="auto"/>
        <w:jc w:val="left"/>
        <w:rPr>
          <w:rFonts w:cs="FrankRuehl"/>
          <w:szCs w:val="26"/>
          <w:rtl/>
        </w:rPr>
      </w:pPr>
    </w:p>
    <w:p w14:paraId="44A97CE7" w14:textId="77777777" w:rsidR="008431AD" w:rsidRDefault="008431AD" w:rsidP="008431AD">
      <w:pPr>
        <w:spacing w:line="320" w:lineRule="auto"/>
        <w:jc w:val="left"/>
        <w:rPr>
          <w:rFonts w:cs="Miriam"/>
          <w:szCs w:val="22"/>
          <w:rtl/>
        </w:rPr>
      </w:pPr>
      <w:r w:rsidRPr="008431AD">
        <w:rPr>
          <w:rFonts w:cs="Miriam"/>
          <w:szCs w:val="22"/>
          <w:rtl/>
        </w:rPr>
        <w:t xml:space="preserve">דיני חוקה </w:t>
      </w:r>
      <w:r w:rsidRPr="008431AD">
        <w:rPr>
          <w:rFonts w:cs="FrankRuehl"/>
          <w:szCs w:val="26"/>
          <w:rtl/>
        </w:rPr>
        <w:t xml:space="preserve"> – בחירות – בחירות לכנסת</w:t>
      </w:r>
    </w:p>
    <w:p w14:paraId="352977EB" w14:textId="77777777" w:rsidR="008431AD" w:rsidRDefault="008431AD" w:rsidP="008431AD">
      <w:pPr>
        <w:spacing w:line="320" w:lineRule="auto"/>
        <w:jc w:val="left"/>
        <w:rPr>
          <w:rFonts w:cs="Miriam"/>
          <w:szCs w:val="22"/>
          <w:rtl/>
        </w:rPr>
      </w:pPr>
      <w:r w:rsidRPr="008431AD">
        <w:rPr>
          <w:rFonts w:cs="Miriam"/>
          <w:szCs w:val="22"/>
          <w:rtl/>
        </w:rPr>
        <w:t xml:space="preserve">דיני חוקה </w:t>
      </w:r>
      <w:r w:rsidRPr="008431AD">
        <w:rPr>
          <w:rFonts w:cs="FrankRuehl"/>
          <w:szCs w:val="26"/>
          <w:rtl/>
        </w:rPr>
        <w:t xml:space="preserve"> – כנסת – בחירות</w:t>
      </w:r>
    </w:p>
    <w:p w14:paraId="12EA4F96" w14:textId="77777777" w:rsidR="008431AD" w:rsidRPr="008431AD" w:rsidRDefault="008431AD" w:rsidP="008431AD">
      <w:pPr>
        <w:spacing w:line="320" w:lineRule="auto"/>
        <w:jc w:val="left"/>
        <w:rPr>
          <w:rFonts w:cs="Miriam" w:hint="cs"/>
          <w:szCs w:val="22"/>
          <w:rtl/>
        </w:rPr>
      </w:pPr>
      <w:r w:rsidRPr="008431AD">
        <w:rPr>
          <w:rFonts w:cs="Miriam"/>
          <w:szCs w:val="22"/>
          <w:rtl/>
        </w:rPr>
        <w:t>בתי משפט וסדרי דין</w:t>
      </w:r>
      <w:r w:rsidRPr="008431AD">
        <w:rPr>
          <w:rFonts w:cs="FrankRuehl"/>
          <w:szCs w:val="26"/>
          <w:rtl/>
        </w:rPr>
        <w:t xml:space="preserve"> – סדר דין אזרחי</w:t>
      </w:r>
    </w:p>
    <w:p w14:paraId="41FBDF78" w14:textId="77777777" w:rsidR="000835B2" w:rsidRDefault="000835B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835B2" w14:paraId="139A8A5D" w14:textId="77777777">
        <w:tblPrEx>
          <w:tblCellMar>
            <w:top w:w="0" w:type="dxa"/>
            <w:bottom w:w="0" w:type="dxa"/>
          </w:tblCellMar>
        </w:tblPrEx>
        <w:tc>
          <w:tcPr>
            <w:tcW w:w="850" w:type="dxa"/>
          </w:tcPr>
          <w:p w14:paraId="76B8DE59"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D3701C8" w14:textId="77777777" w:rsidR="000835B2" w:rsidRDefault="000835B2">
            <w:pPr>
              <w:spacing w:line="240" w:lineRule="auto"/>
              <w:rPr>
                <w:sz w:val="24"/>
              </w:rPr>
            </w:pPr>
            <w:hyperlink w:anchor="Seif0" w:tooltip="הגשת הודעות הערעור" w:history="1">
              <w:r>
                <w:rPr>
                  <w:rStyle w:val="Hyperlink"/>
                </w:rPr>
                <w:t>Go</w:t>
              </w:r>
            </w:hyperlink>
          </w:p>
        </w:tc>
        <w:tc>
          <w:tcPr>
            <w:tcW w:w="5669" w:type="dxa"/>
          </w:tcPr>
          <w:p w14:paraId="324C1C77" w14:textId="77777777" w:rsidR="000835B2" w:rsidRDefault="000835B2">
            <w:pPr>
              <w:spacing w:line="240" w:lineRule="auto"/>
              <w:rPr>
                <w:sz w:val="24"/>
                <w:rtl/>
              </w:rPr>
            </w:pPr>
            <w:r>
              <w:rPr>
                <w:sz w:val="24"/>
                <w:rtl/>
              </w:rPr>
              <w:t>הגשת הודעות הערעור</w:t>
            </w:r>
          </w:p>
        </w:tc>
        <w:tc>
          <w:tcPr>
            <w:tcW w:w="1247" w:type="dxa"/>
          </w:tcPr>
          <w:p w14:paraId="2CECCDA9" w14:textId="77777777" w:rsidR="000835B2" w:rsidRDefault="000835B2">
            <w:pPr>
              <w:spacing w:line="240" w:lineRule="auto"/>
              <w:rPr>
                <w:sz w:val="24"/>
              </w:rPr>
            </w:pPr>
            <w:r>
              <w:rPr>
                <w:sz w:val="24"/>
                <w:rtl/>
              </w:rPr>
              <w:t xml:space="preserve">סעיף 1 </w:t>
            </w:r>
          </w:p>
        </w:tc>
      </w:tr>
      <w:tr w:rsidR="000835B2" w14:paraId="19CAB15C" w14:textId="77777777">
        <w:tblPrEx>
          <w:tblCellMar>
            <w:top w:w="0" w:type="dxa"/>
            <w:bottom w:w="0" w:type="dxa"/>
          </w:tblCellMar>
        </w:tblPrEx>
        <w:tc>
          <w:tcPr>
            <w:tcW w:w="850" w:type="dxa"/>
          </w:tcPr>
          <w:p w14:paraId="2ABACD94"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B6D7EA8" w14:textId="77777777" w:rsidR="000835B2" w:rsidRDefault="000835B2">
            <w:pPr>
              <w:spacing w:line="240" w:lineRule="auto"/>
              <w:rPr>
                <w:sz w:val="24"/>
              </w:rPr>
            </w:pPr>
            <w:hyperlink w:anchor="Seif1" w:tooltip="המשיב בערעור" w:history="1">
              <w:r>
                <w:rPr>
                  <w:rStyle w:val="Hyperlink"/>
                </w:rPr>
                <w:t>Go</w:t>
              </w:r>
            </w:hyperlink>
          </w:p>
        </w:tc>
        <w:tc>
          <w:tcPr>
            <w:tcW w:w="5669" w:type="dxa"/>
          </w:tcPr>
          <w:p w14:paraId="12A0CF59" w14:textId="77777777" w:rsidR="000835B2" w:rsidRDefault="000835B2">
            <w:pPr>
              <w:spacing w:line="240" w:lineRule="auto"/>
              <w:rPr>
                <w:sz w:val="24"/>
                <w:rtl/>
              </w:rPr>
            </w:pPr>
            <w:r>
              <w:rPr>
                <w:sz w:val="24"/>
                <w:rtl/>
              </w:rPr>
              <w:t>המשיב בערעור</w:t>
            </w:r>
          </w:p>
        </w:tc>
        <w:tc>
          <w:tcPr>
            <w:tcW w:w="1247" w:type="dxa"/>
          </w:tcPr>
          <w:p w14:paraId="3E3F346B" w14:textId="77777777" w:rsidR="000835B2" w:rsidRDefault="000835B2">
            <w:pPr>
              <w:spacing w:line="240" w:lineRule="auto"/>
              <w:rPr>
                <w:sz w:val="24"/>
              </w:rPr>
            </w:pPr>
            <w:r>
              <w:rPr>
                <w:sz w:val="24"/>
                <w:rtl/>
              </w:rPr>
              <w:t xml:space="preserve">סעיף 2 </w:t>
            </w:r>
          </w:p>
        </w:tc>
      </w:tr>
      <w:tr w:rsidR="000835B2" w14:paraId="53DF1729" w14:textId="77777777">
        <w:tblPrEx>
          <w:tblCellMar>
            <w:top w:w="0" w:type="dxa"/>
            <w:bottom w:w="0" w:type="dxa"/>
          </w:tblCellMar>
        </w:tblPrEx>
        <w:tc>
          <w:tcPr>
            <w:tcW w:w="850" w:type="dxa"/>
          </w:tcPr>
          <w:p w14:paraId="1002CAA6"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6250CEF" w14:textId="77777777" w:rsidR="000835B2" w:rsidRDefault="000835B2">
            <w:pPr>
              <w:spacing w:line="240" w:lineRule="auto"/>
              <w:rPr>
                <w:sz w:val="24"/>
              </w:rPr>
            </w:pPr>
            <w:hyperlink w:anchor="Seif2" w:tooltip="החזרת העתק מההודעה למערער" w:history="1">
              <w:r>
                <w:rPr>
                  <w:rStyle w:val="Hyperlink"/>
                </w:rPr>
                <w:t>Go</w:t>
              </w:r>
            </w:hyperlink>
          </w:p>
        </w:tc>
        <w:tc>
          <w:tcPr>
            <w:tcW w:w="5669" w:type="dxa"/>
          </w:tcPr>
          <w:p w14:paraId="666E035D" w14:textId="77777777" w:rsidR="000835B2" w:rsidRDefault="000835B2">
            <w:pPr>
              <w:spacing w:line="240" w:lineRule="auto"/>
              <w:rPr>
                <w:sz w:val="24"/>
                <w:rtl/>
              </w:rPr>
            </w:pPr>
            <w:r>
              <w:rPr>
                <w:sz w:val="24"/>
                <w:rtl/>
              </w:rPr>
              <w:t>החזרת העתק מההודעה למערער</w:t>
            </w:r>
          </w:p>
        </w:tc>
        <w:tc>
          <w:tcPr>
            <w:tcW w:w="1247" w:type="dxa"/>
          </w:tcPr>
          <w:p w14:paraId="2583FF1F" w14:textId="77777777" w:rsidR="000835B2" w:rsidRDefault="000835B2">
            <w:pPr>
              <w:spacing w:line="240" w:lineRule="auto"/>
              <w:rPr>
                <w:sz w:val="24"/>
              </w:rPr>
            </w:pPr>
            <w:r>
              <w:rPr>
                <w:sz w:val="24"/>
                <w:rtl/>
              </w:rPr>
              <w:t xml:space="preserve">סעיף 3 </w:t>
            </w:r>
          </w:p>
        </w:tc>
      </w:tr>
      <w:tr w:rsidR="000835B2" w14:paraId="5D593679" w14:textId="77777777">
        <w:tblPrEx>
          <w:tblCellMar>
            <w:top w:w="0" w:type="dxa"/>
            <w:bottom w:w="0" w:type="dxa"/>
          </w:tblCellMar>
        </w:tblPrEx>
        <w:tc>
          <w:tcPr>
            <w:tcW w:w="850" w:type="dxa"/>
          </w:tcPr>
          <w:p w14:paraId="30886400"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B71213F" w14:textId="77777777" w:rsidR="000835B2" w:rsidRDefault="000835B2">
            <w:pPr>
              <w:spacing w:line="240" w:lineRule="auto"/>
              <w:rPr>
                <w:sz w:val="24"/>
              </w:rPr>
            </w:pPr>
            <w:hyperlink w:anchor="Seif3" w:tooltip="מסירת העתק מההודעה למשיב" w:history="1">
              <w:r>
                <w:rPr>
                  <w:rStyle w:val="Hyperlink"/>
                </w:rPr>
                <w:t>Go</w:t>
              </w:r>
            </w:hyperlink>
          </w:p>
        </w:tc>
        <w:tc>
          <w:tcPr>
            <w:tcW w:w="5669" w:type="dxa"/>
          </w:tcPr>
          <w:p w14:paraId="3E157881" w14:textId="77777777" w:rsidR="000835B2" w:rsidRDefault="000835B2">
            <w:pPr>
              <w:spacing w:line="240" w:lineRule="auto"/>
              <w:rPr>
                <w:sz w:val="24"/>
                <w:rtl/>
              </w:rPr>
            </w:pPr>
            <w:r>
              <w:rPr>
                <w:sz w:val="24"/>
                <w:rtl/>
              </w:rPr>
              <w:t>מסירת העתק מההודעה למשיב</w:t>
            </w:r>
          </w:p>
        </w:tc>
        <w:tc>
          <w:tcPr>
            <w:tcW w:w="1247" w:type="dxa"/>
          </w:tcPr>
          <w:p w14:paraId="58BCC833" w14:textId="77777777" w:rsidR="000835B2" w:rsidRDefault="000835B2">
            <w:pPr>
              <w:spacing w:line="240" w:lineRule="auto"/>
              <w:rPr>
                <w:sz w:val="24"/>
              </w:rPr>
            </w:pPr>
            <w:r>
              <w:rPr>
                <w:sz w:val="24"/>
                <w:rtl/>
              </w:rPr>
              <w:t xml:space="preserve">סעיף 4 </w:t>
            </w:r>
          </w:p>
        </w:tc>
      </w:tr>
      <w:tr w:rsidR="000835B2" w14:paraId="00D7B2EB" w14:textId="77777777">
        <w:tblPrEx>
          <w:tblCellMar>
            <w:top w:w="0" w:type="dxa"/>
            <w:bottom w:w="0" w:type="dxa"/>
          </w:tblCellMar>
        </w:tblPrEx>
        <w:tc>
          <w:tcPr>
            <w:tcW w:w="850" w:type="dxa"/>
          </w:tcPr>
          <w:p w14:paraId="428BBA04"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6C012D" w14:textId="77777777" w:rsidR="000835B2" w:rsidRDefault="000835B2">
            <w:pPr>
              <w:spacing w:line="240" w:lineRule="auto"/>
              <w:rPr>
                <w:sz w:val="24"/>
              </w:rPr>
            </w:pPr>
            <w:hyperlink w:anchor="Seif4" w:tooltip="זכותו של מי שלא אושר כמועמד" w:history="1">
              <w:r>
                <w:rPr>
                  <w:rStyle w:val="Hyperlink"/>
                </w:rPr>
                <w:t>Go</w:t>
              </w:r>
            </w:hyperlink>
          </w:p>
        </w:tc>
        <w:tc>
          <w:tcPr>
            <w:tcW w:w="5669" w:type="dxa"/>
          </w:tcPr>
          <w:p w14:paraId="1B75C709" w14:textId="77777777" w:rsidR="000835B2" w:rsidRDefault="000835B2">
            <w:pPr>
              <w:spacing w:line="240" w:lineRule="auto"/>
              <w:rPr>
                <w:sz w:val="24"/>
                <w:rtl/>
              </w:rPr>
            </w:pPr>
            <w:r>
              <w:rPr>
                <w:sz w:val="24"/>
                <w:rtl/>
              </w:rPr>
              <w:t>זכותו של מי שלא אושר כמועמד</w:t>
            </w:r>
          </w:p>
        </w:tc>
        <w:tc>
          <w:tcPr>
            <w:tcW w:w="1247" w:type="dxa"/>
          </w:tcPr>
          <w:p w14:paraId="106153C7" w14:textId="77777777" w:rsidR="000835B2" w:rsidRDefault="000835B2">
            <w:pPr>
              <w:spacing w:line="240" w:lineRule="auto"/>
              <w:rPr>
                <w:sz w:val="24"/>
              </w:rPr>
            </w:pPr>
            <w:r>
              <w:rPr>
                <w:sz w:val="24"/>
                <w:rtl/>
              </w:rPr>
              <w:t xml:space="preserve">סעיף 5 </w:t>
            </w:r>
          </w:p>
        </w:tc>
      </w:tr>
      <w:tr w:rsidR="000835B2" w14:paraId="70311EC3" w14:textId="77777777">
        <w:tblPrEx>
          <w:tblCellMar>
            <w:top w:w="0" w:type="dxa"/>
            <w:bottom w:w="0" w:type="dxa"/>
          </w:tblCellMar>
        </w:tblPrEx>
        <w:tc>
          <w:tcPr>
            <w:tcW w:w="850" w:type="dxa"/>
          </w:tcPr>
          <w:p w14:paraId="6DF788A2"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C418F96" w14:textId="77777777" w:rsidR="000835B2" w:rsidRDefault="000835B2">
            <w:pPr>
              <w:spacing w:line="240" w:lineRule="auto"/>
              <w:rPr>
                <w:sz w:val="24"/>
              </w:rPr>
            </w:pPr>
            <w:hyperlink w:anchor="Seif5" w:tooltip="ייצוג היושב ראש" w:history="1">
              <w:r>
                <w:rPr>
                  <w:rStyle w:val="Hyperlink"/>
                </w:rPr>
                <w:t>Go</w:t>
              </w:r>
            </w:hyperlink>
          </w:p>
        </w:tc>
        <w:tc>
          <w:tcPr>
            <w:tcW w:w="5669" w:type="dxa"/>
          </w:tcPr>
          <w:p w14:paraId="0A2E3FB1" w14:textId="77777777" w:rsidR="000835B2" w:rsidRDefault="000835B2">
            <w:pPr>
              <w:spacing w:line="240" w:lineRule="auto"/>
              <w:rPr>
                <w:sz w:val="24"/>
                <w:rtl/>
              </w:rPr>
            </w:pPr>
            <w:r>
              <w:rPr>
                <w:sz w:val="24"/>
                <w:rtl/>
              </w:rPr>
              <w:t>ייצוג היושב ראש</w:t>
            </w:r>
          </w:p>
        </w:tc>
        <w:tc>
          <w:tcPr>
            <w:tcW w:w="1247" w:type="dxa"/>
          </w:tcPr>
          <w:p w14:paraId="2B4E26BE" w14:textId="77777777" w:rsidR="000835B2" w:rsidRDefault="000835B2">
            <w:pPr>
              <w:spacing w:line="240" w:lineRule="auto"/>
              <w:rPr>
                <w:sz w:val="24"/>
              </w:rPr>
            </w:pPr>
            <w:r>
              <w:rPr>
                <w:sz w:val="24"/>
                <w:rtl/>
              </w:rPr>
              <w:t xml:space="preserve">סעיף 6 </w:t>
            </w:r>
          </w:p>
        </w:tc>
      </w:tr>
      <w:tr w:rsidR="000835B2" w14:paraId="5D9EBC71" w14:textId="77777777">
        <w:tblPrEx>
          <w:tblCellMar>
            <w:top w:w="0" w:type="dxa"/>
            <w:bottom w:w="0" w:type="dxa"/>
          </w:tblCellMar>
        </w:tblPrEx>
        <w:tc>
          <w:tcPr>
            <w:tcW w:w="850" w:type="dxa"/>
          </w:tcPr>
          <w:p w14:paraId="27761394"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7D9EE9A" w14:textId="77777777" w:rsidR="000835B2" w:rsidRDefault="000835B2">
            <w:pPr>
              <w:spacing w:line="240" w:lineRule="auto"/>
              <w:rPr>
                <w:sz w:val="24"/>
              </w:rPr>
            </w:pPr>
            <w:hyperlink w:anchor="Seif6" w:tooltip="אי התייצבות בעל דין" w:history="1">
              <w:r>
                <w:rPr>
                  <w:rStyle w:val="Hyperlink"/>
                </w:rPr>
                <w:t>Go</w:t>
              </w:r>
            </w:hyperlink>
          </w:p>
        </w:tc>
        <w:tc>
          <w:tcPr>
            <w:tcW w:w="5669" w:type="dxa"/>
          </w:tcPr>
          <w:p w14:paraId="7EA381FA" w14:textId="77777777" w:rsidR="000835B2" w:rsidRDefault="000835B2">
            <w:pPr>
              <w:spacing w:line="240" w:lineRule="auto"/>
              <w:rPr>
                <w:sz w:val="24"/>
                <w:rtl/>
              </w:rPr>
            </w:pPr>
            <w:r>
              <w:rPr>
                <w:sz w:val="24"/>
                <w:rtl/>
              </w:rPr>
              <w:t>אי התייצבות בעל דין</w:t>
            </w:r>
          </w:p>
        </w:tc>
        <w:tc>
          <w:tcPr>
            <w:tcW w:w="1247" w:type="dxa"/>
          </w:tcPr>
          <w:p w14:paraId="61BE53B9" w14:textId="77777777" w:rsidR="000835B2" w:rsidRDefault="000835B2">
            <w:pPr>
              <w:spacing w:line="240" w:lineRule="auto"/>
              <w:rPr>
                <w:sz w:val="24"/>
              </w:rPr>
            </w:pPr>
            <w:r>
              <w:rPr>
                <w:sz w:val="24"/>
                <w:rtl/>
              </w:rPr>
              <w:t xml:space="preserve">סעיף 7 </w:t>
            </w:r>
          </w:p>
        </w:tc>
      </w:tr>
      <w:tr w:rsidR="000835B2" w14:paraId="26DF5F32" w14:textId="77777777">
        <w:tblPrEx>
          <w:tblCellMar>
            <w:top w:w="0" w:type="dxa"/>
            <w:bottom w:w="0" w:type="dxa"/>
          </w:tblCellMar>
        </w:tblPrEx>
        <w:tc>
          <w:tcPr>
            <w:tcW w:w="850" w:type="dxa"/>
          </w:tcPr>
          <w:p w14:paraId="2DB02BE5"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A90B8CC" w14:textId="77777777" w:rsidR="000835B2" w:rsidRDefault="000835B2">
            <w:pPr>
              <w:spacing w:line="240" w:lineRule="auto"/>
              <w:rPr>
                <w:sz w:val="24"/>
              </w:rPr>
            </w:pPr>
            <w:hyperlink w:anchor="Seif7" w:tooltip="טענות פורמליות וראיות נוספות" w:history="1">
              <w:r>
                <w:rPr>
                  <w:rStyle w:val="Hyperlink"/>
                </w:rPr>
                <w:t>Go</w:t>
              </w:r>
            </w:hyperlink>
          </w:p>
        </w:tc>
        <w:tc>
          <w:tcPr>
            <w:tcW w:w="5669" w:type="dxa"/>
          </w:tcPr>
          <w:p w14:paraId="7D0E4452" w14:textId="77777777" w:rsidR="000835B2" w:rsidRDefault="000835B2">
            <w:pPr>
              <w:spacing w:line="240" w:lineRule="auto"/>
              <w:rPr>
                <w:sz w:val="24"/>
                <w:rtl/>
              </w:rPr>
            </w:pPr>
            <w:r>
              <w:rPr>
                <w:sz w:val="24"/>
                <w:rtl/>
              </w:rPr>
              <w:t>טענות פורמליות וראיות נוספות</w:t>
            </w:r>
          </w:p>
        </w:tc>
        <w:tc>
          <w:tcPr>
            <w:tcW w:w="1247" w:type="dxa"/>
          </w:tcPr>
          <w:p w14:paraId="275FF24E" w14:textId="77777777" w:rsidR="000835B2" w:rsidRDefault="000835B2">
            <w:pPr>
              <w:spacing w:line="240" w:lineRule="auto"/>
              <w:rPr>
                <w:sz w:val="24"/>
              </w:rPr>
            </w:pPr>
            <w:r>
              <w:rPr>
                <w:sz w:val="24"/>
                <w:rtl/>
              </w:rPr>
              <w:t xml:space="preserve">סעיף 8 </w:t>
            </w:r>
          </w:p>
        </w:tc>
      </w:tr>
      <w:tr w:rsidR="000835B2" w14:paraId="274860F0" w14:textId="77777777">
        <w:tblPrEx>
          <w:tblCellMar>
            <w:top w:w="0" w:type="dxa"/>
            <w:bottom w:w="0" w:type="dxa"/>
          </w:tblCellMar>
        </w:tblPrEx>
        <w:tc>
          <w:tcPr>
            <w:tcW w:w="850" w:type="dxa"/>
          </w:tcPr>
          <w:p w14:paraId="6253D83B"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59B2BD2" w14:textId="77777777" w:rsidR="000835B2" w:rsidRDefault="000835B2">
            <w:pPr>
              <w:spacing w:line="240" w:lineRule="auto"/>
              <w:rPr>
                <w:sz w:val="24"/>
              </w:rPr>
            </w:pPr>
            <w:hyperlink w:anchor="Seif8" w:tooltip="איחוד ערעורים" w:history="1">
              <w:r>
                <w:rPr>
                  <w:rStyle w:val="Hyperlink"/>
                </w:rPr>
                <w:t>Go</w:t>
              </w:r>
            </w:hyperlink>
          </w:p>
        </w:tc>
        <w:tc>
          <w:tcPr>
            <w:tcW w:w="5669" w:type="dxa"/>
          </w:tcPr>
          <w:p w14:paraId="6CECEFB4" w14:textId="77777777" w:rsidR="000835B2" w:rsidRDefault="000835B2">
            <w:pPr>
              <w:spacing w:line="240" w:lineRule="auto"/>
              <w:rPr>
                <w:sz w:val="24"/>
                <w:rtl/>
              </w:rPr>
            </w:pPr>
            <w:r>
              <w:rPr>
                <w:sz w:val="24"/>
                <w:rtl/>
              </w:rPr>
              <w:t>איחוד ערעורים</w:t>
            </w:r>
          </w:p>
        </w:tc>
        <w:tc>
          <w:tcPr>
            <w:tcW w:w="1247" w:type="dxa"/>
          </w:tcPr>
          <w:p w14:paraId="58B4B31E" w14:textId="77777777" w:rsidR="000835B2" w:rsidRDefault="000835B2">
            <w:pPr>
              <w:spacing w:line="240" w:lineRule="auto"/>
              <w:rPr>
                <w:sz w:val="24"/>
              </w:rPr>
            </w:pPr>
            <w:r>
              <w:rPr>
                <w:sz w:val="24"/>
                <w:rtl/>
              </w:rPr>
              <w:t xml:space="preserve">סעיף 9 </w:t>
            </w:r>
          </w:p>
        </w:tc>
      </w:tr>
      <w:tr w:rsidR="000835B2" w14:paraId="7785917A" w14:textId="77777777">
        <w:tblPrEx>
          <w:tblCellMar>
            <w:top w:w="0" w:type="dxa"/>
            <w:bottom w:w="0" w:type="dxa"/>
          </w:tblCellMar>
        </w:tblPrEx>
        <w:tc>
          <w:tcPr>
            <w:tcW w:w="850" w:type="dxa"/>
          </w:tcPr>
          <w:p w14:paraId="1EBBA544"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FBFDF85" w14:textId="77777777" w:rsidR="000835B2" w:rsidRDefault="000835B2">
            <w:pPr>
              <w:spacing w:line="240" w:lineRule="auto"/>
              <w:rPr>
                <w:sz w:val="24"/>
              </w:rPr>
            </w:pPr>
            <w:hyperlink w:anchor="Seif9" w:tooltip="סדרי הדין" w:history="1">
              <w:r>
                <w:rPr>
                  <w:rStyle w:val="Hyperlink"/>
                </w:rPr>
                <w:t>Go</w:t>
              </w:r>
            </w:hyperlink>
          </w:p>
        </w:tc>
        <w:tc>
          <w:tcPr>
            <w:tcW w:w="5669" w:type="dxa"/>
          </w:tcPr>
          <w:p w14:paraId="1EEEC58A" w14:textId="77777777" w:rsidR="000835B2" w:rsidRDefault="000835B2">
            <w:pPr>
              <w:spacing w:line="240" w:lineRule="auto"/>
              <w:rPr>
                <w:sz w:val="24"/>
                <w:rtl/>
              </w:rPr>
            </w:pPr>
            <w:r>
              <w:rPr>
                <w:sz w:val="24"/>
                <w:rtl/>
              </w:rPr>
              <w:t>סדרי הדין</w:t>
            </w:r>
          </w:p>
        </w:tc>
        <w:tc>
          <w:tcPr>
            <w:tcW w:w="1247" w:type="dxa"/>
          </w:tcPr>
          <w:p w14:paraId="491CF8E7" w14:textId="77777777" w:rsidR="000835B2" w:rsidRDefault="000835B2">
            <w:pPr>
              <w:spacing w:line="240" w:lineRule="auto"/>
              <w:rPr>
                <w:sz w:val="24"/>
              </w:rPr>
            </w:pPr>
            <w:r>
              <w:rPr>
                <w:sz w:val="24"/>
                <w:rtl/>
              </w:rPr>
              <w:t xml:space="preserve">סעיף 10 </w:t>
            </w:r>
          </w:p>
        </w:tc>
      </w:tr>
      <w:tr w:rsidR="000835B2" w14:paraId="15ECD6A9" w14:textId="77777777">
        <w:tblPrEx>
          <w:tblCellMar>
            <w:top w:w="0" w:type="dxa"/>
            <w:bottom w:w="0" w:type="dxa"/>
          </w:tblCellMar>
        </w:tblPrEx>
        <w:tc>
          <w:tcPr>
            <w:tcW w:w="850" w:type="dxa"/>
          </w:tcPr>
          <w:p w14:paraId="5A2AF42C"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CE629C1" w14:textId="77777777" w:rsidR="000835B2" w:rsidRDefault="000835B2">
            <w:pPr>
              <w:spacing w:line="240" w:lineRule="auto"/>
              <w:rPr>
                <w:sz w:val="24"/>
              </w:rPr>
            </w:pPr>
            <w:hyperlink w:anchor="Seif10" w:tooltip="מסירת פסק הדין" w:history="1">
              <w:r>
                <w:rPr>
                  <w:rStyle w:val="Hyperlink"/>
                </w:rPr>
                <w:t>Go</w:t>
              </w:r>
            </w:hyperlink>
          </w:p>
        </w:tc>
        <w:tc>
          <w:tcPr>
            <w:tcW w:w="5669" w:type="dxa"/>
          </w:tcPr>
          <w:p w14:paraId="64DCAEEC" w14:textId="77777777" w:rsidR="000835B2" w:rsidRDefault="000835B2">
            <w:pPr>
              <w:spacing w:line="240" w:lineRule="auto"/>
              <w:rPr>
                <w:sz w:val="24"/>
                <w:rtl/>
              </w:rPr>
            </w:pPr>
            <w:r>
              <w:rPr>
                <w:sz w:val="24"/>
                <w:rtl/>
              </w:rPr>
              <w:t>מסירת פסק הדין</w:t>
            </w:r>
          </w:p>
        </w:tc>
        <w:tc>
          <w:tcPr>
            <w:tcW w:w="1247" w:type="dxa"/>
          </w:tcPr>
          <w:p w14:paraId="012F7D76" w14:textId="77777777" w:rsidR="000835B2" w:rsidRDefault="000835B2">
            <w:pPr>
              <w:spacing w:line="240" w:lineRule="auto"/>
              <w:rPr>
                <w:sz w:val="24"/>
              </w:rPr>
            </w:pPr>
            <w:r>
              <w:rPr>
                <w:sz w:val="24"/>
                <w:rtl/>
              </w:rPr>
              <w:t xml:space="preserve">סעיף 11 </w:t>
            </w:r>
          </w:p>
        </w:tc>
      </w:tr>
      <w:tr w:rsidR="000835B2" w14:paraId="54292E99" w14:textId="77777777">
        <w:tblPrEx>
          <w:tblCellMar>
            <w:top w:w="0" w:type="dxa"/>
            <w:bottom w:w="0" w:type="dxa"/>
          </w:tblCellMar>
        </w:tblPrEx>
        <w:tc>
          <w:tcPr>
            <w:tcW w:w="850" w:type="dxa"/>
          </w:tcPr>
          <w:p w14:paraId="39F3CD1D"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910ADF5" w14:textId="77777777" w:rsidR="000835B2" w:rsidRDefault="000835B2">
            <w:pPr>
              <w:spacing w:line="240" w:lineRule="auto"/>
              <w:rPr>
                <w:sz w:val="24"/>
              </w:rPr>
            </w:pPr>
            <w:hyperlink w:anchor="Seif11" w:tooltip="ביטול" w:history="1">
              <w:r>
                <w:rPr>
                  <w:rStyle w:val="Hyperlink"/>
                </w:rPr>
                <w:t>Go</w:t>
              </w:r>
            </w:hyperlink>
          </w:p>
        </w:tc>
        <w:tc>
          <w:tcPr>
            <w:tcW w:w="5669" w:type="dxa"/>
          </w:tcPr>
          <w:p w14:paraId="6FEE7F0C" w14:textId="77777777" w:rsidR="000835B2" w:rsidRDefault="000835B2">
            <w:pPr>
              <w:spacing w:line="240" w:lineRule="auto"/>
              <w:rPr>
                <w:sz w:val="24"/>
                <w:rtl/>
              </w:rPr>
            </w:pPr>
            <w:r>
              <w:rPr>
                <w:sz w:val="24"/>
                <w:rtl/>
              </w:rPr>
              <w:t>ביטול</w:t>
            </w:r>
          </w:p>
        </w:tc>
        <w:tc>
          <w:tcPr>
            <w:tcW w:w="1247" w:type="dxa"/>
          </w:tcPr>
          <w:p w14:paraId="2B8CD08B" w14:textId="77777777" w:rsidR="000835B2" w:rsidRDefault="000835B2">
            <w:pPr>
              <w:spacing w:line="240" w:lineRule="auto"/>
              <w:rPr>
                <w:sz w:val="24"/>
              </w:rPr>
            </w:pPr>
            <w:r>
              <w:rPr>
                <w:sz w:val="24"/>
                <w:rtl/>
              </w:rPr>
              <w:t xml:space="preserve">סעיף 12 </w:t>
            </w:r>
          </w:p>
        </w:tc>
      </w:tr>
      <w:tr w:rsidR="000835B2" w14:paraId="61E2F044" w14:textId="77777777">
        <w:tblPrEx>
          <w:tblCellMar>
            <w:top w:w="0" w:type="dxa"/>
            <w:bottom w:w="0" w:type="dxa"/>
          </w:tblCellMar>
        </w:tblPrEx>
        <w:tc>
          <w:tcPr>
            <w:tcW w:w="850" w:type="dxa"/>
          </w:tcPr>
          <w:p w14:paraId="4AED9612" w14:textId="77777777" w:rsidR="000835B2" w:rsidRDefault="000835B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7A31F5C" w14:textId="77777777" w:rsidR="000835B2" w:rsidRDefault="000835B2">
            <w:pPr>
              <w:spacing w:line="240" w:lineRule="auto"/>
              <w:rPr>
                <w:sz w:val="24"/>
              </w:rPr>
            </w:pPr>
            <w:hyperlink w:anchor="Seif12" w:tooltip="השם" w:history="1">
              <w:r>
                <w:rPr>
                  <w:rStyle w:val="Hyperlink"/>
                </w:rPr>
                <w:t>Go</w:t>
              </w:r>
            </w:hyperlink>
          </w:p>
        </w:tc>
        <w:tc>
          <w:tcPr>
            <w:tcW w:w="5669" w:type="dxa"/>
          </w:tcPr>
          <w:p w14:paraId="67F6D8B2" w14:textId="77777777" w:rsidR="000835B2" w:rsidRDefault="000835B2">
            <w:pPr>
              <w:spacing w:line="240" w:lineRule="auto"/>
              <w:rPr>
                <w:sz w:val="24"/>
                <w:rtl/>
              </w:rPr>
            </w:pPr>
            <w:r>
              <w:rPr>
                <w:sz w:val="24"/>
                <w:rtl/>
              </w:rPr>
              <w:t>השם</w:t>
            </w:r>
          </w:p>
        </w:tc>
        <w:tc>
          <w:tcPr>
            <w:tcW w:w="1247" w:type="dxa"/>
          </w:tcPr>
          <w:p w14:paraId="03E4216C" w14:textId="77777777" w:rsidR="000835B2" w:rsidRDefault="000835B2">
            <w:pPr>
              <w:spacing w:line="240" w:lineRule="auto"/>
              <w:rPr>
                <w:sz w:val="24"/>
              </w:rPr>
            </w:pPr>
            <w:r>
              <w:rPr>
                <w:sz w:val="24"/>
                <w:rtl/>
              </w:rPr>
              <w:t xml:space="preserve">סעיף 13 </w:t>
            </w:r>
          </w:p>
        </w:tc>
      </w:tr>
    </w:tbl>
    <w:p w14:paraId="5A285E35" w14:textId="77777777" w:rsidR="000835B2" w:rsidRDefault="000835B2">
      <w:pPr>
        <w:pStyle w:val="big-header"/>
        <w:ind w:left="0" w:right="1134"/>
        <w:rPr>
          <w:rtl/>
        </w:rPr>
      </w:pPr>
    </w:p>
    <w:p w14:paraId="59B2FA9C" w14:textId="77777777" w:rsidR="000835B2" w:rsidRDefault="000835B2" w:rsidP="008431AD">
      <w:pPr>
        <w:pStyle w:val="big-header"/>
        <w:ind w:left="0" w:right="1134"/>
        <w:rPr>
          <w:rStyle w:val="default"/>
          <w:rFonts w:cs="FrankRuehl" w:hint="cs"/>
          <w:rtl/>
        </w:rPr>
      </w:pPr>
      <w:r>
        <w:rPr>
          <w:rtl/>
        </w:rPr>
        <w:br w:type="page"/>
      </w:r>
      <w:r w:rsidR="008431AD">
        <w:rPr>
          <w:rtl/>
        </w:rPr>
        <w:lastRenderedPageBreak/>
        <w:t xml:space="preserve"> </w:t>
      </w:r>
      <w:r>
        <w:rPr>
          <w:rtl/>
        </w:rPr>
        <w:t>ת</w:t>
      </w:r>
      <w:r>
        <w:rPr>
          <w:rFonts w:hint="cs"/>
          <w:rtl/>
        </w:rPr>
        <w:t>קנות הבחירות לכנסת (סדרי ערעורים), תשי"ט-1959</w:t>
      </w:r>
      <w:r>
        <w:rPr>
          <w:rStyle w:val="default"/>
          <w:rtl/>
        </w:rPr>
        <w:footnoteReference w:customMarkFollows="1" w:id="1"/>
        <w:t>*</w:t>
      </w:r>
    </w:p>
    <w:p w14:paraId="424506F7" w14:textId="77777777" w:rsidR="000835B2" w:rsidRDefault="000835B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72 לחוק הבחירות לכנסת, תשי"ט-1959, ובתוקף שאר הסמכויות הנתונות לי לפי כל דין, אני מתקין תקנות אלה:</w:t>
      </w:r>
    </w:p>
    <w:p w14:paraId="6D2918D4" w14:textId="77777777" w:rsidR="000835B2" w:rsidRDefault="000835B2">
      <w:pPr>
        <w:pStyle w:val="P00"/>
        <w:spacing w:before="72"/>
        <w:ind w:left="0" w:right="1134"/>
        <w:rPr>
          <w:rStyle w:val="default"/>
          <w:rFonts w:cs="FrankRuehl"/>
          <w:rtl/>
        </w:rPr>
      </w:pPr>
      <w:bookmarkStart w:id="0" w:name="Seif0"/>
      <w:bookmarkEnd w:id="0"/>
      <w:r>
        <w:rPr>
          <w:lang w:val="he-IL"/>
        </w:rPr>
        <w:pict w14:anchorId="41665AC9">
          <v:rect id="_x0000_s1026" style="position:absolute;left:0;text-align:left;margin-left:464.5pt;margin-top:8.05pt;width:75.05pt;height:18.3pt;z-index:251651584" o:allowincell="f" filled="f" stroked="f" strokecolor="lime" strokeweight=".25pt">
            <v:textbox inset="0,0,0,0">
              <w:txbxContent>
                <w:p w14:paraId="4705F2A1" w14:textId="77777777" w:rsidR="000835B2" w:rsidRDefault="000835B2">
                  <w:pPr>
                    <w:spacing w:line="160" w:lineRule="exact"/>
                    <w:jc w:val="left"/>
                    <w:rPr>
                      <w:rFonts w:cs="Miriam"/>
                      <w:noProof/>
                      <w:szCs w:val="18"/>
                      <w:rtl/>
                    </w:rPr>
                  </w:pPr>
                  <w:r>
                    <w:rPr>
                      <w:rFonts w:cs="Miriam"/>
                      <w:szCs w:val="18"/>
                      <w:rtl/>
                    </w:rPr>
                    <w:t>ה</w:t>
                  </w:r>
                  <w:r>
                    <w:rPr>
                      <w:rFonts w:cs="Miriam" w:hint="cs"/>
                      <w:szCs w:val="18"/>
                      <w:rtl/>
                    </w:rPr>
                    <w:t>גשת הודעות הערעו</w:t>
                  </w:r>
                  <w:r>
                    <w:rPr>
                      <w:rFonts w:cs="Miriam"/>
                      <w:szCs w:val="18"/>
                      <w:rtl/>
                    </w:rPr>
                    <w:t>ר</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הודעת ערעור (להלן </w:t>
      </w:r>
      <w:r>
        <w:rPr>
          <w:rStyle w:val="default"/>
          <w:rFonts w:cs="FrankRuehl"/>
          <w:rtl/>
        </w:rPr>
        <w:t>–</w:t>
      </w:r>
      <w:r>
        <w:rPr>
          <w:rStyle w:val="default"/>
          <w:rFonts w:cs="FrankRuehl" w:hint="cs"/>
          <w:rtl/>
        </w:rPr>
        <w:t xml:space="preserve"> הודעה) בערעורים לפי סעיף 24 לחוק תוגש למזכירות בית המשפט העליון בחמישה העתקים, חתומ</w:t>
      </w:r>
      <w:r>
        <w:rPr>
          <w:rStyle w:val="default"/>
          <w:rFonts w:cs="FrankRuehl"/>
          <w:rtl/>
        </w:rPr>
        <w:t>י</w:t>
      </w:r>
      <w:r>
        <w:rPr>
          <w:rStyle w:val="default"/>
          <w:rFonts w:cs="FrankRuehl" w:hint="cs"/>
          <w:rtl/>
        </w:rPr>
        <w:t>ם ביד המערער, ויצויינו בה העדים והמסמכים שישמשו בידי המערער לביסוס טענותיו.</w:t>
      </w:r>
    </w:p>
    <w:p w14:paraId="5CAA7AD2" w14:textId="77777777" w:rsidR="000835B2" w:rsidRDefault="000835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להודעה יצורפו חמישה העתקים מהודעת הסירוב של ועדת הבחירות המרכזית, וכן תצהיר, בחמישה העתקים, לאימות העובדות שעליהן מסתמך המערער.</w:t>
      </w:r>
    </w:p>
    <w:p w14:paraId="1336A33B" w14:textId="77777777" w:rsidR="000835B2" w:rsidRDefault="000835B2">
      <w:pPr>
        <w:pStyle w:val="P00"/>
        <w:spacing w:before="72"/>
        <w:ind w:left="0" w:right="1134"/>
        <w:rPr>
          <w:rStyle w:val="default"/>
          <w:rFonts w:cs="FrankRuehl"/>
          <w:rtl/>
        </w:rPr>
      </w:pPr>
      <w:bookmarkStart w:id="1" w:name="Seif1"/>
      <w:bookmarkEnd w:id="1"/>
      <w:r>
        <w:rPr>
          <w:lang w:val="he-IL"/>
        </w:rPr>
        <w:pict w14:anchorId="0EB59EE0">
          <v:rect id="_x0000_s1027" style="position:absolute;left:0;text-align:left;margin-left:464.5pt;margin-top:8.05pt;width:75.05pt;height:10pt;z-index:251652608" o:allowincell="f" filled="f" stroked="f" strokecolor="lime" strokeweight=".25pt">
            <v:textbox inset="0,0,0,0">
              <w:txbxContent>
                <w:p w14:paraId="29556390" w14:textId="77777777" w:rsidR="000835B2" w:rsidRDefault="000835B2">
                  <w:pPr>
                    <w:spacing w:line="160" w:lineRule="exact"/>
                    <w:jc w:val="left"/>
                    <w:rPr>
                      <w:rFonts w:cs="Miriam"/>
                      <w:noProof/>
                      <w:szCs w:val="18"/>
                      <w:rtl/>
                    </w:rPr>
                  </w:pPr>
                  <w:r>
                    <w:rPr>
                      <w:rFonts w:cs="Miriam"/>
                      <w:szCs w:val="18"/>
                      <w:rtl/>
                    </w:rPr>
                    <w:t>ה</w:t>
                  </w:r>
                  <w:r>
                    <w:rPr>
                      <w:rFonts w:cs="Miriam" w:hint="cs"/>
                      <w:szCs w:val="18"/>
                      <w:rtl/>
                    </w:rPr>
                    <w:t>משיב בערעור</w:t>
                  </w:r>
                </w:p>
              </w:txbxContent>
            </v:textbox>
            <w10:anchorlock/>
          </v:rect>
        </w:pict>
      </w:r>
      <w:r>
        <w:rPr>
          <w:rStyle w:val="big-number"/>
          <w:rtl/>
        </w:rPr>
        <w:t>2.</w:t>
      </w:r>
      <w:r>
        <w:rPr>
          <w:rStyle w:val="big-number"/>
          <w:rtl/>
        </w:rPr>
        <w:tab/>
      </w:r>
      <w:r>
        <w:rPr>
          <w:rStyle w:val="default"/>
          <w:rFonts w:cs="FrankRuehl"/>
          <w:rtl/>
        </w:rPr>
        <w:t>י</w:t>
      </w:r>
      <w:r>
        <w:rPr>
          <w:rStyle w:val="default"/>
          <w:rFonts w:cs="FrankRuehl" w:hint="cs"/>
          <w:rtl/>
        </w:rPr>
        <w:t>ושב ראש ועדת הבחירות המרכז</w:t>
      </w:r>
      <w:r>
        <w:rPr>
          <w:rStyle w:val="default"/>
          <w:rFonts w:cs="FrankRuehl"/>
          <w:rtl/>
        </w:rPr>
        <w:t>י</w:t>
      </w:r>
      <w:r>
        <w:rPr>
          <w:rStyle w:val="default"/>
          <w:rFonts w:cs="FrankRuehl" w:hint="cs"/>
          <w:rtl/>
        </w:rPr>
        <w:t>ת (להלן - היושב ראש) יצויין בהודעה כמשיב</w:t>
      </w:r>
    </w:p>
    <w:p w14:paraId="3220D937" w14:textId="77777777" w:rsidR="000835B2" w:rsidRDefault="000835B2">
      <w:pPr>
        <w:pStyle w:val="P00"/>
        <w:spacing w:before="72"/>
        <w:ind w:left="0" w:right="1134"/>
        <w:rPr>
          <w:rStyle w:val="default"/>
          <w:rFonts w:cs="FrankRuehl"/>
          <w:rtl/>
        </w:rPr>
      </w:pPr>
      <w:bookmarkStart w:id="2" w:name="Seif2"/>
      <w:bookmarkEnd w:id="2"/>
      <w:r>
        <w:rPr>
          <w:lang w:val="he-IL"/>
        </w:rPr>
        <w:pict w14:anchorId="689CA049">
          <v:rect id="_x0000_s1028" style="position:absolute;left:0;text-align:left;margin-left:464.5pt;margin-top:8.05pt;width:75.05pt;height:23.65pt;z-index:251653632" o:allowincell="f" filled="f" stroked="f" strokecolor="lime" strokeweight=".25pt">
            <v:textbox inset="0,0,0,0">
              <w:txbxContent>
                <w:p w14:paraId="68EE75AE" w14:textId="77777777" w:rsidR="000835B2" w:rsidRDefault="000835B2">
                  <w:pPr>
                    <w:spacing w:line="160" w:lineRule="exact"/>
                    <w:jc w:val="left"/>
                    <w:rPr>
                      <w:rFonts w:cs="Miriam"/>
                      <w:noProof/>
                      <w:szCs w:val="18"/>
                      <w:rtl/>
                    </w:rPr>
                  </w:pPr>
                  <w:r>
                    <w:rPr>
                      <w:rFonts w:cs="Miriam"/>
                      <w:szCs w:val="18"/>
                      <w:rtl/>
                    </w:rPr>
                    <w:t>ה</w:t>
                  </w:r>
                  <w:r>
                    <w:rPr>
                      <w:rFonts w:cs="Miriam" w:hint="cs"/>
                      <w:szCs w:val="18"/>
                      <w:rtl/>
                    </w:rPr>
                    <w:t>חזרת העתק מההודעה למערער</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עתק מההודעה, בציון יום הגשתה ומועד שמיעת הערעור, יוחזר למוסר ההודעה, ואישור המוסר לקבלת ההעתק, דינו כדין אישור המערער לקבלת הזמנה לדין.</w:t>
      </w:r>
    </w:p>
    <w:p w14:paraId="3139D119" w14:textId="77777777" w:rsidR="000835B2" w:rsidRDefault="000835B2">
      <w:pPr>
        <w:pStyle w:val="P00"/>
        <w:spacing w:before="72"/>
        <w:ind w:left="0" w:right="1134"/>
        <w:rPr>
          <w:rStyle w:val="default"/>
          <w:rFonts w:cs="FrankRuehl"/>
          <w:rtl/>
        </w:rPr>
      </w:pPr>
      <w:bookmarkStart w:id="3" w:name="Seif3"/>
      <w:bookmarkEnd w:id="3"/>
      <w:r>
        <w:rPr>
          <w:lang w:val="he-IL"/>
        </w:rPr>
        <w:pict w14:anchorId="5BBDF11A">
          <v:rect id="_x0000_s1029" style="position:absolute;left:0;text-align:left;margin-left:464.5pt;margin-top:8.05pt;width:75.05pt;height:24.35pt;z-index:251654656" o:allowincell="f" filled="f" stroked="f" strokecolor="lime" strokeweight=".25pt">
            <v:textbox inset="0,0,0,0">
              <w:txbxContent>
                <w:p w14:paraId="7EF5211A" w14:textId="77777777" w:rsidR="000835B2" w:rsidRDefault="000835B2">
                  <w:pPr>
                    <w:spacing w:line="160" w:lineRule="exact"/>
                    <w:jc w:val="left"/>
                    <w:rPr>
                      <w:rFonts w:cs="Miriam"/>
                      <w:noProof/>
                      <w:szCs w:val="18"/>
                      <w:rtl/>
                    </w:rPr>
                  </w:pPr>
                  <w:r>
                    <w:rPr>
                      <w:rFonts w:cs="Miriam"/>
                      <w:szCs w:val="18"/>
                      <w:rtl/>
                    </w:rPr>
                    <w:t>מ</w:t>
                  </w:r>
                  <w:r>
                    <w:rPr>
                      <w:rFonts w:cs="Miriam" w:hint="cs"/>
                      <w:szCs w:val="18"/>
                      <w:rtl/>
                    </w:rPr>
                    <w:t>סירת העתק מההודעה למשיב</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אחד ההעתקי</w:t>
      </w:r>
      <w:r>
        <w:rPr>
          <w:rStyle w:val="default"/>
          <w:rFonts w:cs="FrankRuehl"/>
          <w:rtl/>
        </w:rPr>
        <w:t>ם</w:t>
      </w:r>
      <w:r>
        <w:rPr>
          <w:rStyle w:val="default"/>
          <w:rFonts w:cs="FrankRuehl" w:hint="cs"/>
          <w:rtl/>
        </w:rPr>
        <w:t xml:space="preserve"> מההודעה, שצויינו עליו יום הגשתה ומועד שמיעת הערעור, ומהמצורפות אליה, יימסרו לידי היושב ראש או יונחו במשרד ועדת הבחירות המרכזית לא יאוחר מ-48 שעות לפני מועד שמיעת הערעור.</w:t>
      </w:r>
    </w:p>
    <w:p w14:paraId="121775D1" w14:textId="77777777" w:rsidR="000835B2" w:rsidRDefault="000835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 העתק ההודעה לידי היושב ראש או הונח במשרד ועדת הבחירות המרכזית, יראו את המס</w:t>
      </w:r>
      <w:r>
        <w:rPr>
          <w:rStyle w:val="default"/>
          <w:rFonts w:cs="FrankRuehl"/>
          <w:rtl/>
        </w:rPr>
        <w:t>י</w:t>
      </w:r>
      <w:r>
        <w:rPr>
          <w:rStyle w:val="default"/>
          <w:rFonts w:cs="FrankRuehl" w:hint="cs"/>
          <w:rtl/>
        </w:rPr>
        <w:t>רה או ההנחה כאמור כהזמנה לדין שנמסרה כדין למשיב.</w:t>
      </w:r>
    </w:p>
    <w:p w14:paraId="290F7C37" w14:textId="77777777" w:rsidR="000835B2" w:rsidRDefault="000835B2">
      <w:pPr>
        <w:pStyle w:val="P00"/>
        <w:spacing w:before="72"/>
        <w:ind w:left="0" w:right="1134"/>
        <w:rPr>
          <w:rStyle w:val="default"/>
          <w:rFonts w:cs="FrankRuehl"/>
          <w:rtl/>
        </w:rPr>
      </w:pPr>
      <w:bookmarkStart w:id="4" w:name="Seif4"/>
      <w:bookmarkEnd w:id="4"/>
      <w:r>
        <w:rPr>
          <w:lang w:val="he-IL"/>
        </w:rPr>
        <w:pict w14:anchorId="20D75175">
          <v:rect id="_x0000_s1030" style="position:absolute;left:0;text-align:left;margin-left:464.5pt;margin-top:8.05pt;width:75.05pt;height:21.6pt;z-index:251655680" o:allowincell="f" filled="f" stroked="f" strokecolor="lime" strokeweight=".25pt">
            <v:textbox inset="0,0,0,0">
              <w:txbxContent>
                <w:p w14:paraId="35A853AE" w14:textId="77777777" w:rsidR="000835B2" w:rsidRDefault="000835B2">
                  <w:pPr>
                    <w:spacing w:line="160" w:lineRule="exact"/>
                    <w:jc w:val="left"/>
                    <w:rPr>
                      <w:rFonts w:cs="Miriam"/>
                      <w:noProof/>
                      <w:szCs w:val="18"/>
                      <w:rtl/>
                    </w:rPr>
                  </w:pPr>
                  <w:r>
                    <w:rPr>
                      <w:rFonts w:cs="Miriam"/>
                      <w:szCs w:val="18"/>
                      <w:rtl/>
                    </w:rPr>
                    <w:t>ז</w:t>
                  </w:r>
                  <w:r>
                    <w:rPr>
                      <w:rFonts w:cs="Miriam" w:hint="cs"/>
                      <w:szCs w:val="18"/>
                      <w:rtl/>
                    </w:rPr>
                    <w:t>כותו של מי שלא אושר כמועמד</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וגש ערעור על סירוב ועדת הבחירות המרכזית לאשר אחד משמות המועמדים שברשימת מועמדים בלי שסירבה לאשר את הרשימה כולה, יהיה האדם שסירבו לאשרו כאמור זכאי להתייצב ולטעון בשמיעת הער</w:t>
      </w:r>
      <w:r>
        <w:rPr>
          <w:rStyle w:val="default"/>
          <w:rFonts w:cs="FrankRuehl"/>
          <w:rtl/>
        </w:rPr>
        <w:t>ע</w:t>
      </w:r>
      <w:r>
        <w:rPr>
          <w:rStyle w:val="default"/>
          <w:rFonts w:cs="FrankRuehl" w:hint="cs"/>
          <w:rtl/>
        </w:rPr>
        <w:t>ור; קיבל המערער הזמנה לדין, רואים אותו אדם כאילו קיבל גם הוא הזמנה לדין.</w:t>
      </w:r>
    </w:p>
    <w:p w14:paraId="521D00AD" w14:textId="77777777" w:rsidR="000835B2" w:rsidRDefault="000835B2">
      <w:pPr>
        <w:pStyle w:val="P00"/>
        <w:spacing w:before="72"/>
        <w:ind w:left="0" w:right="1134"/>
        <w:rPr>
          <w:rStyle w:val="default"/>
          <w:rFonts w:cs="FrankRuehl"/>
          <w:rtl/>
        </w:rPr>
      </w:pPr>
      <w:bookmarkStart w:id="5" w:name="Seif5"/>
      <w:bookmarkEnd w:id="5"/>
      <w:r>
        <w:rPr>
          <w:lang w:val="he-IL"/>
        </w:rPr>
        <w:pict w14:anchorId="7F5CB544">
          <v:rect id="_x0000_s1031" style="position:absolute;left:0;text-align:left;margin-left:464.5pt;margin-top:8.05pt;width:75.05pt;height:13.1pt;z-index:251656704" o:allowincell="f" filled="f" stroked="f" strokecolor="lime" strokeweight=".25pt">
            <v:textbox inset="0,0,0,0">
              <w:txbxContent>
                <w:p w14:paraId="12A02A99" w14:textId="77777777" w:rsidR="000835B2" w:rsidRDefault="000835B2">
                  <w:pPr>
                    <w:spacing w:line="160" w:lineRule="exact"/>
                    <w:jc w:val="left"/>
                    <w:rPr>
                      <w:rFonts w:cs="Miriam"/>
                      <w:noProof/>
                      <w:szCs w:val="18"/>
                      <w:rtl/>
                    </w:rPr>
                  </w:pPr>
                  <w:r>
                    <w:rPr>
                      <w:rFonts w:cs="Miriam"/>
                      <w:szCs w:val="18"/>
                      <w:rtl/>
                    </w:rPr>
                    <w:t>י</w:t>
                  </w:r>
                  <w:r>
                    <w:rPr>
                      <w:rFonts w:cs="Miriam" w:hint="cs"/>
                      <w:szCs w:val="18"/>
                      <w:rtl/>
                    </w:rPr>
                    <w:t>יצוג היושב ראש</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יושב ראש זכאי להיות מיוצג בערעור על ידי היועץ המשפטי לממשלה או בא-כוחו.</w:t>
      </w:r>
    </w:p>
    <w:p w14:paraId="3DAFDD9D" w14:textId="77777777" w:rsidR="000835B2" w:rsidRDefault="000835B2">
      <w:pPr>
        <w:pStyle w:val="P00"/>
        <w:spacing w:before="72"/>
        <w:ind w:left="0" w:right="1134"/>
        <w:rPr>
          <w:rStyle w:val="default"/>
          <w:rFonts w:cs="FrankRuehl"/>
          <w:rtl/>
        </w:rPr>
      </w:pPr>
      <w:bookmarkStart w:id="6" w:name="Seif6"/>
      <w:bookmarkEnd w:id="6"/>
      <w:r>
        <w:rPr>
          <w:lang w:val="he-IL"/>
        </w:rPr>
        <w:pict w14:anchorId="22A2E1A6">
          <v:rect id="_x0000_s1032" style="position:absolute;left:0;text-align:left;margin-left:464.5pt;margin-top:8.05pt;width:75.05pt;height:16pt;z-index:251657728" o:allowincell="f" filled="f" stroked="f" strokecolor="lime" strokeweight=".25pt">
            <v:textbox inset="0,0,0,0">
              <w:txbxContent>
                <w:p w14:paraId="74987467" w14:textId="77777777" w:rsidR="000835B2" w:rsidRDefault="000835B2">
                  <w:pPr>
                    <w:spacing w:line="160" w:lineRule="exact"/>
                    <w:jc w:val="left"/>
                    <w:rPr>
                      <w:rFonts w:cs="Miriam"/>
                      <w:noProof/>
                      <w:szCs w:val="18"/>
                      <w:rtl/>
                    </w:rPr>
                  </w:pPr>
                  <w:r>
                    <w:rPr>
                      <w:rFonts w:cs="Miriam"/>
                      <w:szCs w:val="18"/>
                      <w:rtl/>
                    </w:rPr>
                    <w:t>א</w:t>
                  </w:r>
                  <w:r>
                    <w:rPr>
                      <w:rFonts w:cs="Miriam" w:hint="cs"/>
                      <w:szCs w:val="18"/>
                      <w:rtl/>
                    </w:rPr>
                    <w:t xml:space="preserve">י-התייצבות </w:t>
                  </w:r>
                  <w:r>
                    <w:rPr>
                      <w:rFonts w:cs="Miriam"/>
                      <w:szCs w:val="18"/>
                      <w:rtl/>
                    </w:rPr>
                    <w:t>ב</w:t>
                  </w:r>
                  <w:r>
                    <w:rPr>
                      <w:rFonts w:cs="Miriam" w:hint="cs"/>
                      <w:szCs w:val="18"/>
                      <w:rtl/>
                    </w:rPr>
                    <w:t>על דין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התייצב המערער במועד שנקבע לשמיעת הערעור, רשאי בית המשפט למחוק את הערעור או לדחות את שמיעתו, ואם התייצב היושב ראש - רשאי בית המשפט גם לדון בערעור ולתת פסק דין שלא בפני המערער.</w:t>
      </w:r>
    </w:p>
    <w:p w14:paraId="1ED5B80A" w14:textId="77777777" w:rsidR="000835B2" w:rsidRDefault="000835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התייצב היושב ראש במוע</w:t>
      </w:r>
      <w:r>
        <w:rPr>
          <w:rStyle w:val="default"/>
          <w:rFonts w:cs="FrankRuehl"/>
          <w:rtl/>
        </w:rPr>
        <w:t>ד</w:t>
      </w:r>
      <w:r>
        <w:rPr>
          <w:rStyle w:val="default"/>
          <w:rFonts w:cs="FrankRuehl" w:hint="cs"/>
          <w:rtl/>
        </w:rPr>
        <w:t xml:space="preserve"> שנקבע לשמיעת הערעור</w:t>
      </w:r>
      <w:r>
        <w:rPr>
          <w:rStyle w:val="default"/>
          <w:rFonts w:cs="FrankRuehl"/>
          <w:rtl/>
        </w:rPr>
        <w:t xml:space="preserve"> </w:t>
      </w:r>
      <w:r>
        <w:rPr>
          <w:rStyle w:val="default"/>
          <w:rFonts w:cs="FrankRuehl" w:hint="cs"/>
          <w:rtl/>
        </w:rPr>
        <w:t>והתייצב המערער, רשאי בית המשפט לדון בערעור ולתת פסק דין שלא בפני היושב ראש.</w:t>
      </w:r>
    </w:p>
    <w:p w14:paraId="08020F9C" w14:textId="77777777" w:rsidR="000835B2" w:rsidRDefault="000835B2">
      <w:pPr>
        <w:pStyle w:val="P00"/>
        <w:spacing w:before="72"/>
        <w:ind w:left="0" w:right="1134"/>
        <w:rPr>
          <w:rStyle w:val="default"/>
          <w:rFonts w:cs="FrankRuehl"/>
          <w:rtl/>
        </w:rPr>
      </w:pPr>
      <w:bookmarkStart w:id="7" w:name="Seif7"/>
      <w:bookmarkEnd w:id="7"/>
      <w:r>
        <w:rPr>
          <w:lang w:val="he-IL"/>
        </w:rPr>
        <w:pict w14:anchorId="5DB75F2A">
          <v:rect id="_x0000_s1033" style="position:absolute;left:0;text-align:left;margin-left:464.5pt;margin-top:8.05pt;width:75.05pt;height:22.1pt;z-index:251658752" o:allowincell="f" filled="f" stroked="f" strokecolor="lime" strokeweight=".25pt">
            <v:textbox inset="0,0,0,0">
              <w:txbxContent>
                <w:p w14:paraId="53669FC7" w14:textId="77777777" w:rsidR="000835B2" w:rsidRDefault="000835B2">
                  <w:pPr>
                    <w:spacing w:line="160" w:lineRule="exact"/>
                    <w:jc w:val="left"/>
                    <w:rPr>
                      <w:rFonts w:cs="Miriam"/>
                      <w:noProof/>
                      <w:szCs w:val="18"/>
                      <w:rtl/>
                    </w:rPr>
                  </w:pPr>
                  <w:r>
                    <w:rPr>
                      <w:rFonts w:cs="Miriam"/>
                      <w:szCs w:val="18"/>
                      <w:rtl/>
                    </w:rPr>
                    <w:t>ט</w:t>
                  </w:r>
                  <w:r>
                    <w:rPr>
                      <w:rFonts w:cs="Miriam" w:hint="cs"/>
                      <w:szCs w:val="18"/>
                      <w:rtl/>
                    </w:rPr>
                    <w:t>ענות פורמליות</w:t>
                  </w:r>
                  <w:r>
                    <w:rPr>
                      <w:rFonts w:cs="Miriam"/>
                      <w:szCs w:val="18"/>
                      <w:rtl/>
                    </w:rPr>
                    <w:t xml:space="preserve"> </w:t>
                  </w:r>
                  <w:r>
                    <w:rPr>
                      <w:rFonts w:cs="Miriam" w:hint="cs"/>
                      <w:szCs w:val="18"/>
                      <w:rtl/>
                    </w:rPr>
                    <w:t>וראיות נוספות</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ית המשפט הדן בערעור רשאי לא להיזקק לטענות פורמליות או לראיות שלא צויינו בהודעה.</w:t>
      </w:r>
    </w:p>
    <w:p w14:paraId="521D7B15" w14:textId="77777777" w:rsidR="000835B2" w:rsidRDefault="000835B2">
      <w:pPr>
        <w:pStyle w:val="P00"/>
        <w:spacing w:before="72"/>
        <w:ind w:left="0" w:right="1134"/>
        <w:rPr>
          <w:rStyle w:val="default"/>
          <w:rFonts w:cs="FrankRuehl"/>
          <w:rtl/>
        </w:rPr>
      </w:pPr>
      <w:bookmarkStart w:id="8" w:name="Seif8"/>
      <w:bookmarkEnd w:id="8"/>
      <w:r>
        <w:rPr>
          <w:lang w:val="he-IL"/>
        </w:rPr>
        <w:pict w14:anchorId="5ECAC17F">
          <v:rect id="_x0000_s1034" style="position:absolute;left:0;text-align:left;margin-left:464.5pt;margin-top:8.05pt;width:75.05pt;height:11.6pt;z-index:251659776" o:allowincell="f" filled="f" stroked="f" strokecolor="lime" strokeweight=".25pt">
            <v:textbox inset="0,0,0,0">
              <w:txbxContent>
                <w:p w14:paraId="332F2D90" w14:textId="77777777" w:rsidR="000835B2" w:rsidRDefault="000835B2">
                  <w:pPr>
                    <w:spacing w:line="160" w:lineRule="exact"/>
                    <w:jc w:val="left"/>
                    <w:rPr>
                      <w:rFonts w:cs="Miriam"/>
                      <w:noProof/>
                      <w:szCs w:val="18"/>
                      <w:rtl/>
                    </w:rPr>
                  </w:pPr>
                  <w:r>
                    <w:rPr>
                      <w:rFonts w:cs="Miriam"/>
                      <w:szCs w:val="18"/>
                      <w:rtl/>
                    </w:rPr>
                    <w:t>א</w:t>
                  </w:r>
                  <w:r>
                    <w:rPr>
                      <w:rFonts w:cs="Miriam" w:hint="cs"/>
                      <w:szCs w:val="18"/>
                      <w:rtl/>
                    </w:rPr>
                    <w:t>יחוד ערעורים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רשאי לא</w:t>
      </w:r>
      <w:r>
        <w:rPr>
          <w:rStyle w:val="default"/>
          <w:rFonts w:cs="FrankRuehl"/>
          <w:rtl/>
        </w:rPr>
        <w:t>ח</w:t>
      </w:r>
      <w:r>
        <w:rPr>
          <w:rStyle w:val="default"/>
          <w:rFonts w:cs="FrankRuehl" w:hint="cs"/>
          <w:rtl/>
        </w:rPr>
        <w:t>ד ערעורים התלויים ועומדים לפניו אם הם נוגעים למועמדים של רשימת מועמדים אחת או אם כרוכות בהם אותן</w:t>
      </w:r>
      <w:r>
        <w:rPr>
          <w:rStyle w:val="default"/>
          <w:rFonts w:cs="FrankRuehl"/>
          <w:rtl/>
        </w:rPr>
        <w:t xml:space="preserve"> </w:t>
      </w:r>
      <w:r>
        <w:rPr>
          <w:rStyle w:val="default"/>
          <w:rFonts w:cs="FrankRuehl" w:hint="cs"/>
          <w:rtl/>
        </w:rPr>
        <w:t>שאלות חוק או אותן שאלות עובדה, או שאלות חוק או שאלות עובדה דומות.</w:t>
      </w:r>
    </w:p>
    <w:p w14:paraId="5007C34C" w14:textId="77777777" w:rsidR="000835B2" w:rsidRDefault="000835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לתת פסק דין אחד במספר ערעורים שנדונו על ידיו והנוגעים למועמדים של רשימת</w:t>
      </w:r>
      <w:r>
        <w:rPr>
          <w:rStyle w:val="default"/>
          <w:rFonts w:cs="FrankRuehl"/>
          <w:rtl/>
        </w:rPr>
        <w:t xml:space="preserve"> </w:t>
      </w:r>
      <w:r>
        <w:rPr>
          <w:rStyle w:val="default"/>
          <w:rFonts w:cs="FrankRuehl" w:hint="cs"/>
          <w:rtl/>
        </w:rPr>
        <w:t>מועמדים אחת, אף אם לא אוחדו הערעורים כאמור בתקנת משנה (א).</w:t>
      </w:r>
    </w:p>
    <w:p w14:paraId="54DC1F50" w14:textId="77777777" w:rsidR="000835B2" w:rsidRDefault="000835B2">
      <w:pPr>
        <w:pStyle w:val="P00"/>
        <w:spacing w:before="72"/>
        <w:ind w:left="0" w:right="1134"/>
        <w:rPr>
          <w:rStyle w:val="default"/>
          <w:rFonts w:cs="FrankRuehl"/>
          <w:rtl/>
        </w:rPr>
      </w:pPr>
      <w:bookmarkStart w:id="9" w:name="Seif9"/>
      <w:bookmarkEnd w:id="9"/>
      <w:r>
        <w:rPr>
          <w:lang w:val="he-IL"/>
        </w:rPr>
        <w:pict w14:anchorId="236E0CEA">
          <v:rect id="_x0000_s1035" style="position:absolute;left:0;text-align:left;margin-left:464.5pt;margin-top:8.05pt;width:75.05pt;height:14.5pt;z-index:251660800" o:allowincell="f" filled="f" stroked="f" strokecolor="lime" strokeweight=".25pt">
            <v:textbox inset="0,0,0,0">
              <w:txbxContent>
                <w:p w14:paraId="27AAF1AE" w14:textId="77777777" w:rsidR="000835B2" w:rsidRDefault="000835B2">
                  <w:pPr>
                    <w:spacing w:line="160" w:lineRule="exact"/>
                    <w:jc w:val="left"/>
                    <w:rPr>
                      <w:rFonts w:cs="Miriam"/>
                      <w:noProof/>
                      <w:szCs w:val="18"/>
                      <w:rtl/>
                    </w:rPr>
                  </w:pPr>
                  <w:r>
                    <w:rPr>
                      <w:rFonts w:cs="Miriam"/>
                      <w:szCs w:val="18"/>
                      <w:rtl/>
                    </w:rPr>
                    <w:t>ס</w:t>
                  </w:r>
                  <w:r>
                    <w:rPr>
                      <w:rFonts w:cs="Miriam" w:hint="cs"/>
                      <w:szCs w:val="18"/>
                      <w:rtl/>
                    </w:rPr>
                    <w:t>דרי הדין</w:t>
                  </w:r>
                </w:p>
              </w:txbxContent>
            </v:textbox>
            <w10:anchorlock/>
          </v:rect>
        </w:pict>
      </w:r>
      <w:r>
        <w:rPr>
          <w:rStyle w:val="big-number"/>
          <w:rtl/>
        </w:rPr>
        <w:t>10.</w:t>
      </w:r>
      <w:r>
        <w:rPr>
          <w:rStyle w:val="big-number"/>
          <w:rtl/>
        </w:rPr>
        <w:tab/>
      </w:r>
      <w:r>
        <w:rPr>
          <w:rStyle w:val="default"/>
          <w:rFonts w:cs="FrankRuehl"/>
          <w:rtl/>
        </w:rPr>
        <w:t>ס</w:t>
      </w:r>
      <w:r>
        <w:rPr>
          <w:rStyle w:val="default"/>
          <w:rFonts w:cs="FrankRuehl" w:hint="cs"/>
          <w:rtl/>
        </w:rPr>
        <w:t>דרי הדין החלים על בקשה בדרך המרצה בבית המשפט המחוזי יחולו, בשינויים המחוייבים לפי הנסיבות, על דיון בערעור לפי תקנות אלה בכל ענין שאין עליו הוראה אחרת בחוק הבחירות לכנסת, תשי"ט-19</w:t>
      </w:r>
      <w:r>
        <w:rPr>
          <w:rStyle w:val="default"/>
          <w:rFonts w:cs="FrankRuehl"/>
          <w:rtl/>
        </w:rPr>
        <w:t xml:space="preserve">59, </w:t>
      </w:r>
      <w:r>
        <w:rPr>
          <w:rStyle w:val="default"/>
          <w:rFonts w:cs="FrankRuehl" w:hint="cs"/>
          <w:rtl/>
        </w:rPr>
        <w:t>או בתקנות אלה.</w:t>
      </w:r>
    </w:p>
    <w:p w14:paraId="1BAA1EB3" w14:textId="77777777" w:rsidR="000835B2" w:rsidRDefault="000835B2">
      <w:pPr>
        <w:pStyle w:val="P00"/>
        <w:spacing w:before="72"/>
        <w:ind w:left="0" w:right="1134"/>
        <w:rPr>
          <w:rStyle w:val="default"/>
          <w:rFonts w:cs="FrankRuehl"/>
          <w:rtl/>
        </w:rPr>
      </w:pPr>
      <w:bookmarkStart w:id="10" w:name="Seif10"/>
      <w:bookmarkEnd w:id="10"/>
      <w:r>
        <w:rPr>
          <w:lang w:val="he-IL"/>
        </w:rPr>
        <w:pict w14:anchorId="4FF23670">
          <v:rect id="_x0000_s1036" style="position:absolute;left:0;text-align:left;margin-left:464.5pt;margin-top:8.05pt;width:75.05pt;height:13.35pt;z-index:251661824" o:allowincell="f" filled="f" stroked="f" strokecolor="lime" strokeweight=".25pt">
            <v:textbox inset="0,0,0,0">
              <w:txbxContent>
                <w:p w14:paraId="6731BA25" w14:textId="77777777" w:rsidR="000835B2" w:rsidRDefault="000835B2">
                  <w:pPr>
                    <w:spacing w:line="160" w:lineRule="exact"/>
                    <w:jc w:val="left"/>
                    <w:rPr>
                      <w:rFonts w:cs="Miriam"/>
                      <w:noProof/>
                      <w:szCs w:val="18"/>
                      <w:rtl/>
                    </w:rPr>
                  </w:pPr>
                  <w:r>
                    <w:rPr>
                      <w:rFonts w:cs="Miriam"/>
                      <w:szCs w:val="18"/>
                      <w:rtl/>
                    </w:rPr>
                    <w:t>מ</w:t>
                  </w:r>
                  <w:r>
                    <w:rPr>
                      <w:rFonts w:cs="Miriam" w:hint="cs"/>
                      <w:szCs w:val="18"/>
                      <w:rtl/>
                    </w:rPr>
                    <w:t>סירת פסק הדין</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פסק הדין יימסר לועדת הבחירות המרכזית לא יאוחר מהיום ה-20 שלפני יום הבחירות.</w:t>
      </w:r>
    </w:p>
    <w:p w14:paraId="68687C50" w14:textId="77777777" w:rsidR="000835B2" w:rsidRDefault="000835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 העתק פסק הדין לידי היושב ראש או הונח במשרד ועדת הבחירות המרכזית, יראו את המסירה או ההנחה כאמור כמסירה כדין לועדת הבחירות המרכ</w:t>
      </w:r>
      <w:r>
        <w:rPr>
          <w:rStyle w:val="default"/>
          <w:rFonts w:cs="FrankRuehl"/>
          <w:rtl/>
        </w:rPr>
        <w:t>ז</w:t>
      </w:r>
      <w:r>
        <w:rPr>
          <w:rStyle w:val="default"/>
          <w:rFonts w:cs="FrankRuehl" w:hint="cs"/>
          <w:rtl/>
        </w:rPr>
        <w:t>ית.</w:t>
      </w:r>
    </w:p>
    <w:p w14:paraId="0B75E740" w14:textId="77777777" w:rsidR="000835B2" w:rsidRDefault="000835B2">
      <w:pPr>
        <w:pStyle w:val="P00"/>
        <w:spacing w:before="72"/>
        <w:ind w:left="0" w:right="1134"/>
        <w:rPr>
          <w:rStyle w:val="default"/>
          <w:rFonts w:cs="FrankRuehl"/>
          <w:rtl/>
        </w:rPr>
      </w:pPr>
      <w:bookmarkStart w:id="11" w:name="Seif11"/>
      <w:bookmarkEnd w:id="11"/>
      <w:r>
        <w:rPr>
          <w:lang w:val="he-IL"/>
        </w:rPr>
        <w:lastRenderedPageBreak/>
        <w:pict w14:anchorId="1A1F40D4">
          <v:rect id="_x0000_s1037" style="position:absolute;left:0;text-align:left;margin-left:464.5pt;margin-top:8.05pt;width:75.05pt;height:8.1pt;z-index:251662848" o:allowincell="f" filled="f" stroked="f" strokecolor="lime" strokeweight=".25pt">
            <v:textbox inset="0,0,0,0">
              <w:txbxContent>
                <w:p w14:paraId="2EB9AFFA" w14:textId="77777777" w:rsidR="000835B2" w:rsidRDefault="000835B2">
                  <w:pPr>
                    <w:spacing w:line="160" w:lineRule="exact"/>
                    <w:jc w:val="left"/>
                    <w:rPr>
                      <w:rFonts w:cs="Miriam"/>
                      <w:noProof/>
                      <w:szCs w:val="18"/>
                      <w:rtl/>
                    </w:rPr>
                  </w:pPr>
                  <w:r>
                    <w:rPr>
                      <w:rFonts w:cs="Miriam"/>
                      <w:szCs w:val="18"/>
                      <w:rtl/>
                    </w:rPr>
                    <w:t>בי</w:t>
                  </w:r>
                  <w:r>
                    <w:rPr>
                      <w:rFonts w:cs="Miriam" w:hint="cs"/>
                      <w:szCs w:val="18"/>
                      <w:rtl/>
                    </w:rPr>
                    <w:t>טול</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קנות הבחירות לכנסת (סדרי ערעורים), תשט"ו-1955 - בטלות.</w:t>
      </w:r>
    </w:p>
    <w:p w14:paraId="45354217" w14:textId="77777777" w:rsidR="000835B2" w:rsidRDefault="000835B2">
      <w:pPr>
        <w:pStyle w:val="P00"/>
        <w:spacing w:before="72"/>
        <w:ind w:left="0" w:right="1134"/>
        <w:rPr>
          <w:rStyle w:val="default"/>
          <w:rFonts w:cs="FrankRuehl"/>
          <w:rtl/>
        </w:rPr>
      </w:pPr>
      <w:bookmarkStart w:id="12" w:name="Seif12"/>
      <w:bookmarkEnd w:id="12"/>
      <w:r>
        <w:rPr>
          <w:lang w:val="he-IL"/>
        </w:rPr>
        <w:pict w14:anchorId="3C06CC33">
          <v:rect id="_x0000_s1038" style="position:absolute;left:0;text-align:left;margin-left:464.5pt;margin-top:8.05pt;width:75.05pt;height:10.55pt;z-index:251663872" o:allowincell="f" filled="f" stroked="f" strokecolor="lime" strokeweight=".25pt">
            <v:textbox inset="0,0,0,0">
              <w:txbxContent>
                <w:p w14:paraId="473FCAA0" w14:textId="77777777" w:rsidR="000835B2" w:rsidRDefault="000835B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תקנות אלה ייקרא "תקנות הבחירות לכנסת (סדרי ערעורים), תשי"ט-1959".</w:t>
      </w:r>
    </w:p>
    <w:p w14:paraId="27353CE8" w14:textId="77777777" w:rsidR="000835B2" w:rsidRDefault="000835B2">
      <w:pPr>
        <w:pStyle w:val="P00"/>
        <w:spacing w:before="72"/>
        <w:ind w:left="0" w:right="1134"/>
        <w:rPr>
          <w:rStyle w:val="default"/>
          <w:rFonts w:cs="FrankRuehl"/>
          <w:rtl/>
        </w:rPr>
      </w:pPr>
    </w:p>
    <w:p w14:paraId="406E4DDF" w14:textId="77777777" w:rsidR="000835B2" w:rsidRDefault="000835B2">
      <w:pPr>
        <w:pStyle w:val="sig-0"/>
        <w:ind w:left="0" w:right="1134"/>
        <w:rPr>
          <w:rtl/>
        </w:rPr>
      </w:pPr>
      <w:r>
        <w:rPr>
          <w:rtl/>
        </w:rPr>
        <w:t>ט</w:t>
      </w:r>
      <w:r>
        <w:rPr>
          <w:rFonts w:hint="cs"/>
          <w:rtl/>
        </w:rPr>
        <w:t>"ו בסיון תשי"ט (21 ביוני 1959)</w:t>
      </w:r>
      <w:r>
        <w:rPr>
          <w:rtl/>
        </w:rPr>
        <w:tab/>
      </w:r>
      <w:r>
        <w:rPr>
          <w:rFonts w:hint="cs"/>
          <w:rtl/>
        </w:rPr>
        <w:t>פנחס רוזן</w:t>
      </w:r>
    </w:p>
    <w:p w14:paraId="62AE49B0" w14:textId="77777777" w:rsidR="000835B2" w:rsidRDefault="000835B2">
      <w:pPr>
        <w:pStyle w:val="sig-1"/>
        <w:widowControl/>
        <w:ind w:left="0" w:right="1134"/>
        <w:rPr>
          <w:rFonts w:hint="cs"/>
          <w:rtl/>
        </w:rPr>
      </w:pPr>
      <w:r>
        <w:rPr>
          <w:rtl/>
        </w:rPr>
        <w:tab/>
      </w:r>
      <w:r>
        <w:rPr>
          <w:rtl/>
        </w:rPr>
        <w:tab/>
      </w:r>
      <w:r>
        <w:rPr>
          <w:rtl/>
        </w:rPr>
        <w:tab/>
      </w:r>
      <w:r>
        <w:rPr>
          <w:rFonts w:hint="cs"/>
          <w:rtl/>
        </w:rPr>
        <w:t>שר המשפטים</w:t>
      </w:r>
    </w:p>
    <w:p w14:paraId="534DD16F" w14:textId="77777777" w:rsidR="000835B2" w:rsidRDefault="000835B2">
      <w:pPr>
        <w:pStyle w:val="P00"/>
        <w:spacing w:before="72"/>
        <w:ind w:left="0" w:right="1134"/>
        <w:rPr>
          <w:rStyle w:val="default"/>
          <w:rFonts w:cs="FrankRuehl" w:hint="cs"/>
          <w:rtl/>
        </w:rPr>
      </w:pPr>
    </w:p>
    <w:p w14:paraId="6B6869C3" w14:textId="77777777" w:rsidR="000835B2" w:rsidRDefault="000835B2">
      <w:pPr>
        <w:pStyle w:val="P00"/>
        <w:spacing w:before="72"/>
        <w:ind w:left="0" w:right="1134"/>
        <w:rPr>
          <w:rStyle w:val="default"/>
          <w:rFonts w:cs="FrankRuehl"/>
          <w:rtl/>
        </w:rPr>
      </w:pPr>
    </w:p>
    <w:p w14:paraId="1FAE40E6" w14:textId="77777777" w:rsidR="000835B2" w:rsidRDefault="000835B2">
      <w:pPr>
        <w:pStyle w:val="P00"/>
        <w:spacing w:before="72"/>
        <w:ind w:left="0" w:right="1134"/>
        <w:rPr>
          <w:rStyle w:val="default"/>
          <w:rFonts w:cs="FrankRuehl"/>
          <w:rtl/>
        </w:rPr>
      </w:pPr>
      <w:bookmarkStart w:id="13" w:name="LawPartEnd"/>
    </w:p>
    <w:bookmarkEnd w:id="13"/>
    <w:p w14:paraId="7AFC701F" w14:textId="77777777" w:rsidR="000835B2" w:rsidRDefault="000835B2">
      <w:pPr>
        <w:pStyle w:val="P00"/>
        <w:spacing w:before="72"/>
        <w:ind w:left="0" w:right="1134"/>
        <w:rPr>
          <w:rStyle w:val="default"/>
          <w:rFonts w:cs="FrankRuehl"/>
          <w:rtl/>
        </w:rPr>
      </w:pPr>
    </w:p>
    <w:sectPr w:rsidR="000835B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060D" w14:textId="77777777" w:rsidR="008F5054" w:rsidRDefault="008F5054">
      <w:r>
        <w:separator/>
      </w:r>
    </w:p>
  </w:endnote>
  <w:endnote w:type="continuationSeparator" w:id="0">
    <w:p w14:paraId="6386D884" w14:textId="77777777" w:rsidR="008F5054" w:rsidRDefault="008F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478D9" w14:textId="77777777" w:rsidR="000835B2" w:rsidRDefault="000835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ECE8F6" w14:textId="77777777" w:rsidR="000835B2" w:rsidRDefault="000835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B1EDD4" w14:textId="77777777" w:rsidR="000835B2" w:rsidRDefault="000835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C:\Yael\hakika\Revadim\190_005.doc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17DA" w14:textId="77777777" w:rsidR="000835B2" w:rsidRDefault="000835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5FFF">
      <w:rPr>
        <w:rFonts w:hAnsi="FrankRuehl" w:cs="FrankRuehl"/>
        <w:noProof/>
        <w:sz w:val="24"/>
        <w:szCs w:val="24"/>
        <w:rtl/>
      </w:rPr>
      <w:t>2</w:t>
    </w:r>
    <w:r>
      <w:rPr>
        <w:rFonts w:hAnsi="FrankRuehl" w:cs="FrankRuehl"/>
        <w:sz w:val="24"/>
        <w:szCs w:val="24"/>
        <w:rtl/>
      </w:rPr>
      <w:fldChar w:fldCharType="end"/>
    </w:r>
  </w:p>
  <w:p w14:paraId="778EF097" w14:textId="77777777" w:rsidR="000835B2" w:rsidRDefault="000835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B0CE5C" w14:textId="77777777" w:rsidR="000835B2" w:rsidRDefault="000835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C:\Yael\hakika\Revadim\190_005.doc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4896E" w14:textId="77777777" w:rsidR="008F5054" w:rsidRDefault="008F5054">
      <w:pPr>
        <w:spacing w:before="60" w:line="240" w:lineRule="auto"/>
        <w:ind w:right="1134"/>
      </w:pPr>
      <w:r>
        <w:separator/>
      </w:r>
    </w:p>
  </w:footnote>
  <w:footnote w:type="continuationSeparator" w:id="0">
    <w:p w14:paraId="1DB1AB64" w14:textId="77777777" w:rsidR="008F5054" w:rsidRDefault="008F5054">
      <w:r>
        <w:continuationSeparator/>
      </w:r>
    </w:p>
  </w:footnote>
  <w:footnote w:id="1">
    <w:p w14:paraId="3CDD2B7C" w14:textId="77777777" w:rsidR="000835B2" w:rsidRDefault="000835B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תשי"ט מס' 921</w:t>
        </w:r>
      </w:hyperlink>
      <w:r>
        <w:rPr>
          <w:rFonts w:hint="cs"/>
          <w:sz w:val="20"/>
          <w:rtl/>
        </w:rPr>
        <w:t xml:space="preserve"> מיום 25.6.1959 עמ' 1566.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4B3C" w14:textId="77777777" w:rsidR="000835B2" w:rsidRDefault="000835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הבחירות לכנסת (סדרי ערעורים), תשי"ט–1959</w:t>
    </w:r>
  </w:p>
  <w:p w14:paraId="3F150122" w14:textId="77777777" w:rsidR="000835B2" w:rsidRDefault="000835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D94201" w14:textId="77777777" w:rsidR="000835B2" w:rsidRDefault="000835B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1A97" w14:textId="77777777" w:rsidR="000835B2" w:rsidRDefault="000835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הבחירות לכנסת (סדרי ערעורים), תשי"ט</w:t>
    </w:r>
    <w:r>
      <w:rPr>
        <w:rFonts w:hAnsi="FrankRuehl" w:cs="FrankRuehl" w:hint="cs"/>
        <w:color w:val="000000"/>
        <w:sz w:val="28"/>
        <w:szCs w:val="28"/>
        <w:rtl/>
      </w:rPr>
      <w:t>-</w:t>
    </w:r>
    <w:r>
      <w:rPr>
        <w:rFonts w:hAnsi="FrankRuehl" w:cs="FrankRuehl"/>
        <w:color w:val="000000"/>
        <w:sz w:val="28"/>
        <w:szCs w:val="28"/>
        <w:rtl/>
      </w:rPr>
      <w:t>1959</w:t>
    </w:r>
  </w:p>
  <w:p w14:paraId="1C35EBDF" w14:textId="77777777" w:rsidR="000835B2" w:rsidRDefault="000835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A69BC2" w14:textId="77777777" w:rsidR="000835B2" w:rsidRDefault="000835B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31AD"/>
    <w:rsid w:val="000835B2"/>
    <w:rsid w:val="008431AD"/>
    <w:rsid w:val="008F5054"/>
    <w:rsid w:val="00B17AC9"/>
    <w:rsid w:val="00B33190"/>
    <w:rsid w:val="00C25F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8EBE25"/>
  <w15:chartTrackingRefBased/>
  <w15:docId w15:val="{20B09267-E480-4F14-99D0-6C11C04B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9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190</vt:lpstr>
    </vt:vector>
  </TitlesOfParts>
  <Company/>
  <LinksUpToDate>false</LinksUpToDate>
  <CharactersWithSpaces>4160</CharactersWithSpaces>
  <SharedDoc>false</SharedDoc>
  <HLinks>
    <vt:vector size="84"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8060928</vt:i4>
      </vt:variant>
      <vt:variant>
        <vt:i4>0</vt:i4>
      </vt:variant>
      <vt:variant>
        <vt:i4>0</vt:i4>
      </vt:variant>
      <vt:variant>
        <vt:i4>5</vt:i4>
      </vt:variant>
      <vt:variant>
        <vt:lpwstr>http://www.nevo.co.il/Law_word/law06/TAK-0921.pdf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190</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תקנות הבחירות לכנסת (סדרי ערעורים), תשי"ט-1959</vt:lpwstr>
  </property>
  <property fmtid="{D5CDD505-2E9C-101B-9397-08002B2CF9AE}" pid="5" name="LAWNUMBER">
    <vt:lpwstr>0005</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vt:lpwstr>
  </property>
  <property fmtid="{D5CDD505-2E9C-101B-9397-08002B2CF9AE}" pid="48" name="MEKOR_SAIF1">
    <vt:lpwstr>72X</vt:lpwstr>
  </property>
</Properties>
</file>