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56D0" w:rsidRDefault="008E56D0">
      <w:pPr>
        <w:pStyle w:val="big-header"/>
        <w:ind w:left="0" w:right="1134"/>
        <w:rPr>
          <w:rFonts w:hint="cs"/>
          <w:rtl/>
        </w:rPr>
      </w:pPr>
      <w:r>
        <w:rPr>
          <w:rtl/>
        </w:rPr>
        <w:t>תקנות הביטוח הלאומי (בדיקות רפואיות), תשכ"ה-1965</w:t>
      </w:r>
    </w:p>
    <w:p w:rsidR="00B82613" w:rsidRPr="00B82613" w:rsidRDefault="00B82613" w:rsidP="00B82613">
      <w:pPr>
        <w:spacing w:line="320" w:lineRule="auto"/>
        <w:jc w:val="left"/>
        <w:rPr>
          <w:rFonts w:cs="FrankRuehl"/>
          <w:szCs w:val="26"/>
          <w:rtl/>
        </w:rPr>
      </w:pPr>
    </w:p>
    <w:p w:rsidR="000027D3" w:rsidRPr="00B82613" w:rsidRDefault="00B82613" w:rsidP="00B82613">
      <w:pPr>
        <w:spacing w:line="320" w:lineRule="auto"/>
        <w:jc w:val="left"/>
        <w:rPr>
          <w:rFonts w:cs="Miriam" w:hint="cs"/>
          <w:szCs w:val="22"/>
          <w:rtl/>
        </w:rPr>
      </w:pPr>
      <w:r w:rsidRPr="00B82613">
        <w:rPr>
          <w:rFonts w:cs="Miriam"/>
          <w:szCs w:val="22"/>
          <w:rtl/>
        </w:rPr>
        <w:t>ביטוח</w:t>
      </w:r>
      <w:r w:rsidRPr="00B82613">
        <w:rPr>
          <w:rFonts w:cs="FrankRuehl"/>
          <w:szCs w:val="26"/>
          <w:rtl/>
        </w:rPr>
        <w:t xml:space="preserve"> – </w:t>
      </w:r>
      <w:smartTag w:uri="urn:schemas-microsoft-com:office:smarttags" w:element="PersonName">
        <w:smartTagPr>
          <w:attr w:name="ProductID" w:val="ביטוח לאומי"/>
        </w:smartTagPr>
        <w:r w:rsidRPr="00B82613">
          <w:rPr>
            <w:rFonts w:cs="FrankRuehl"/>
            <w:szCs w:val="26"/>
            <w:rtl/>
          </w:rPr>
          <w:t>ביטוח לאומי</w:t>
        </w:r>
      </w:smartTag>
      <w:r w:rsidRPr="00B82613">
        <w:rPr>
          <w:rFonts w:cs="FrankRuehl"/>
          <w:szCs w:val="26"/>
          <w:rtl/>
        </w:rPr>
        <w:t xml:space="preserve"> – תגמולים</w:t>
      </w:r>
    </w:p>
    <w:p w:rsidR="008E56D0" w:rsidRDefault="008E56D0">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E56D0">
        <w:tblPrEx>
          <w:tblCellMar>
            <w:top w:w="0" w:type="dxa"/>
            <w:bottom w:w="0" w:type="dxa"/>
          </w:tblCellMar>
        </w:tblPrEx>
        <w:tc>
          <w:tcPr>
            <w:tcW w:w="850" w:type="dxa"/>
          </w:tcPr>
          <w:p w:rsidR="008E56D0" w:rsidRDefault="008E56D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E56D0" w:rsidRDefault="008E56D0">
            <w:pPr>
              <w:spacing w:line="240" w:lineRule="auto"/>
              <w:rPr>
                <w:sz w:val="24"/>
              </w:rPr>
            </w:pPr>
            <w:hyperlink w:anchor="Seif0" w:tooltip="בדיקה רפואית" w:history="1">
              <w:r>
                <w:rPr>
                  <w:rStyle w:val="Hyperlink"/>
                </w:rPr>
                <w:t>Go</w:t>
              </w:r>
            </w:hyperlink>
          </w:p>
        </w:tc>
        <w:tc>
          <w:tcPr>
            <w:tcW w:w="5669" w:type="dxa"/>
          </w:tcPr>
          <w:p w:rsidR="008E56D0" w:rsidRDefault="008E56D0">
            <w:pPr>
              <w:spacing w:line="240" w:lineRule="auto"/>
              <w:rPr>
                <w:sz w:val="24"/>
                <w:rtl/>
              </w:rPr>
            </w:pPr>
            <w:r>
              <w:rPr>
                <w:sz w:val="24"/>
                <w:rtl/>
              </w:rPr>
              <w:t>בדיקה רפואית</w:t>
            </w:r>
          </w:p>
        </w:tc>
        <w:tc>
          <w:tcPr>
            <w:tcW w:w="1247" w:type="dxa"/>
          </w:tcPr>
          <w:p w:rsidR="008E56D0" w:rsidRDefault="008E56D0">
            <w:pPr>
              <w:spacing w:line="240" w:lineRule="auto"/>
              <w:rPr>
                <w:sz w:val="24"/>
              </w:rPr>
            </w:pPr>
            <w:r>
              <w:rPr>
                <w:sz w:val="24"/>
                <w:rtl/>
              </w:rPr>
              <w:t xml:space="preserve">סעיף 1 </w:t>
            </w:r>
          </w:p>
        </w:tc>
      </w:tr>
      <w:tr w:rsidR="008E56D0">
        <w:tblPrEx>
          <w:tblCellMar>
            <w:top w:w="0" w:type="dxa"/>
            <w:bottom w:w="0" w:type="dxa"/>
          </w:tblCellMar>
        </w:tblPrEx>
        <w:tc>
          <w:tcPr>
            <w:tcW w:w="850" w:type="dxa"/>
          </w:tcPr>
          <w:p w:rsidR="008E56D0" w:rsidRDefault="008E56D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E56D0" w:rsidRDefault="008E56D0">
            <w:pPr>
              <w:spacing w:line="240" w:lineRule="auto"/>
              <w:rPr>
                <w:sz w:val="24"/>
              </w:rPr>
            </w:pPr>
            <w:hyperlink w:anchor="Seif1" w:tooltip="המצאת אישור" w:history="1">
              <w:r>
                <w:rPr>
                  <w:rStyle w:val="Hyperlink"/>
                </w:rPr>
                <w:t>Go</w:t>
              </w:r>
            </w:hyperlink>
          </w:p>
        </w:tc>
        <w:tc>
          <w:tcPr>
            <w:tcW w:w="5669" w:type="dxa"/>
          </w:tcPr>
          <w:p w:rsidR="008E56D0" w:rsidRDefault="008E56D0">
            <w:pPr>
              <w:spacing w:line="240" w:lineRule="auto"/>
              <w:rPr>
                <w:sz w:val="24"/>
                <w:rtl/>
              </w:rPr>
            </w:pPr>
            <w:r>
              <w:rPr>
                <w:sz w:val="24"/>
                <w:rtl/>
              </w:rPr>
              <w:t>המצאת אישור</w:t>
            </w:r>
          </w:p>
        </w:tc>
        <w:tc>
          <w:tcPr>
            <w:tcW w:w="1247" w:type="dxa"/>
          </w:tcPr>
          <w:p w:rsidR="008E56D0" w:rsidRDefault="008E56D0">
            <w:pPr>
              <w:spacing w:line="240" w:lineRule="auto"/>
              <w:rPr>
                <w:sz w:val="24"/>
              </w:rPr>
            </w:pPr>
            <w:r>
              <w:rPr>
                <w:sz w:val="24"/>
                <w:rtl/>
              </w:rPr>
              <w:t xml:space="preserve">סעיף 2 </w:t>
            </w:r>
          </w:p>
        </w:tc>
      </w:tr>
      <w:tr w:rsidR="008E56D0">
        <w:tblPrEx>
          <w:tblCellMar>
            <w:top w:w="0" w:type="dxa"/>
            <w:bottom w:w="0" w:type="dxa"/>
          </w:tblCellMar>
        </w:tblPrEx>
        <w:tc>
          <w:tcPr>
            <w:tcW w:w="850" w:type="dxa"/>
          </w:tcPr>
          <w:p w:rsidR="008E56D0" w:rsidRDefault="008E56D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E56D0" w:rsidRDefault="008E56D0">
            <w:pPr>
              <w:spacing w:line="240" w:lineRule="auto"/>
              <w:rPr>
                <w:sz w:val="24"/>
              </w:rPr>
            </w:pPr>
            <w:hyperlink w:anchor="Seif2" w:tooltip="השם" w:history="1">
              <w:r>
                <w:rPr>
                  <w:rStyle w:val="Hyperlink"/>
                </w:rPr>
                <w:t>Go</w:t>
              </w:r>
            </w:hyperlink>
          </w:p>
        </w:tc>
        <w:tc>
          <w:tcPr>
            <w:tcW w:w="5669" w:type="dxa"/>
          </w:tcPr>
          <w:p w:rsidR="008E56D0" w:rsidRDefault="008E56D0">
            <w:pPr>
              <w:spacing w:line="240" w:lineRule="auto"/>
              <w:rPr>
                <w:sz w:val="24"/>
                <w:rtl/>
              </w:rPr>
            </w:pPr>
            <w:r>
              <w:rPr>
                <w:sz w:val="24"/>
                <w:rtl/>
              </w:rPr>
              <w:t>השם</w:t>
            </w:r>
          </w:p>
        </w:tc>
        <w:tc>
          <w:tcPr>
            <w:tcW w:w="1247" w:type="dxa"/>
          </w:tcPr>
          <w:p w:rsidR="008E56D0" w:rsidRDefault="008E56D0">
            <w:pPr>
              <w:spacing w:line="240" w:lineRule="auto"/>
              <w:rPr>
                <w:sz w:val="24"/>
              </w:rPr>
            </w:pPr>
            <w:r>
              <w:rPr>
                <w:sz w:val="24"/>
                <w:rtl/>
              </w:rPr>
              <w:t xml:space="preserve">סעיף 3 </w:t>
            </w:r>
          </w:p>
        </w:tc>
      </w:tr>
    </w:tbl>
    <w:p w:rsidR="008E56D0" w:rsidRDefault="008E56D0">
      <w:pPr>
        <w:pStyle w:val="big-header"/>
        <w:ind w:left="0" w:right="1134"/>
        <w:rPr>
          <w:rtl/>
        </w:rPr>
      </w:pPr>
    </w:p>
    <w:p w:rsidR="008E56D0" w:rsidRPr="000027D3" w:rsidRDefault="008E56D0" w:rsidP="000027D3">
      <w:pPr>
        <w:pStyle w:val="big-header"/>
        <w:ind w:left="0" w:right="1134"/>
        <w:rPr>
          <w:rStyle w:val="default"/>
          <w:rFonts w:cs="FrankRuehl" w:hint="cs"/>
          <w:szCs w:val="32"/>
          <w:rtl/>
        </w:rPr>
      </w:pPr>
      <w:r>
        <w:rPr>
          <w:rtl/>
        </w:rPr>
        <w:br w:type="page"/>
      </w:r>
      <w:r>
        <w:rPr>
          <w:rtl/>
        </w:rPr>
        <w:lastRenderedPageBreak/>
        <w:t>ת</w:t>
      </w:r>
      <w:r>
        <w:rPr>
          <w:rFonts w:hint="cs"/>
          <w:rtl/>
        </w:rPr>
        <w:t>קנות הביטוח הלאומי (בדיקות רפואיות), תשכ"ה-1965</w:t>
      </w:r>
      <w:r>
        <w:rPr>
          <w:rStyle w:val="default"/>
          <w:rtl/>
        </w:rPr>
        <w:footnoteReference w:customMarkFollows="1" w:id="1"/>
        <w:t>*</w:t>
      </w:r>
    </w:p>
    <w:p w:rsidR="008E56D0" w:rsidRDefault="008E56D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הסעיפים 63א ו-115 לחוק הביטוח הלאומי, תשי"ד-1953, אני מתקין תקנות אלה: </w:t>
      </w:r>
    </w:p>
    <w:p w:rsidR="008E56D0" w:rsidRDefault="008E56D0">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20pt;z-index:251656704" o:allowincell="f" filled="f" stroked="f" strokecolor="lime" strokeweight=".25pt">
            <v:textbox inset="0,0,0,0">
              <w:txbxContent>
                <w:p w:rsidR="008E56D0" w:rsidRDefault="008E56D0">
                  <w:pPr>
                    <w:spacing w:line="160" w:lineRule="exact"/>
                    <w:jc w:val="left"/>
                    <w:rPr>
                      <w:rFonts w:cs="Miriam"/>
                      <w:noProof/>
                      <w:szCs w:val="18"/>
                      <w:rtl/>
                    </w:rPr>
                  </w:pPr>
                  <w:r>
                    <w:rPr>
                      <w:rFonts w:cs="Miriam"/>
                      <w:szCs w:val="18"/>
                      <w:rtl/>
                    </w:rPr>
                    <w:t>ב</w:t>
                  </w:r>
                  <w:r>
                    <w:rPr>
                      <w:rFonts w:cs="Miriam" w:hint="cs"/>
                      <w:szCs w:val="18"/>
                      <w:rtl/>
                    </w:rPr>
                    <w:t>דיקה רפואית</w:t>
                  </w:r>
                </w:p>
                <w:p w:rsidR="008E56D0" w:rsidRDefault="008E56D0">
                  <w:pPr>
                    <w:spacing w:line="160" w:lineRule="exact"/>
                    <w:jc w:val="left"/>
                    <w:rPr>
                      <w:rFonts w:cs="Miriam"/>
                      <w:noProof/>
                      <w:szCs w:val="18"/>
                      <w:rtl/>
                    </w:rPr>
                  </w:pP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דם התובע גימלה או אדם שמכוחו או בקשר אליו נתבעת או משתלמת גימלה, ואחד מתנאי זכותו מותנה במצב בריאותו, רשאי המוסד להעמידו לבדיקה רפואית על ידי רופא שירות רפואי מוסמך לפי סעיף 19 לחוק, רופא שהוסמך על ידי המוסד או רופא של שירותי הבריאות של המדינה, בתאריכ</w:t>
      </w:r>
      <w:r>
        <w:rPr>
          <w:rStyle w:val="default"/>
          <w:rFonts w:cs="FrankRuehl"/>
          <w:rtl/>
        </w:rPr>
        <w:t>י</w:t>
      </w:r>
      <w:r>
        <w:rPr>
          <w:rStyle w:val="default"/>
          <w:rFonts w:cs="FrankRuehl" w:hint="cs"/>
          <w:rtl/>
        </w:rPr>
        <w:t xml:space="preserve">ם ובמקומות שייקבעו על ידי המוסד או על ידי רופא כאמור. </w:t>
      </w:r>
    </w:p>
    <w:p w:rsidR="008E56D0" w:rsidRDefault="008E56D0">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0pt;z-index:251657728" o:allowincell="f" filled="f" stroked="f" strokecolor="lime" strokeweight=".25pt">
            <v:textbox inset="0,0,0,0">
              <w:txbxContent>
                <w:p w:rsidR="008E56D0" w:rsidRDefault="008E56D0">
                  <w:pPr>
                    <w:spacing w:line="160" w:lineRule="exact"/>
                    <w:jc w:val="left"/>
                    <w:rPr>
                      <w:rFonts w:cs="Miriam"/>
                      <w:noProof/>
                      <w:szCs w:val="18"/>
                      <w:rtl/>
                    </w:rPr>
                  </w:pPr>
                  <w:r>
                    <w:rPr>
                      <w:rFonts w:cs="Miriam"/>
                      <w:szCs w:val="18"/>
                      <w:rtl/>
                    </w:rPr>
                    <w:t>ה</w:t>
                  </w:r>
                  <w:r>
                    <w:rPr>
                      <w:rFonts w:cs="Miriam" w:hint="cs"/>
                      <w:szCs w:val="18"/>
                      <w:rtl/>
                    </w:rPr>
                    <w:t>מצאת אישור</w:t>
                  </w:r>
                </w:p>
                <w:p w:rsidR="008E56D0" w:rsidRDefault="008E56D0">
                  <w:pPr>
                    <w:spacing w:line="160" w:lineRule="exact"/>
                    <w:jc w:val="left"/>
                    <w:rPr>
                      <w:rFonts w:cs="Miriam"/>
                      <w:noProof/>
                      <w:szCs w:val="18"/>
                      <w:rtl/>
                    </w:rPr>
                  </w:pP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 xml:space="preserve">דם שנבדק כאמור בתקנה 1, ימציא למוסד אישור על תוצאות הבדיקה. </w:t>
      </w:r>
    </w:p>
    <w:p w:rsidR="008E56D0" w:rsidRDefault="008E56D0">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0pt;z-index:251658752" o:allowincell="f" filled="f" stroked="f" strokecolor="lime" strokeweight=".25pt">
            <v:textbox inset="0,0,0,0">
              <w:txbxContent>
                <w:p w:rsidR="008E56D0" w:rsidRDefault="008E56D0">
                  <w:pPr>
                    <w:spacing w:line="160" w:lineRule="exact"/>
                    <w:jc w:val="left"/>
                    <w:rPr>
                      <w:rFonts w:cs="Miriam"/>
                      <w:noProof/>
                      <w:szCs w:val="18"/>
                      <w:rtl/>
                    </w:rPr>
                  </w:pPr>
                  <w:r>
                    <w:rPr>
                      <w:rFonts w:cs="Miriam"/>
                      <w:szCs w:val="18"/>
                      <w:rtl/>
                    </w:rPr>
                    <w:t>ה</w:t>
                  </w:r>
                  <w:r>
                    <w:rPr>
                      <w:rFonts w:cs="Miriam" w:hint="cs"/>
                      <w:szCs w:val="18"/>
                      <w:rtl/>
                    </w:rPr>
                    <w:t>שם</w:t>
                  </w:r>
                </w:p>
                <w:p w:rsidR="008E56D0" w:rsidRDefault="008E56D0">
                  <w:pPr>
                    <w:spacing w:line="160" w:lineRule="exact"/>
                    <w:jc w:val="left"/>
                    <w:rPr>
                      <w:rFonts w:cs="Miriam"/>
                      <w:noProof/>
                      <w:szCs w:val="18"/>
                      <w:rtl/>
                    </w:rPr>
                  </w:pPr>
                </w:p>
              </w:txbxContent>
            </v:textbox>
            <w10:anchorlock/>
          </v:rect>
        </w:pict>
      </w:r>
      <w:r>
        <w:rPr>
          <w:rStyle w:val="big-number"/>
          <w:rFonts w:cs="Miriam"/>
          <w:rtl/>
        </w:rPr>
        <w:t>3.</w:t>
      </w:r>
      <w:r>
        <w:rPr>
          <w:rStyle w:val="big-number"/>
          <w:rFonts w:cs="Miriam"/>
          <w:rtl/>
        </w:rPr>
        <w:tab/>
      </w:r>
      <w:r>
        <w:rPr>
          <w:rStyle w:val="default"/>
          <w:rFonts w:cs="FrankRuehl"/>
          <w:rtl/>
        </w:rPr>
        <w:t>ל</w:t>
      </w:r>
      <w:r>
        <w:rPr>
          <w:rStyle w:val="default"/>
          <w:rFonts w:cs="FrankRuehl" w:hint="cs"/>
          <w:rtl/>
        </w:rPr>
        <w:t>תקנות אלה ייקרא "תקנות הביטוח הלאומי (בדיקות רפואיות),  תשכ"ה-1965".</w:t>
      </w:r>
    </w:p>
    <w:p w:rsidR="008E56D0" w:rsidRDefault="008E56D0">
      <w:pPr>
        <w:pStyle w:val="P00"/>
        <w:spacing w:before="72"/>
        <w:ind w:left="0" w:right="1134"/>
        <w:rPr>
          <w:rStyle w:val="default"/>
          <w:rFonts w:cs="FrankRuehl"/>
          <w:rtl/>
        </w:rPr>
      </w:pPr>
    </w:p>
    <w:p w:rsidR="008E56D0" w:rsidRDefault="008E56D0">
      <w:pPr>
        <w:pStyle w:val="sig-1"/>
        <w:widowControl/>
        <w:ind w:left="0" w:right="1134"/>
        <w:rPr>
          <w:sz w:val="26"/>
          <w:szCs w:val="26"/>
          <w:rtl/>
        </w:rPr>
      </w:pPr>
      <w:r>
        <w:rPr>
          <w:sz w:val="26"/>
          <w:szCs w:val="26"/>
          <w:rtl/>
        </w:rPr>
        <w:tab/>
      </w:r>
      <w:r>
        <w:rPr>
          <w:sz w:val="26"/>
          <w:szCs w:val="26"/>
          <w:rtl/>
        </w:rPr>
        <w:tab/>
      </w:r>
      <w:r>
        <w:rPr>
          <w:sz w:val="26"/>
          <w:szCs w:val="26"/>
          <w:rtl/>
        </w:rPr>
        <w:tab/>
      </w:r>
      <w:r>
        <w:rPr>
          <w:rFonts w:hint="cs"/>
          <w:sz w:val="26"/>
          <w:szCs w:val="26"/>
          <w:rtl/>
        </w:rPr>
        <w:t>יגאל אלון</w:t>
      </w:r>
    </w:p>
    <w:p w:rsidR="008E56D0" w:rsidRDefault="008E56D0">
      <w:pPr>
        <w:pStyle w:val="sig-1"/>
        <w:widowControl/>
        <w:ind w:left="0" w:right="1134"/>
        <w:rPr>
          <w:rFonts w:hint="cs"/>
          <w:rtl/>
        </w:rPr>
      </w:pPr>
      <w:r>
        <w:rPr>
          <w:rtl/>
        </w:rPr>
        <w:tab/>
      </w:r>
      <w:r>
        <w:rPr>
          <w:rtl/>
        </w:rPr>
        <w:tab/>
      </w:r>
      <w:r>
        <w:rPr>
          <w:rtl/>
        </w:rPr>
        <w:tab/>
      </w:r>
      <w:r>
        <w:rPr>
          <w:rFonts w:hint="cs"/>
          <w:rtl/>
        </w:rPr>
        <w:t>שר העבודה</w:t>
      </w:r>
    </w:p>
    <w:p w:rsidR="008E56D0" w:rsidRDefault="008E56D0">
      <w:pPr>
        <w:pStyle w:val="P00"/>
        <w:spacing w:before="72"/>
        <w:ind w:left="0" w:right="1134"/>
        <w:rPr>
          <w:rStyle w:val="default"/>
          <w:rFonts w:cs="FrankRuehl" w:hint="cs"/>
          <w:rtl/>
        </w:rPr>
      </w:pPr>
    </w:p>
    <w:p w:rsidR="008E56D0" w:rsidRDefault="008E56D0">
      <w:pPr>
        <w:pStyle w:val="P00"/>
        <w:spacing w:before="72"/>
        <w:ind w:left="0" w:right="1134"/>
        <w:rPr>
          <w:rStyle w:val="default"/>
          <w:rFonts w:cs="FrankRuehl"/>
          <w:rtl/>
        </w:rPr>
      </w:pPr>
    </w:p>
    <w:p w:rsidR="008E56D0" w:rsidRDefault="008E56D0">
      <w:pPr>
        <w:pStyle w:val="P00"/>
        <w:spacing w:before="72"/>
        <w:ind w:left="0" w:right="1134"/>
        <w:rPr>
          <w:rStyle w:val="default"/>
          <w:rFonts w:cs="FrankRuehl"/>
          <w:rtl/>
        </w:rPr>
      </w:pPr>
      <w:bookmarkStart w:id="3" w:name="LawPartEnd"/>
    </w:p>
    <w:bookmarkEnd w:id="3"/>
    <w:p w:rsidR="008E56D0" w:rsidRDefault="008E56D0">
      <w:pPr>
        <w:pStyle w:val="P00"/>
        <w:spacing w:before="72"/>
        <w:ind w:left="0" w:right="1134"/>
        <w:rPr>
          <w:rStyle w:val="default"/>
          <w:rFonts w:cs="FrankRuehl"/>
          <w:rtl/>
        </w:rPr>
      </w:pPr>
    </w:p>
    <w:sectPr w:rsidR="008E56D0">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2689" w:rsidRDefault="00972689">
      <w:r>
        <w:separator/>
      </w:r>
    </w:p>
  </w:endnote>
  <w:endnote w:type="continuationSeparator" w:id="0">
    <w:p w:rsidR="00972689" w:rsidRDefault="00972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56D0" w:rsidRDefault="008E56D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E56D0" w:rsidRDefault="008E56D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E56D0" w:rsidRDefault="008E56D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56D0" w:rsidRDefault="008E56D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E28A9">
      <w:rPr>
        <w:rFonts w:hAnsi="FrankRuehl" w:cs="FrankRuehl"/>
        <w:noProof/>
        <w:sz w:val="24"/>
        <w:szCs w:val="24"/>
        <w:rtl/>
      </w:rPr>
      <w:t>2</w:t>
    </w:r>
    <w:r>
      <w:rPr>
        <w:rFonts w:hAnsi="FrankRuehl" w:cs="FrankRuehl"/>
        <w:sz w:val="24"/>
        <w:szCs w:val="24"/>
        <w:rtl/>
      </w:rPr>
      <w:fldChar w:fldCharType="end"/>
    </w:r>
  </w:p>
  <w:p w:rsidR="008E56D0" w:rsidRDefault="008E56D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E56D0" w:rsidRDefault="008E56D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2689" w:rsidRDefault="00972689">
      <w:pPr>
        <w:spacing w:before="60" w:line="240" w:lineRule="auto"/>
        <w:ind w:right="1134"/>
      </w:pPr>
      <w:r>
        <w:separator/>
      </w:r>
    </w:p>
  </w:footnote>
  <w:footnote w:type="continuationSeparator" w:id="0">
    <w:p w:rsidR="00972689" w:rsidRDefault="00972689">
      <w:r>
        <w:continuationSeparator/>
      </w:r>
    </w:p>
  </w:footnote>
  <w:footnote w:id="1">
    <w:p w:rsidR="008E56D0" w:rsidRDefault="008E56D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תשכ"ה מס' 1774</w:t>
        </w:r>
      </w:hyperlink>
      <w:r>
        <w:rPr>
          <w:rFonts w:hint="cs"/>
          <w:sz w:val="20"/>
          <w:rtl/>
        </w:rPr>
        <w:t xml:space="preserve"> מיום 16.9.1965 עמ' 2742.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56D0" w:rsidRDefault="008E56D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(בדיקות רפואיות), תשכ"ה- 1965</w:t>
    </w:r>
  </w:p>
  <w:p w:rsidR="008E56D0" w:rsidRDefault="008E56D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E56D0" w:rsidRDefault="008E56D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56D0" w:rsidRDefault="008E56D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(בדיקות רפואיות), תשכ"ה-1965</w:t>
    </w:r>
  </w:p>
  <w:p w:rsidR="008E56D0" w:rsidRDefault="008E56D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E56D0" w:rsidRDefault="008E56D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27D3"/>
    <w:rsid w:val="000027D3"/>
    <w:rsid w:val="00073561"/>
    <w:rsid w:val="00116080"/>
    <w:rsid w:val="006E28A9"/>
    <w:rsid w:val="008E56D0"/>
    <w:rsid w:val="00972689"/>
    <w:rsid w:val="00B31508"/>
    <w:rsid w:val="00B82613"/>
    <w:rsid w:val="00D349D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69A40AE4-84E0-4506-9A32-CB7F8217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7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966</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8323083</vt:i4>
      </vt:variant>
      <vt:variant>
        <vt:i4>0</vt:i4>
      </vt:variant>
      <vt:variant>
        <vt:i4>0</vt:i4>
      </vt:variant>
      <vt:variant>
        <vt:i4>5</vt:i4>
      </vt:variant>
      <vt:variant>
        <vt:lpwstr>http://www.nevo.co.il/Law_word/law06/TAK-1774.pdf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(בדיקות רפואיות), תשכ"ה-1965</vt:lpwstr>
  </property>
  <property fmtid="{D5CDD505-2E9C-101B-9397-08002B2CF9AE}" pid="5" name="LAWNUMBER">
    <vt:lpwstr>0069</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תגמולים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vt:lpwstr>
  </property>
  <property fmtid="{D5CDD505-2E9C-101B-9397-08002B2CF9AE}" pid="48" name="MEKOR_SAIF1">
    <vt:lpwstr>63אX;115X</vt:lpwstr>
  </property>
</Properties>
</file>