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8CA05" w14:textId="77777777" w:rsidR="00D25D5C" w:rsidRDefault="007C57AA" w:rsidP="00642120">
      <w:pPr>
        <w:pStyle w:val="big-header"/>
        <w:ind w:left="0" w:right="1134"/>
        <w:rPr>
          <w:rFonts w:cs="FrankRuehl" w:hint="cs"/>
          <w:sz w:val="32"/>
          <w:rtl/>
        </w:rPr>
      </w:pPr>
      <w:r>
        <w:rPr>
          <w:rFonts w:cs="FrankRuehl" w:hint="cs"/>
          <w:sz w:val="32"/>
          <w:rtl/>
        </w:rPr>
        <w:t>תקנות הביטוח הלאומי (ביטוח סיעוד) (ועדות עררים)</w:t>
      </w:r>
      <w:r w:rsidR="008C2526">
        <w:rPr>
          <w:rFonts w:cs="FrankRuehl" w:hint="cs"/>
          <w:sz w:val="32"/>
          <w:rtl/>
        </w:rPr>
        <w:t>, תשס"ט-2009</w:t>
      </w:r>
    </w:p>
    <w:p w14:paraId="1F9ACFC0" w14:textId="77777777" w:rsidR="009D5001" w:rsidRPr="009D5001" w:rsidRDefault="009D5001" w:rsidP="009D5001">
      <w:pPr>
        <w:spacing w:line="320" w:lineRule="auto"/>
        <w:jc w:val="left"/>
        <w:rPr>
          <w:rFonts w:cs="FrankRuehl"/>
          <w:szCs w:val="26"/>
          <w:rtl/>
        </w:rPr>
      </w:pPr>
    </w:p>
    <w:p w14:paraId="1120B97E" w14:textId="77777777" w:rsidR="009D5001" w:rsidRDefault="009D5001" w:rsidP="009D5001">
      <w:pPr>
        <w:spacing w:line="320" w:lineRule="auto"/>
        <w:jc w:val="left"/>
        <w:rPr>
          <w:rtl/>
        </w:rPr>
      </w:pPr>
    </w:p>
    <w:p w14:paraId="2F78C7DA" w14:textId="77777777" w:rsidR="009D5001" w:rsidRPr="009D5001" w:rsidRDefault="009D5001" w:rsidP="009D5001">
      <w:pPr>
        <w:spacing w:line="320" w:lineRule="auto"/>
        <w:jc w:val="left"/>
        <w:rPr>
          <w:rFonts w:cs="Miriam" w:hint="cs"/>
          <w:szCs w:val="22"/>
          <w:rtl/>
        </w:rPr>
      </w:pPr>
      <w:r w:rsidRPr="009D5001">
        <w:rPr>
          <w:rFonts w:cs="Miriam"/>
          <w:szCs w:val="22"/>
          <w:rtl/>
        </w:rPr>
        <w:t>ביטוח</w:t>
      </w:r>
      <w:r w:rsidRPr="009D5001">
        <w:rPr>
          <w:rFonts w:cs="FrankRuehl"/>
          <w:szCs w:val="26"/>
          <w:rtl/>
        </w:rPr>
        <w:t xml:space="preserve"> – ביטוח לאומי – ביטוח סיעוד</w:t>
      </w:r>
    </w:p>
    <w:p w14:paraId="4797CF0F"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C222B" w:rsidRPr="004C222B" w14:paraId="239AC38E" w14:textId="77777777">
        <w:tblPrEx>
          <w:tblCellMar>
            <w:top w:w="0" w:type="dxa"/>
            <w:bottom w:w="0" w:type="dxa"/>
          </w:tblCellMar>
        </w:tblPrEx>
        <w:tc>
          <w:tcPr>
            <w:tcW w:w="1247" w:type="dxa"/>
          </w:tcPr>
          <w:p w14:paraId="25EF5CA0" w14:textId="77777777" w:rsidR="004C222B" w:rsidRPr="004C222B" w:rsidRDefault="004C222B" w:rsidP="004C222B">
            <w:pPr>
              <w:spacing w:line="240" w:lineRule="auto"/>
              <w:jc w:val="left"/>
              <w:rPr>
                <w:rFonts w:cs="Frankruhel"/>
                <w:sz w:val="24"/>
                <w:rtl/>
              </w:rPr>
            </w:pPr>
          </w:p>
        </w:tc>
        <w:tc>
          <w:tcPr>
            <w:tcW w:w="5669" w:type="dxa"/>
          </w:tcPr>
          <w:p w14:paraId="6AC1285C" w14:textId="77777777" w:rsidR="004C222B" w:rsidRPr="004C222B" w:rsidRDefault="004C222B" w:rsidP="004C222B">
            <w:pPr>
              <w:spacing w:line="240" w:lineRule="auto"/>
              <w:jc w:val="left"/>
              <w:rPr>
                <w:rFonts w:cs="Frankruhel"/>
                <w:sz w:val="24"/>
                <w:rtl/>
              </w:rPr>
            </w:pPr>
            <w:r>
              <w:rPr>
                <w:rFonts w:cs="Times New Roman"/>
                <w:sz w:val="24"/>
                <w:rtl/>
              </w:rPr>
              <w:t>פרק ראשון: ועדת עררים לסיעוד, סמכויות והרכב</w:t>
            </w:r>
          </w:p>
        </w:tc>
        <w:tc>
          <w:tcPr>
            <w:tcW w:w="567" w:type="dxa"/>
          </w:tcPr>
          <w:p w14:paraId="0F364125" w14:textId="77777777" w:rsidR="004C222B" w:rsidRPr="004C222B" w:rsidRDefault="004C222B" w:rsidP="004C222B">
            <w:pPr>
              <w:spacing w:line="240" w:lineRule="auto"/>
              <w:jc w:val="left"/>
              <w:rPr>
                <w:rStyle w:val="Hyperlink"/>
                <w:rtl/>
              </w:rPr>
            </w:pPr>
            <w:hyperlink w:anchor="med0" w:tooltip="פרק ראשון: ועדת עררים לסיעוד, סמכויות והרכב" w:history="1">
              <w:r w:rsidRPr="004C222B">
                <w:rPr>
                  <w:rStyle w:val="Hyperlink"/>
                </w:rPr>
                <w:t>Go</w:t>
              </w:r>
            </w:hyperlink>
          </w:p>
        </w:tc>
        <w:tc>
          <w:tcPr>
            <w:tcW w:w="850" w:type="dxa"/>
          </w:tcPr>
          <w:p w14:paraId="2F6DD540" w14:textId="77777777" w:rsidR="004C222B" w:rsidRPr="004C222B" w:rsidRDefault="004C222B" w:rsidP="004C22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C222B" w:rsidRPr="004C222B" w14:paraId="4E8F1CBF" w14:textId="77777777">
        <w:tblPrEx>
          <w:tblCellMar>
            <w:top w:w="0" w:type="dxa"/>
            <w:bottom w:w="0" w:type="dxa"/>
          </w:tblCellMar>
        </w:tblPrEx>
        <w:tc>
          <w:tcPr>
            <w:tcW w:w="1247" w:type="dxa"/>
          </w:tcPr>
          <w:p w14:paraId="034CE71F" w14:textId="77777777" w:rsidR="004C222B" w:rsidRPr="004C222B" w:rsidRDefault="004C222B" w:rsidP="004C222B">
            <w:pPr>
              <w:spacing w:line="240" w:lineRule="auto"/>
              <w:jc w:val="left"/>
              <w:rPr>
                <w:rFonts w:cs="Frankruhel"/>
                <w:sz w:val="24"/>
                <w:rtl/>
              </w:rPr>
            </w:pPr>
            <w:r>
              <w:rPr>
                <w:rFonts w:cs="Times New Roman"/>
                <w:sz w:val="24"/>
                <w:rtl/>
              </w:rPr>
              <w:t xml:space="preserve">סעיף 1 </w:t>
            </w:r>
          </w:p>
        </w:tc>
        <w:tc>
          <w:tcPr>
            <w:tcW w:w="5669" w:type="dxa"/>
          </w:tcPr>
          <w:p w14:paraId="384B3D25" w14:textId="77777777" w:rsidR="004C222B" w:rsidRPr="004C222B" w:rsidRDefault="004C222B" w:rsidP="004C222B">
            <w:pPr>
              <w:spacing w:line="240" w:lineRule="auto"/>
              <w:jc w:val="left"/>
              <w:rPr>
                <w:rFonts w:cs="Frankruhel"/>
                <w:sz w:val="24"/>
                <w:rtl/>
              </w:rPr>
            </w:pPr>
            <w:r>
              <w:rPr>
                <w:rFonts w:cs="Times New Roman"/>
                <w:sz w:val="24"/>
                <w:rtl/>
              </w:rPr>
              <w:t>הגדרות</w:t>
            </w:r>
          </w:p>
        </w:tc>
        <w:tc>
          <w:tcPr>
            <w:tcW w:w="567" w:type="dxa"/>
          </w:tcPr>
          <w:p w14:paraId="397586B7" w14:textId="77777777" w:rsidR="004C222B" w:rsidRPr="004C222B" w:rsidRDefault="004C222B" w:rsidP="004C222B">
            <w:pPr>
              <w:spacing w:line="240" w:lineRule="auto"/>
              <w:jc w:val="left"/>
              <w:rPr>
                <w:rStyle w:val="Hyperlink"/>
                <w:rtl/>
              </w:rPr>
            </w:pPr>
            <w:hyperlink w:anchor="Seif1" w:tooltip="הגדרות" w:history="1">
              <w:r w:rsidRPr="004C222B">
                <w:rPr>
                  <w:rStyle w:val="Hyperlink"/>
                </w:rPr>
                <w:t>Go</w:t>
              </w:r>
            </w:hyperlink>
          </w:p>
        </w:tc>
        <w:tc>
          <w:tcPr>
            <w:tcW w:w="850" w:type="dxa"/>
          </w:tcPr>
          <w:p w14:paraId="6CBDF5E4" w14:textId="77777777" w:rsidR="004C222B" w:rsidRPr="004C222B" w:rsidRDefault="004C222B" w:rsidP="004C22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C222B" w:rsidRPr="004C222B" w14:paraId="06D11EDF" w14:textId="77777777">
        <w:tblPrEx>
          <w:tblCellMar>
            <w:top w:w="0" w:type="dxa"/>
            <w:bottom w:w="0" w:type="dxa"/>
          </w:tblCellMar>
        </w:tblPrEx>
        <w:tc>
          <w:tcPr>
            <w:tcW w:w="1247" w:type="dxa"/>
          </w:tcPr>
          <w:p w14:paraId="634E9B09" w14:textId="77777777" w:rsidR="004C222B" w:rsidRPr="004C222B" w:rsidRDefault="004C222B" w:rsidP="004C222B">
            <w:pPr>
              <w:spacing w:line="240" w:lineRule="auto"/>
              <w:jc w:val="left"/>
              <w:rPr>
                <w:rFonts w:cs="Frankruhel"/>
                <w:sz w:val="24"/>
                <w:rtl/>
              </w:rPr>
            </w:pPr>
            <w:r>
              <w:rPr>
                <w:rFonts w:cs="Times New Roman"/>
                <w:sz w:val="24"/>
                <w:rtl/>
              </w:rPr>
              <w:t xml:space="preserve">סעיף 2 </w:t>
            </w:r>
          </w:p>
        </w:tc>
        <w:tc>
          <w:tcPr>
            <w:tcW w:w="5669" w:type="dxa"/>
          </w:tcPr>
          <w:p w14:paraId="599E8554" w14:textId="77777777" w:rsidR="004C222B" w:rsidRPr="004C222B" w:rsidRDefault="004C222B" w:rsidP="004C222B">
            <w:pPr>
              <w:spacing w:line="240" w:lineRule="auto"/>
              <w:jc w:val="left"/>
              <w:rPr>
                <w:rFonts w:cs="Frankruhel"/>
                <w:sz w:val="24"/>
                <w:rtl/>
              </w:rPr>
            </w:pPr>
            <w:r>
              <w:rPr>
                <w:rFonts w:cs="Times New Roman"/>
                <w:sz w:val="24"/>
                <w:rtl/>
              </w:rPr>
              <w:t>הרכב ועדת עררים לזכאות לגימלת סיעוד</w:t>
            </w:r>
          </w:p>
        </w:tc>
        <w:tc>
          <w:tcPr>
            <w:tcW w:w="567" w:type="dxa"/>
          </w:tcPr>
          <w:p w14:paraId="316DD849" w14:textId="77777777" w:rsidR="004C222B" w:rsidRPr="004C222B" w:rsidRDefault="004C222B" w:rsidP="004C222B">
            <w:pPr>
              <w:spacing w:line="240" w:lineRule="auto"/>
              <w:jc w:val="left"/>
              <w:rPr>
                <w:rStyle w:val="Hyperlink"/>
                <w:rtl/>
              </w:rPr>
            </w:pPr>
            <w:hyperlink w:anchor="Seif2" w:tooltip="הרכב ועדת עררים לזכאות לגימלת סיעוד" w:history="1">
              <w:r w:rsidRPr="004C222B">
                <w:rPr>
                  <w:rStyle w:val="Hyperlink"/>
                </w:rPr>
                <w:t>Go</w:t>
              </w:r>
            </w:hyperlink>
          </w:p>
        </w:tc>
        <w:tc>
          <w:tcPr>
            <w:tcW w:w="850" w:type="dxa"/>
          </w:tcPr>
          <w:p w14:paraId="5E0F2A28" w14:textId="77777777" w:rsidR="004C222B" w:rsidRPr="004C222B" w:rsidRDefault="004C222B" w:rsidP="004C22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C222B" w:rsidRPr="004C222B" w14:paraId="3FD8D157" w14:textId="77777777">
        <w:tblPrEx>
          <w:tblCellMar>
            <w:top w:w="0" w:type="dxa"/>
            <w:bottom w:w="0" w:type="dxa"/>
          </w:tblCellMar>
        </w:tblPrEx>
        <w:tc>
          <w:tcPr>
            <w:tcW w:w="1247" w:type="dxa"/>
          </w:tcPr>
          <w:p w14:paraId="1F99F86D" w14:textId="77777777" w:rsidR="004C222B" w:rsidRPr="004C222B" w:rsidRDefault="004C222B" w:rsidP="004C222B">
            <w:pPr>
              <w:spacing w:line="240" w:lineRule="auto"/>
              <w:jc w:val="left"/>
              <w:rPr>
                <w:rFonts w:cs="Frankruhel"/>
                <w:sz w:val="24"/>
                <w:rtl/>
              </w:rPr>
            </w:pPr>
            <w:r>
              <w:rPr>
                <w:rFonts w:cs="Times New Roman"/>
                <w:sz w:val="24"/>
                <w:rtl/>
              </w:rPr>
              <w:t xml:space="preserve">סעיף 3 </w:t>
            </w:r>
          </w:p>
        </w:tc>
        <w:tc>
          <w:tcPr>
            <w:tcW w:w="5669" w:type="dxa"/>
          </w:tcPr>
          <w:p w14:paraId="70DC35E7" w14:textId="77777777" w:rsidR="004C222B" w:rsidRPr="004C222B" w:rsidRDefault="004C222B" w:rsidP="004C222B">
            <w:pPr>
              <w:spacing w:line="240" w:lineRule="auto"/>
              <w:jc w:val="left"/>
              <w:rPr>
                <w:rFonts w:cs="Frankruhel"/>
                <w:sz w:val="24"/>
                <w:rtl/>
              </w:rPr>
            </w:pPr>
            <w:r>
              <w:rPr>
                <w:rFonts w:cs="Times New Roman"/>
                <w:sz w:val="24"/>
                <w:rtl/>
              </w:rPr>
              <w:t>סמכויות ועדת עררים לסיעוד</w:t>
            </w:r>
          </w:p>
        </w:tc>
        <w:tc>
          <w:tcPr>
            <w:tcW w:w="567" w:type="dxa"/>
          </w:tcPr>
          <w:p w14:paraId="4B0CC39F" w14:textId="77777777" w:rsidR="004C222B" w:rsidRPr="004C222B" w:rsidRDefault="004C222B" w:rsidP="004C222B">
            <w:pPr>
              <w:spacing w:line="240" w:lineRule="auto"/>
              <w:jc w:val="left"/>
              <w:rPr>
                <w:rStyle w:val="Hyperlink"/>
                <w:rtl/>
              </w:rPr>
            </w:pPr>
            <w:hyperlink w:anchor="Seif3" w:tooltip="סמכויות ועדת עררים לסיעוד" w:history="1">
              <w:r w:rsidRPr="004C222B">
                <w:rPr>
                  <w:rStyle w:val="Hyperlink"/>
                </w:rPr>
                <w:t>Go</w:t>
              </w:r>
            </w:hyperlink>
          </w:p>
        </w:tc>
        <w:tc>
          <w:tcPr>
            <w:tcW w:w="850" w:type="dxa"/>
          </w:tcPr>
          <w:p w14:paraId="43B98965" w14:textId="77777777" w:rsidR="004C222B" w:rsidRPr="004C222B" w:rsidRDefault="004C222B" w:rsidP="004C22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C222B" w:rsidRPr="004C222B" w14:paraId="65E3050A" w14:textId="77777777">
        <w:tblPrEx>
          <w:tblCellMar>
            <w:top w:w="0" w:type="dxa"/>
            <w:bottom w:w="0" w:type="dxa"/>
          </w:tblCellMar>
        </w:tblPrEx>
        <w:tc>
          <w:tcPr>
            <w:tcW w:w="1247" w:type="dxa"/>
          </w:tcPr>
          <w:p w14:paraId="7BE3D4C9" w14:textId="77777777" w:rsidR="004C222B" w:rsidRPr="004C222B" w:rsidRDefault="004C222B" w:rsidP="004C222B">
            <w:pPr>
              <w:spacing w:line="240" w:lineRule="auto"/>
              <w:jc w:val="left"/>
              <w:rPr>
                <w:rFonts w:cs="Frankruhel"/>
                <w:sz w:val="24"/>
                <w:rtl/>
              </w:rPr>
            </w:pPr>
            <w:r>
              <w:rPr>
                <w:rFonts w:cs="Times New Roman"/>
                <w:sz w:val="24"/>
                <w:rtl/>
              </w:rPr>
              <w:t xml:space="preserve">סעיף 4 </w:t>
            </w:r>
          </w:p>
        </w:tc>
        <w:tc>
          <w:tcPr>
            <w:tcW w:w="5669" w:type="dxa"/>
          </w:tcPr>
          <w:p w14:paraId="6E672F95" w14:textId="77777777" w:rsidR="004C222B" w:rsidRPr="004C222B" w:rsidRDefault="004C222B" w:rsidP="004C222B">
            <w:pPr>
              <w:spacing w:line="240" w:lineRule="auto"/>
              <w:jc w:val="left"/>
              <w:rPr>
                <w:rFonts w:cs="Frankruhel"/>
                <w:sz w:val="24"/>
                <w:rtl/>
              </w:rPr>
            </w:pPr>
            <w:r>
              <w:rPr>
                <w:rFonts w:cs="Times New Roman"/>
                <w:sz w:val="24"/>
                <w:rtl/>
              </w:rPr>
              <w:t>מועד ואופן הגשת ערר</w:t>
            </w:r>
          </w:p>
        </w:tc>
        <w:tc>
          <w:tcPr>
            <w:tcW w:w="567" w:type="dxa"/>
          </w:tcPr>
          <w:p w14:paraId="07995E0B" w14:textId="77777777" w:rsidR="004C222B" w:rsidRPr="004C222B" w:rsidRDefault="004C222B" w:rsidP="004C222B">
            <w:pPr>
              <w:spacing w:line="240" w:lineRule="auto"/>
              <w:jc w:val="left"/>
              <w:rPr>
                <w:rStyle w:val="Hyperlink"/>
                <w:rtl/>
              </w:rPr>
            </w:pPr>
            <w:hyperlink w:anchor="Seif4" w:tooltip="מועד ואופן הגשת ערר" w:history="1">
              <w:r w:rsidRPr="004C222B">
                <w:rPr>
                  <w:rStyle w:val="Hyperlink"/>
                </w:rPr>
                <w:t>Go</w:t>
              </w:r>
            </w:hyperlink>
          </w:p>
        </w:tc>
        <w:tc>
          <w:tcPr>
            <w:tcW w:w="850" w:type="dxa"/>
          </w:tcPr>
          <w:p w14:paraId="21B989AA" w14:textId="77777777" w:rsidR="004C222B" w:rsidRPr="004C222B" w:rsidRDefault="004C222B" w:rsidP="004C22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C222B" w:rsidRPr="004C222B" w14:paraId="3765E012" w14:textId="77777777">
        <w:tblPrEx>
          <w:tblCellMar>
            <w:top w:w="0" w:type="dxa"/>
            <w:bottom w:w="0" w:type="dxa"/>
          </w:tblCellMar>
        </w:tblPrEx>
        <w:tc>
          <w:tcPr>
            <w:tcW w:w="1247" w:type="dxa"/>
          </w:tcPr>
          <w:p w14:paraId="51453902" w14:textId="77777777" w:rsidR="004C222B" w:rsidRPr="004C222B" w:rsidRDefault="004C222B" w:rsidP="004C222B">
            <w:pPr>
              <w:spacing w:line="240" w:lineRule="auto"/>
              <w:jc w:val="left"/>
              <w:rPr>
                <w:rFonts w:cs="Frankruhel"/>
                <w:sz w:val="24"/>
                <w:rtl/>
              </w:rPr>
            </w:pPr>
            <w:r>
              <w:rPr>
                <w:rFonts w:cs="Times New Roman"/>
                <w:sz w:val="24"/>
                <w:rtl/>
              </w:rPr>
              <w:t xml:space="preserve">סעיף 5 </w:t>
            </w:r>
          </w:p>
        </w:tc>
        <w:tc>
          <w:tcPr>
            <w:tcW w:w="5669" w:type="dxa"/>
          </w:tcPr>
          <w:p w14:paraId="67A8DC8A" w14:textId="77777777" w:rsidR="004C222B" w:rsidRPr="004C222B" w:rsidRDefault="004C222B" w:rsidP="004C222B">
            <w:pPr>
              <w:spacing w:line="240" w:lineRule="auto"/>
              <w:jc w:val="left"/>
              <w:rPr>
                <w:rFonts w:cs="Frankruhel"/>
                <w:sz w:val="24"/>
                <w:rtl/>
              </w:rPr>
            </w:pPr>
            <w:r>
              <w:rPr>
                <w:rFonts w:cs="Times New Roman"/>
                <w:sz w:val="24"/>
                <w:rtl/>
              </w:rPr>
              <w:t>הזמנה לוועדה</w:t>
            </w:r>
          </w:p>
        </w:tc>
        <w:tc>
          <w:tcPr>
            <w:tcW w:w="567" w:type="dxa"/>
          </w:tcPr>
          <w:p w14:paraId="542179AA" w14:textId="77777777" w:rsidR="004C222B" w:rsidRPr="004C222B" w:rsidRDefault="004C222B" w:rsidP="004C222B">
            <w:pPr>
              <w:spacing w:line="240" w:lineRule="auto"/>
              <w:jc w:val="left"/>
              <w:rPr>
                <w:rStyle w:val="Hyperlink"/>
                <w:rtl/>
              </w:rPr>
            </w:pPr>
            <w:hyperlink w:anchor="Seif5" w:tooltip="הזמנה לוועדה" w:history="1">
              <w:r w:rsidRPr="004C222B">
                <w:rPr>
                  <w:rStyle w:val="Hyperlink"/>
                </w:rPr>
                <w:t>Go</w:t>
              </w:r>
            </w:hyperlink>
          </w:p>
        </w:tc>
        <w:tc>
          <w:tcPr>
            <w:tcW w:w="850" w:type="dxa"/>
          </w:tcPr>
          <w:p w14:paraId="23455F4D" w14:textId="77777777" w:rsidR="004C222B" w:rsidRPr="004C222B" w:rsidRDefault="004C222B" w:rsidP="004C22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C222B" w:rsidRPr="004C222B" w14:paraId="399FDDFD" w14:textId="77777777">
        <w:tblPrEx>
          <w:tblCellMar>
            <w:top w:w="0" w:type="dxa"/>
            <w:bottom w:w="0" w:type="dxa"/>
          </w:tblCellMar>
        </w:tblPrEx>
        <w:tc>
          <w:tcPr>
            <w:tcW w:w="1247" w:type="dxa"/>
          </w:tcPr>
          <w:p w14:paraId="5A51D6DF" w14:textId="77777777" w:rsidR="004C222B" w:rsidRPr="004C222B" w:rsidRDefault="004C222B" w:rsidP="004C222B">
            <w:pPr>
              <w:spacing w:line="240" w:lineRule="auto"/>
              <w:jc w:val="left"/>
              <w:rPr>
                <w:rFonts w:cs="Frankruhel"/>
                <w:sz w:val="24"/>
                <w:rtl/>
              </w:rPr>
            </w:pPr>
            <w:r>
              <w:rPr>
                <w:rFonts w:cs="Times New Roman"/>
                <w:sz w:val="24"/>
                <w:rtl/>
              </w:rPr>
              <w:t xml:space="preserve">סעיף 6 </w:t>
            </w:r>
          </w:p>
        </w:tc>
        <w:tc>
          <w:tcPr>
            <w:tcW w:w="5669" w:type="dxa"/>
          </w:tcPr>
          <w:p w14:paraId="10AD1C08" w14:textId="77777777" w:rsidR="004C222B" w:rsidRPr="004C222B" w:rsidRDefault="004C222B" w:rsidP="004C222B">
            <w:pPr>
              <w:spacing w:line="240" w:lineRule="auto"/>
              <w:jc w:val="left"/>
              <w:rPr>
                <w:rFonts w:cs="Frankruhel"/>
                <w:sz w:val="24"/>
                <w:rtl/>
              </w:rPr>
            </w:pPr>
            <w:r>
              <w:rPr>
                <w:rFonts w:cs="Times New Roman"/>
                <w:sz w:val="24"/>
                <w:rtl/>
              </w:rPr>
              <w:t>נוכחות זרים וייצוג</w:t>
            </w:r>
          </w:p>
        </w:tc>
        <w:tc>
          <w:tcPr>
            <w:tcW w:w="567" w:type="dxa"/>
          </w:tcPr>
          <w:p w14:paraId="5C190B6A" w14:textId="77777777" w:rsidR="004C222B" w:rsidRPr="004C222B" w:rsidRDefault="004C222B" w:rsidP="004C222B">
            <w:pPr>
              <w:spacing w:line="240" w:lineRule="auto"/>
              <w:jc w:val="left"/>
              <w:rPr>
                <w:rStyle w:val="Hyperlink"/>
                <w:rtl/>
              </w:rPr>
            </w:pPr>
            <w:hyperlink w:anchor="Seif6" w:tooltip="נוכחות זרים וייצוג" w:history="1">
              <w:r w:rsidRPr="004C222B">
                <w:rPr>
                  <w:rStyle w:val="Hyperlink"/>
                </w:rPr>
                <w:t>Go</w:t>
              </w:r>
            </w:hyperlink>
          </w:p>
        </w:tc>
        <w:tc>
          <w:tcPr>
            <w:tcW w:w="850" w:type="dxa"/>
          </w:tcPr>
          <w:p w14:paraId="47D7B74D" w14:textId="77777777" w:rsidR="004C222B" w:rsidRPr="004C222B" w:rsidRDefault="004C222B" w:rsidP="004C22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C222B" w:rsidRPr="004C222B" w14:paraId="42F91B99" w14:textId="77777777">
        <w:tblPrEx>
          <w:tblCellMar>
            <w:top w:w="0" w:type="dxa"/>
            <w:bottom w:w="0" w:type="dxa"/>
          </w:tblCellMar>
        </w:tblPrEx>
        <w:tc>
          <w:tcPr>
            <w:tcW w:w="1247" w:type="dxa"/>
          </w:tcPr>
          <w:p w14:paraId="451404A8" w14:textId="77777777" w:rsidR="004C222B" w:rsidRPr="004C222B" w:rsidRDefault="004C222B" w:rsidP="004C222B">
            <w:pPr>
              <w:spacing w:line="240" w:lineRule="auto"/>
              <w:jc w:val="left"/>
              <w:rPr>
                <w:rFonts w:cs="Frankruhel"/>
                <w:sz w:val="24"/>
                <w:rtl/>
              </w:rPr>
            </w:pPr>
            <w:r>
              <w:rPr>
                <w:rFonts w:cs="Times New Roman"/>
                <w:sz w:val="24"/>
                <w:rtl/>
              </w:rPr>
              <w:t xml:space="preserve">סעיף 7 </w:t>
            </w:r>
          </w:p>
        </w:tc>
        <w:tc>
          <w:tcPr>
            <w:tcW w:w="5669" w:type="dxa"/>
          </w:tcPr>
          <w:p w14:paraId="2C038164" w14:textId="77777777" w:rsidR="004C222B" w:rsidRPr="004C222B" w:rsidRDefault="004C222B" w:rsidP="004C222B">
            <w:pPr>
              <w:spacing w:line="240" w:lineRule="auto"/>
              <w:jc w:val="left"/>
              <w:rPr>
                <w:rFonts w:cs="Frankruhel"/>
                <w:sz w:val="24"/>
                <w:rtl/>
              </w:rPr>
            </w:pPr>
            <w:r>
              <w:rPr>
                <w:rFonts w:cs="Times New Roman"/>
                <w:sz w:val="24"/>
                <w:rtl/>
              </w:rPr>
              <w:t>חוות דעת מיועץ</w:t>
            </w:r>
          </w:p>
        </w:tc>
        <w:tc>
          <w:tcPr>
            <w:tcW w:w="567" w:type="dxa"/>
          </w:tcPr>
          <w:p w14:paraId="1D87A36F" w14:textId="77777777" w:rsidR="004C222B" w:rsidRPr="004C222B" w:rsidRDefault="004C222B" w:rsidP="004C222B">
            <w:pPr>
              <w:spacing w:line="240" w:lineRule="auto"/>
              <w:jc w:val="left"/>
              <w:rPr>
                <w:rStyle w:val="Hyperlink"/>
                <w:rtl/>
              </w:rPr>
            </w:pPr>
            <w:hyperlink w:anchor="Seif7" w:tooltip="חוות דעת מיועץ" w:history="1">
              <w:r w:rsidRPr="004C222B">
                <w:rPr>
                  <w:rStyle w:val="Hyperlink"/>
                </w:rPr>
                <w:t>Go</w:t>
              </w:r>
            </w:hyperlink>
          </w:p>
        </w:tc>
        <w:tc>
          <w:tcPr>
            <w:tcW w:w="850" w:type="dxa"/>
          </w:tcPr>
          <w:p w14:paraId="7795A573" w14:textId="77777777" w:rsidR="004C222B" w:rsidRPr="004C222B" w:rsidRDefault="004C222B" w:rsidP="004C22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C222B" w:rsidRPr="004C222B" w14:paraId="12A12274" w14:textId="77777777">
        <w:tblPrEx>
          <w:tblCellMar>
            <w:top w:w="0" w:type="dxa"/>
            <w:bottom w:w="0" w:type="dxa"/>
          </w:tblCellMar>
        </w:tblPrEx>
        <w:tc>
          <w:tcPr>
            <w:tcW w:w="1247" w:type="dxa"/>
          </w:tcPr>
          <w:p w14:paraId="69A488EF" w14:textId="77777777" w:rsidR="004C222B" w:rsidRPr="004C222B" w:rsidRDefault="004C222B" w:rsidP="004C222B">
            <w:pPr>
              <w:spacing w:line="240" w:lineRule="auto"/>
              <w:jc w:val="left"/>
              <w:rPr>
                <w:rFonts w:cs="Frankruhel"/>
                <w:sz w:val="24"/>
                <w:rtl/>
              </w:rPr>
            </w:pPr>
            <w:r>
              <w:rPr>
                <w:rFonts w:cs="Times New Roman"/>
                <w:sz w:val="24"/>
                <w:rtl/>
              </w:rPr>
              <w:t xml:space="preserve">סעיף 8 </w:t>
            </w:r>
          </w:p>
        </w:tc>
        <w:tc>
          <w:tcPr>
            <w:tcW w:w="5669" w:type="dxa"/>
          </w:tcPr>
          <w:p w14:paraId="6826162F" w14:textId="77777777" w:rsidR="004C222B" w:rsidRPr="004C222B" w:rsidRDefault="004C222B" w:rsidP="004C222B">
            <w:pPr>
              <w:spacing w:line="240" w:lineRule="auto"/>
              <w:jc w:val="left"/>
              <w:rPr>
                <w:rFonts w:cs="Frankruhel"/>
                <w:sz w:val="24"/>
                <w:rtl/>
              </w:rPr>
            </w:pPr>
            <w:r>
              <w:rPr>
                <w:rFonts w:cs="Times New Roman"/>
                <w:sz w:val="24"/>
                <w:rtl/>
              </w:rPr>
              <w:t>אי התייצבות לבדיקה</w:t>
            </w:r>
          </w:p>
        </w:tc>
        <w:tc>
          <w:tcPr>
            <w:tcW w:w="567" w:type="dxa"/>
          </w:tcPr>
          <w:p w14:paraId="182DEF5B" w14:textId="77777777" w:rsidR="004C222B" w:rsidRPr="004C222B" w:rsidRDefault="004C222B" w:rsidP="004C222B">
            <w:pPr>
              <w:spacing w:line="240" w:lineRule="auto"/>
              <w:jc w:val="left"/>
              <w:rPr>
                <w:rStyle w:val="Hyperlink"/>
                <w:rtl/>
              </w:rPr>
            </w:pPr>
            <w:hyperlink w:anchor="Seif8" w:tooltip="אי התייצבות לבדיקה" w:history="1">
              <w:r w:rsidRPr="004C222B">
                <w:rPr>
                  <w:rStyle w:val="Hyperlink"/>
                </w:rPr>
                <w:t>Go</w:t>
              </w:r>
            </w:hyperlink>
          </w:p>
        </w:tc>
        <w:tc>
          <w:tcPr>
            <w:tcW w:w="850" w:type="dxa"/>
          </w:tcPr>
          <w:p w14:paraId="35442736" w14:textId="77777777" w:rsidR="004C222B" w:rsidRPr="004C222B" w:rsidRDefault="004C222B" w:rsidP="004C22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C222B" w:rsidRPr="004C222B" w14:paraId="19E421D7" w14:textId="77777777">
        <w:tblPrEx>
          <w:tblCellMar>
            <w:top w:w="0" w:type="dxa"/>
            <w:bottom w:w="0" w:type="dxa"/>
          </w:tblCellMar>
        </w:tblPrEx>
        <w:tc>
          <w:tcPr>
            <w:tcW w:w="1247" w:type="dxa"/>
          </w:tcPr>
          <w:p w14:paraId="4AB37BD4" w14:textId="77777777" w:rsidR="004C222B" w:rsidRPr="004C222B" w:rsidRDefault="004C222B" w:rsidP="004C222B">
            <w:pPr>
              <w:spacing w:line="240" w:lineRule="auto"/>
              <w:jc w:val="left"/>
              <w:rPr>
                <w:rFonts w:cs="Frankruhel"/>
                <w:sz w:val="24"/>
                <w:rtl/>
              </w:rPr>
            </w:pPr>
            <w:r>
              <w:rPr>
                <w:rFonts w:cs="Times New Roman"/>
                <w:sz w:val="24"/>
                <w:rtl/>
              </w:rPr>
              <w:t xml:space="preserve">סעיף 9 </w:t>
            </w:r>
          </w:p>
        </w:tc>
        <w:tc>
          <w:tcPr>
            <w:tcW w:w="5669" w:type="dxa"/>
          </w:tcPr>
          <w:p w14:paraId="62A25CFD" w14:textId="77777777" w:rsidR="004C222B" w:rsidRPr="004C222B" w:rsidRDefault="004C222B" w:rsidP="004C222B">
            <w:pPr>
              <w:spacing w:line="240" w:lineRule="auto"/>
              <w:jc w:val="left"/>
              <w:rPr>
                <w:rFonts w:cs="Frankruhel"/>
                <w:sz w:val="24"/>
                <w:rtl/>
              </w:rPr>
            </w:pPr>
            <w:r>
              <w:rPr>
                <w:rFonts w:cs="Times New Roman"/>
                <w:sz w:val="24"/>
                <w:rtl/>
              </w:rPr>
              <w:t>החזר הוצאות נסיעה</w:t>
            </w:r>
          </w:p>
        </w:tc>
        <w:tc>
          <w:tcPr>
            <w:tcW w:w="567" w:type="dxa"/>
          </w:tcPr>
          <w:p w14:paraId="09D6421C" w14:textId="77777777" w:rsidR="004C222B" w:rsidRPr="004C222B" w:rsidRDefault="004C222B" w:rsidP="004C222B">
            <w:pPr>
              <w:spacing w:line="240" w:lineRule="auto"/>
              <w:jc w:val="left"/>
              <w:rPr>
                <w:rStyle w:val="Hyperlink"/>
                <w:rtl/>
              </w:rPr>
            </w:pPr>
            <w:hyperlink w:anchor="Seif9" w:tooltip="החזר הוצאות נסיעה" w:history="1">
              <w:r w:rsidRPr="004C222B">
                <w:rPr>
                  <w:rStyle w:val="Hyperlink"/>
                </w:rPr>
                <w:t>Go</w:t>
              </w:r>
            </w:hyperlink>
          </w:p>
        </w:tc>
        <w:tc>
          <w:tcPr>
            <w:tcW w:w="850" w:type="dxa"/>
          </w:tcPr>
          <w:p w14:paraId="7BB2EABC" w14:textId="77777777" w:rsidR="004C222B" w:rsidRPr="004C222B" w:rsidRDefault="004C222B" w:rsidP="004C22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C222B" w:rsidRPr="004C222B" w14:paraId="4480850E" w14:textId="77777777">
        <w:tblPrEx>
          <w:tblCellMar>
            <w:top w:w="0" w:type="dxa"/>
            <w:bottom w:w="0" w:type="dxa"/>
          </w:tblCellMar>
        </w:tblPrEx>
        <w:tc>
          <w:tcPr>
            <w:tcW w:w="1247" w:type="dxa"/>
          </w:tcPr>
          <w:p w14:paraId="5FF2EC2D" w14:textId="77777777" w:rsidR="004C222B" w:rsidRPr="004C222B" w:rsidRDefault="004C222B" w:rsidP="004C222B">
            <w:pPr>
              <w:spacing w:line="240" w:lineRule="auto"/>
              <w:jc w:val="left"/>
              <w:rPr>
                <w:rFonts w:cs="Frankruhel"/>
                <w:sz w:val="24"/>
                <w:rtl/>
              </w:rPr>
            </w:pPr>
            <w:r>
              <w:rPr>
                <w:rFonts w:cs="Times New Roman"/>
                <w:sz w:val="24"/>
                <w:rtl/>
              </w:rPr>
              <w:t xml:space="preserve">סעיף 11 </w:t>
            </w:r>
          </w:p>
        </w:tc>
        <w:tc>
          <w:tcPr>
            <w:tcW w:w="5669" w:type="dxa"/>
          </w:tcPr>
          <w:p w14:paraId="055B6799" w14:textId="77777777" w:rsidR="004C222B" w:rsidRPr="004C222B" w:rsidRDefault="004C222B" w:rsidP="004C222B">
            <w:pPr>
              <w:spacing w:line="240" w:lineRule="auto"/>
              <w:jc w:val="left"/>
              <w:rPr>
                <w:rFonts w:cs="Frankruhel"/>
                <w:sz w:val="24"/>
                <w:rtl/>
              </w:rPr>
            </w:pPr>
            <w:r>
              <w:rPr>
                <w:rFonts w:cs="Times New Roman"/>
                <w:sz w:val="24"/>
                <w:rtl/>
              </w:rPr>
              <w:t>הודעה על</w:t>
            </w:r>
          </w:p>
        </w:tc>
        <w:tc>
          <w:tcPr>
            <w:tcW w:w="567" w:type="dxa"/>
          </w:tcPr>
          <w:p w14:paraId="1EA2059E" w14:textId="77777777" w:rsidR="004C222B" w:rsidRPr="004C222B" w:rsidRDefault="004C222B" w:rsidP="004C222B">
            <w:pPr>
              <w:spacing w:line="240" w:lineRule="auto"/>
              <w:jc w:val="left"/>
              <w:rPr>
                <w:rStyle w:val="Hyperlink"/>
                <w:rtl/>
              </w:rPr>
            </w:pPr>
            <w:hyperlink w:anchor="Seif10" w:tooltip="הודעה על" w:history="1">
              <w:r w:rsidRPr="004C222B">
                <w:rPr>
                  <w:rStyle w:val="Hyperlink"/>
                </w:rPr>
                <w:t>Go</w:t>
              </w:r>
            </w:hyperlink>
          </w:p>
        </w:tc>
        <w:tc>
          <w:tcPr>
            <w:tcW w:w="850" w:type="dxa"/>
          </w:tcPr>
          <w:p w14:paraId="48BE383E" w14:textId="77777777" w:rsidR="004C222B" w:rsidRPr="004C222B" w:rsidRDefault="004C222B" w:rsidP="004C22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C222B" w:rsidRPr="004C222B" w14:paraId="162FB441" w14:textId="77777777">
        <w:tblPrEx>
          <w:tblCellMar>
            <w:top w:w="0" w:type="dxa"/>
            <w:bottom w:w="0" w:type="dxa"/>
          </w:tblCellMar>
        </w:tblPrEx>
        <w:tc>
          <w:tcPr>
            <w:tcW w:w="1247" w:type="dxa"/>
          </w:tcPr>
          <w:p w14:paraId="117D3E75" w14:textId="77777777" w:rsidR="004C222B" w:rsidRPr="004C222B" w:rsidRDefault="004C222B" w:rsidP="004C222B">
            <w:pPr>
              <w:spacing w:line="240" w:lineRule="auto"/>
              <w:jc w:val="left"/>
              <w:rPr>
                <w:rFonts w:cs="Frankruhel"/>
                <w:sz w:val="24"/>
                <w:rtl/>
              </w:rPr>
            </w:pPr>
            <w:r>
              <w:rPr>
                <w:rFonts w:cs="Times New Roman"/>
                <w:sz w:val="24"/>
                <w:rtl/>
              </w:rPr>
              <w:t xml:space="preserve">סעיף 12 </w:t>
            </w:r>
          </w:p>
        </w:tc>
        <w:tc>
          <w:tcPr>
            <w:tcW w:w="5669" w:type="dxa"/>
          </w:tcPr>
          <w:p w14:paraId="0CD1D637" w14:textId="77777777" w:rsidR="004C222B" w:rsidRPr="004C222B" w:rsidRDefault="004C222B" w:rsidP="004C222B">
            <w:pPr>
              <w:spacing w:line="240" w:lineRule="auto"/>
              <w:jc w:val="left"/>
              <w:rPr>
                <w:rFonts w:cs="Frankruhel"/>
                <w:sz w:val="24"/>
                <w:rtl/>
              </w:rPr>
            </w:pPr>
            <w:r>
              <w:rPr>
                <w:rFonts w:cs="Times New Roman"/>
                <w:sz w:val="24"/>
                <w:rtl/>
              </w:rPr>
              <w:t>סודיות</w:t>
            </w:r>
          </w:p>
        </w:tc>
        <w:tc>
          <w:tcPr>
            <w:tcW w:w="567" w:type="dxa"/>
          </w:tcPr>
          <w:p w14:paraId="6913A8EF" w14:textId="77777777" w:rsidR="004C222B" w:rsidRPr="004C222B" w:rsidRDefault="004C222B" w:rsidP="004C222B">
            <w:pPr>
              <w:spacing w:line="240" w:lineRule="auto"/>
              <w:jc w:val="left"/>
              <w:rPr>
                <w:rStyle w:val="Hyperlink"/>
                <w:rtl/>
              </w:rPr>
            </w:pPr>
            <w:hyperlink w:anchor="Seif11" w:tooltip="סודיות" w:history="1">
              <w:r w:rsidRPr="004C222B">
                <w:rPr>
                  <w:rStyle w:val="Hyperlink"/>
                </w:rPr>
                <w:t>Go</w:t>
              </w:r>
            </w:hyperlink>
          </w:p>
        </w:tc>
        <w:tc>
          <w:tcPr>
            <w:tcW w:w="850" w:type="dxa"/>
          </w:tcPr>
          <w:p w14:paraId="3244D86E" w14:textId="77777777" w:rsidR="004C222B" w:rsidRPr="004C222B" w:rsidRDefault="004C222B" w:rsidP="004C22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C222B" w:rsidRPr="004C222B" w14:paraId="00DEE8D9" w14:textId="77777777">
        <w:tblPrEx>
          <w:tblCellMar>
            <w:top w:w="0" w:type="dxa"/>
            <w:bottom w:w="0" w:type="dxa"/>
          </w:tblCellMar>
        </w:tblPrEx>
        <w:tc>
          <w:tcPr>
            <w:tcW w:w="1247" w:type="dxa"/>
          </w:tcPr>
          <w:p w14:paraId="3F22CF3F" w14:textId="77777777" w:rsidR="004C222B" w:rsidRPr="004C222B" w:rsidRDefault="004C222B" w:rsidP="004C222B">
            <w:pPr>
              <w:spacing w:line="240" w:lineRule="auto"/>
              <w:jc w:val="left"/>
              <w:rPr>
                <w:rFonts w:cs="Frankruhel"/>
                <w:sz w:val="24"/>
                <w:rtl/>
              </w:rPr>
            </w:pPr>
            <w:r>
              <w:rPr>
                <w:rFonts w:cs="Times New Roman"/>
                <w:sz w:val="24"/>
                <w:rtl/>
              </w:rPr>
              <w:t xml:space="preserve">סעיף 13 </w:t>
            </w:r>
          </w:p>
        </w:tc>
        <w:tc>
          <w:tcPr>
            <w:tcW w:w="5669" w:type="dxa"/>
          </w:tcPr>
          <w:p w14:paraId="35756F1E" w14:textId="77777777" w:rsidR="004C222B" w:rsidRPr="004C222B" w:rsidRDefault="004C222B" w:rsidP="004C222B">
            <w:pPr>
              <w:spacing w:line="240" w:lineRule="auto"/>
              <w:jc w:val="left"/>
              <w:rPr>
                <w:rFonts w:cs="Frankruhel"/>
                <w:sz w:val="24"/>
                <w:rtl/>
              </w:rPr>
            </w:pPr>
            <w:r>
              <w:rPr>
                <w:rFonts w:cs="Times New Roman"/>
                <w:sz w:val="24"/>
                <w:rtl/>
              </w:rPr>
              <w:t>איסור ניגוד עניינים</w:t>
            </w:r>
          </w:p>
        </w:tc>
        <w:tc>
          <w:tcPr>
            <w:tcW w:w="567" w:type="dxa"/>
          </w:tcPr>
          <w:p w14:paraId="75349375" w14:textId="77777777" w:rsidR="004C222B" w:rsidRPr="004C222B" w:rsidRDefault="004C222B" w:rsidP="004C222B">
            <w:pPr>
              <w:spacing w:line="240" w:lineRule="auto"/>
              <w:jc w:val="left"/>
              <w:rPr>
                <w:rStyle w:val="Hyperlink"/>
                <w:rtl/>
              </w:rPr>
            </w:pPr>
            <w:hyperlink w:anchor="Seif12" w:tooltip="איסור ניגוד עניינים" w:history="1">
              <w:r w:rsidRPr="004C222B">
                <w:rPr>
                  <w:rStyle w:val="Hyperlink"/>
                </w:rPr>
                <w:t>Go</w:t>
              </w:r>
            </w:hyperlink>
          </w:p>
        </w:tc>
        <w:tc>
          <w:tcPr>
            <w:tcW w:w="850" w:type="dxa"/>
          </w:tcPr>
          <w:p w14:paraId="7D09ED3B" w14:textId="77777777" w:rsidR="004C222B" w:rsidRPr="004C222B" w:rsidRDefault="004C222B" w:rsidP="004C22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C222B" w:rsidRPr="004C222B" w14:paraId="0F1E7AE7" w14:textId="77777777">
        <w:tblPrEx>
          <w:tblCellMar>
            <w:top w:w="0" w:type="dxa"/>
            <w:bottom w:w="0" w:type="dxa"/>
          </w:tblCellMar>
        </w:tblPrEx>
        <w:tc>
          <w:tcPr>
            <w:tcW w:w="1247" w:type="dxa"/>
          </w:tcPr>
          <w:p w14:paraId="02977C6A" w14:textId="77777777" w:rsidR="004C222B" w:rsidRPr="004C222B" w:rsidRDefault="004C222B" w:rsidP="004C222B">
            <w:pPr>
              <w:spacing w:line="240" w:lineRule="auto"/>
              <w:jc w:val="left"/>
              <w:rPr>
                <w:rFonts w:cs="Frankruhel"/>
                <w:sz w:val="24"/>
                <w:rtl/>
              </w:rPr>
            </w:pPr>
            <w:r>
              <w:rPr>
                <w:rFonts w:cs="Times New Roman"/>
                <w:sz w:val="24"/>
                <w:rtl/>
              </w:rPr>
              <w:t xml:space="preserve">סעיף 14 </w:t>
            </w:r>
          </w:p>
        </w:tc>
        <w:tc>
          <w:tcPr>
            <w:tcW w:w="5669" w:type="dxa"/>
          </w:tcPr>
          <w:p w14:paraId="088CAF1A" w14:textId="77777777" w:rsidR="004C222B" w:rsidRPr="004C222B" w:rsidRDefault="004C222B" w:rsidP="004C222B">
            <w:pPr>
              <w:spacing w:line="240" w:lineRule="auto"/>
              <w:jc w:val="left"/>
              <w:rPr>
                <w:rFonts w:cs="Frankruhel"/>
                <w:sz w:val="24"/>
                <w:rtl/>
              </w:rPr>
            </w:pPr>
            <w:r>
              <w:rPr>
                <w:rFonts w:cs="Times New Roman"/>
                <w:sz w:val="24"/>
                <w:rtl/>
              </w:rPr>
              <w:t>אחריות פלילית</w:t>
            </w:r>
          </w:p>
        </w:tc>
        <w:tc>
          <w:tcPr>
            <w:tcW w:w="567" w:type="dxa"/>
          </w:tcPr>
          <w:p w14:paraId="18262717" w14:textId="77777777" w:rsidR="004C222B" w:rsidRPr="004C222B" w:rsidRDefault="004C222B" w:rsidP="004C222B">
            <w:pPr>
              <w:spacing w:line="240" w:lineRule="auto"/>
              <w:jc w:val="left"/>
              <w:rPr>
                <w:rStyle w:val="Hyperlink"/>
                <w:rtl/>
              </w:rPr>
            </w:pPr>
            <w:hyperlink w:anchor="Seif13" w:tooltip="אחריות פלילית" w:history="1">
              <w:r w:rsidRPr="004C222B">
                <w:rPr>
                  <w:rStyle w:val="Hyperlink"/>
                </w:rPr>
                <w:t>Go</w:t>
              </w:r>
            </w:hyperlink>
          </w:p>
        </w:tc>
        <w:tc>
          <w:tcPr>
            <w:tcW w:w="850" w:type="dxa"/>
          </w:tcPr>
          <w:p w14:paraId="0AB64FC2" w14:textId="77777777" w:rsidR="004C222B" w:rsidRPr="004C222B" w:rsidRDefault="004C222B" w:rsidP="004C22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C222B" w:rsidRPr="004C222B" w14:paraId="419FEA77" w14:textId="77777777">
        <w:tblPrEx>
          <w:tblCellMar>
            <w:top w:w="0" w:type="dxa"/>
            <w:bottom w:w="0" w:type="dxa"/>
          </w:tblCellMar>
        </w:tblPrEx>
        <w:tc>
          <w:tcPr>
            <w:tcW w:w="1247" w:type="dxa"/>
          </w:tcPr>
          <w:p w14:paraId="1F5DB6F4" w14:textId="77777777" w:rsidR="004C222B" w:rsidRPr="004C222B" w:rsidRDefault="004C222B" w:rsidP="004C222B">
            <w:pPr>
              <w:spacing w:line="240" w:lineRule="auto"/>
              <w:jc w:val="left"/>
              <w:rPr>
                <w:rFonts w:cs="Frankruhel"/>
                <w:sz w:val="24"/>
                <w:rtl/>
              </w:rPr>
            </w:pPr>
            <w:r>
              <w:rPr>
                <w:rFonts w:cs="Times New Roman"/>
                <w:sz w:val="24"/>
                <w:rtl/>
              </w:rPr>
              <w:t xml:space="preserve">סעיף 15 </w:t>
            </w:r>
          </w:p>
        </w:tc>
        <w:tc>
          <w:tcPr>
            <w:tcW w:w="5669" w:type="dxa"/>
          </w:tcPr>
          <w:p w14:paraId="6940699B" w14:textId="77777777" w:rsidR="004C222B" w:rsidRPr="004C222B" w:rsidRDefault="004C222B" w:rsidP="004C222B">
            <w:pPr>
              <w:spacing w:line="240" w:lineRule="auto"/>
              <w:jc w:val="left"/>
              <w:rPr>
                <w:rFonts w:cs="Frankruhel"/>
                <w:sz w:val="24"/>
                <w:rtl/>
              </w:rPr>
            </w:pPr>
            <w:r>
              <w:rPr>
                <w:rFonts w:cs="Times New Roman"/>
                <w:sz w:val="24"/>
                <w:rtl/>
              </w:rPr>
              <w:t>תחולה</w:t>
            </w:r>
          </w:p>
        </w:tc>
        <w:tc>
          <w:tcPr>
            <w:tcW w:w="567" w:type="dxa"/>
          </w:tcPr>
          <w:p w14:paraId="67205DA3" w14:textId="77777777" w:rsidR="004C222B" w:rsidRPr="004C222B" w:rsidRDefault="004C222B" w:rsidP="004C222B">
            <w:pPr>
              <w:spacing w:line="240" w:lineRule="auto"/>
              <w:jc w:val="left"/>
              <w:rPr>
                <w:rStyle w:val="Hyperlink"/>
                <w:rtl/>
              </w:rPr>
            </w:pPr>
            <w:hyperlink w:anchor="Seif14" w:tooltip="תחולה" w:history="1">
              <w:r w:rsidRPr="004C222B">
                <w:rPr>
                  <w:rStyle w:val="Hyperlink"/>
                </w:rPr>
                <w:t>Go</w:t>
              </w:r>
            </w:hyperlink>
          </w:p>
        </w:tc>
        <w:tc>
          <w:tcPr>
            <w:tcW w:w="850" w:type="dxa"/>
          </w:tcPr>
          <w:p w14:paraId="5FB5197E" w14:textId="77777777" w:rsidR="004C222B" w:rsidRPr="004C222B" w:rsidRDefault="004C222B" w:rsidP="004C222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2EF29C17" w14:textId="77777777" w:rsidR="007C57AA" w:rsidRDefault="00D25D5C" w:rsidP="007C57AA">
      <w:pPr>
        <w:pStyle w:val="big-header"/>
        <w:ind w:left="0" w:right="1134"/>
        <w:rPr>
          <w:rFonts w:cs="FrankRuehl" w:hint="cs"/>
          <w:sz w:val="32"/>
          <w:rtl/>
        </w:rPr>
      </w:pPr>
      <w:r>
        <w:rPr>
          <w:rFonts w:cs="FrankRuehl"/>
          <w:sz w:val="32"/>
          <w:rtl/>
        </w:rPr>
        <w:br w:type="page"/>
      </w:r>
      <w:r w:rsidR="007C57AA">
        <w:rPr>
          <w:rFonts w:cs="FrankRuehl" w:hint="cs"/>
          <w:sz w:val="32"/>
          <w:rtl/>
        </w:rPr>
        <w:lastRenderedPageBreak/>
        <w:t>ביטוח לאומי</w:t>
      </w:r>
    </w:p>
    <w:p w14:paraId="2C5AF56C" w14:textId="77777777" w:rsidR="00D25D5C" w:rsidRDefault="007C57AA" w:rsidP="007C57AA">
      <w:pPr>
        <w:pStyle w:val="big-header"/>
        <w:ind w:left="0" w:right="1134"/>
        <w:rPr>
          <w:rStyle w:val="default"/>
          <w:rFonts w:hint="cs"/>
          <w:sz w:val="22"/>
          <w:szCs w:val="22"/>
          <w:rtl/>
        </w:rPr>
      </w:pPr>
      <w:r>
        <w:rPr>
          <w:rFonts w:cs="FrankRuehl" w:hint="cs"/>
          <w:sz w:val="32"/>
          <w:rtl/>
        </w:rPr>
        <w:t>תקנות הביטוח הלאומי (ביטוח סיעוד) (ועדות עררים), תשס"ט-2009</w:t>
      </w:r>
      <w:r w:rsidR="00D25D5C">
        <w:rPr>
          <w:rStyle w:val="default"/>
          <w:sz w:val="22"/>
          <w:szCs w:val="22"/>
          <w:rtl/>
        </w:rPr>
        <w:footnoteReference w:customMarkFollows="1" w:id="1"/>
        <w:t>*</w:t>
      </w:r>
    </w:p>
    <w:p w14:paraId="38860C9F" w14:textId="77777777" w:rsidR="007C57AA" w:rsidRDefault="007C57AA" w:rsidP="00955AC8">
      <w:pPr>
        <w:pStyle w:val="P00"/>
        <w:spacing w:before="72"/>
        <w:ind w:left="0" w:right="1134"/>
        <w:rPr>
          <w:rStyle w:val="default"/>
          <w:rFonts w:cs="FrankRuehl" w:hint="cs"/>
          <w:rtl/>
        </w:rPr>
      </w:pPr>
      <w:r>
        <w:rPr>
          <w:rStyle w:val="default"/>
          <w:rFonts w:cs="FrankRuehl" w:hint="cs"/>
          <w:rtl/>
        </w:rPr>
        <w:tab/>
        <w:t xml:space="preserve">בתוקף סמכותי לפי סעיפים 230ב ו-400 לחוק הביטוח הלאומי [נוסח משולב], התשנ"ה-1995 (להלן </w:t>
      </w:r>
      <w:r>
        <w:rPr>
          <w:rStyle w:val="default"/>
          <w:rFonts w:cs="FrankRuehl"/>
          <w:rtl/>
        </w:rPr>
        <w:t>–</w:t>
      </w:r>
      <w:r>
        <w:rPr>
          <w:rStyle w:val="default"/>
          <w:rFonts w:cs="FrankRuehl" w:hint="cs"/>
          <w:rtl/>
        </w:rPr>
        <w:t xml:space="preserve"> החוק), לאחר שנועצתי במועצת המוסד לפי סעיף 12 לחוק, אני מתקין תקנות אלה:</w:t>
      </w:r>
    </w:p>
    <w:p w14:paraId="099F082E" w14:textId="77777777" w:rsidR="007C57AA" w:rsidRPr="007B6045" w:rsidRDefault="007C57AA" w:rsidP="007B6045">
      <w:pPr>
        <w:pStyle w:val="medium2-header"/>
        <w:keepLines w:val="0"/>
        <w:spacing w:before="72"/>
        <w:ind w:left="0" w:right="1134"/>
        <w:rPr>
          <w:rFonts w:cs="FrankRuehl" w:hint="cs"/>
          <w:noProof/>
          <w:rtl/>
        </w:rPr>
      </w:pPr>
      <w:bookmarkStart w:id="0" w:name="med0"/>
      <w:bookmarkEnd w:id="0"/>
      <w:r w:rsidRPr="007B6045">
        <w:rPr>
          <w:rFonts w:cs="FrankRuehl" w:hint="cs"/>
          <w:noProof/>
          <w:rtl/>
        </w:rPr>
        <w:t>פרק ראשון: ועדת עררים לסיעוד, סמכויות והרכב</w:t>
      </w:r>
    </w:p>
    <w:p w14:paraId="35098D13" w14:textId="77777777" w:rsidR="00642120" w:rsidRDefault="00642120" w:rsidP="004F32A4">
      <w:pPr>
        <w:pStyle w:val="P00"/>
        <w:spacing w:before="72"/>
        <w:ind w:left="0" w:right="1134"/>
        <w:rPr>
          <w:rStyle w:val="default"/>
          <w:rFonts w:cs="FrankRuehl" w:hint="cs"/>
          <w:rtl/>
        </w:rPr>
      </w:pPr>
      <w:bookmarkStart w:id="1" w:name="Seif1"/>
      <w:bookmarkEnd w:id="1"/>
      <w:r>
        <w:rPr>
          <w:lang w:val="he-IL"/>
        </w:rPr>
        <w:pict w14:anchorId="76EE6F2A">
          <v:rect id="_x0000_s1107" style="position:absolute;left:0;text-align:left;margin-left:464.5pt;margin-top:8.05pt;width:75.05pt;height:10pt;z-index:251650560" o:allowincell="f" filled="f" stroked="f" strokecolor="lime" strokeweight=".25pt">
            <v:textbox inset="0,0,0,0">
              <w:txbxContent>
                <w:p w14:paraId="26228942" w14:textId="77777777" w:rsidR="00642120" w:rsidRDefault="004F32A4"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4F32A4">
        <w:rPr>
          <w:rStyle w:val="default"/>
          <w:rFonts w:cs="FrankRuehl" w:hint="cs"/>
          <w:rtl/>
        </w:rPr>
        <w:t xml:space="preserve">בתקנות אלה, "מזכיר" </w:t>
      </w:r>
      <w:r w:rsidR="004F32A4">
        <w:rPr>
          <w:rStyle w:val="default"/>
          <w:rFonts w:cs="FrankRuehl"/>
          <w:rtl/>
        </w:rPr>
        <w:t>–</w:t>
      </w:r>
      <w:r w:rsidR="004F32A4">
        <w:rPr>
          <w:rStyle w:val="default"/>
          <w:rFonts w:cs="FrankRuehl" w:hint="cs"/>
          <w:rtl/>
        </w:rPr>
        <w:t xml:space="preserve"> פקיד תביעות, אשר נתמנה על ידי מנהל אגף גמלאות סיעוד להיות מזכיר ועדות לפי תקנות אלה והוא אינו פקיד התביעות שעל החלטתו הוגש הערר</w:t>
      </w:r>
      <w:r w:rsidR="00955AC8">
        <w:rPr>
          <w:rStyle w:val="default"/>
          <w:rFonts w:cs="FrankRuehl" w:hint="cs"/>
          <w:rtl/>
        </w:rPr>
        <w:t>.</w:t>
      </w:r>
    </w:p>
    <w:p w14:paraId="4A75ECDD" w14:textId="77777777" w:rsidR="00642120" w:rsidRDefault="00642120" w:rsidP="004F32A4">
      <w:pPr>
        <w:pStyle w:val="P00"/>
        <w:spacing w:before="72"/>
        <w:ind w:left="0" w:right="1134"/>
        <w:rPr>
          <w:rStyle w:val="default"/>
          <w:rFonts w:cs="FrankRuehl" w:hint="cs"/>
          <w:rtl/>
        </w:rPr>
      </w:pPr>
      <w:bookmarkStart w:id="2" w:name="Seif2"/>
      <w:bookmarkEnd w:id="2"/>
      <w:r>
        <w:rPr>
          <w:lang w:val="he-IL"/>
        </w:rPr>
        <w:pict w14:anchorId="342B9B2A">
          <v:rect id="_x0000_s1108" style="position:absolute;left:0;text-align:left;margin-left:464.5pt;margin-top:8.05pt;width:75.05pt;height:26.5pt;z-index:251651584" o:allowincell="f" filled="f" stroked="f" strokecolor="lime" strokeweight=".25pt">
            <v:textbox inset="0,0,0,0">
              <w:txbxContent>
                <w:p w14:paraId="39952287" w14:textId="77777777" w:rsidR="00642120" w:rsidRDefault="004F32A4" w:rsidP="00642120">
                  <w:pPr>
                    <w:spacing w:line="160" w:lineRule="exact"/>
                    <w:jc w:val="left"/>
                    <w:rPr>
                      <w:rFonts w:cs="Miriam" w:hint="cs"/>
                      <w:noProof/>
                      <w:sz w:val="18"/>
                      <w:szCs w:val="18"/>
                      <w:rtl/>
                    </w:rPr>
                  </w:pPr>
                  <w:r>
                    <w:rPr>
                      <w:rFonts w:cs="Miriam" w:hint="cs"/>
                      <w:sz w:val="18"/>
                      <w:szCs w:val="18"/>
                      <w:rtl/>
                    </w:rPr>
                    <w:t>הרכב ועדת עררים לזכאות לגימלת סיעוד</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4F32A4">
        <w:rPr>
          <w:rStyle w:val="default"/>
          <w:rFonts w:cs="FrankRuehl" w:hint="cs"/>
          <w:rtl/>
        </w:rPr>
        <w:t>(א)</w:t>
      </w:r>
      <w:r w:rsidR="004F32A4">
        <w:rPr>
          <w:rStyle w:val="default"/>
          <w:rFonts w:cs="FrankRuehl" w:hint="cs"/>
          <w:rtl/>
        </w:rPr>
        <w:tab/>
        <w:t xml:space="preserve">ועדת עררים לעניין מצב תפקודי (להלן </w:t>
      </w:r>
      <w:r w:rsidR="004F32A4">
        <w:rPr>
          <w:rStyle w:val="default"/>
          <w:rFonts w:cs="FrankRuehl"/>
          <w:rtl/>
        </w:rPr>
        <w:t>–</w:t>
      </w:r>
      <w:r w:rsidR="004F32A4">
        <w:rPr>
          <w:rStyle w:val="default"/>
          <w:rFonts w:cs="FrankRuehl" w:hint="cs"/>
          <w:rtl/>
        </w:rPr>
        <w:t xml:space="preserve"> הוועדה), תהיה בהרכב של 2 חברים; ואולם רשאי מזכיר הוועדה לקבוע כי הרכב הוועדה יהיה של 3 חברים בהתאם למורכבות המקרה נשוא הערר, טיב הליקויים בעורר, או בהתאם למצבו הקוגניטיבי של העורר; מזכיר הוועדה יקבע את הרכבה.</w:t>
      </w:r>
    </w:p>
    <w:p w14:paraId="290CC7C2" w14:textId="77777777" w:rsidR="004F32A4" w:rsidRDefault="004F32A4" w:rsidP="004F32A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כלל הרכב הוועדה שני רופאים, יקבע מזכיר הוועדה מי מהם ישמש כיושב ראש הוועדה.</w:t>
      </w:r>
    </w:p>
    <w:p w14:paraId="6A581F69" w14:textId="77777777" w:rsidR="004F32A4" w:rsidRDefault="004F32A4" w:rsidP="004F32A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מי שבדק את העורר לצורך ההחלטה נושא הערר וכן מי שאישר בדיקה כאמור, לא ישמשו חברים בוועדה שתדון בערר על אותה החלטה.</w:t>
      </w:r>
    </w:p>
    <w:p w14:paraId="51B9F95A" w14:textId="77777777" w:rsidR="00642120" w:rsidRDefault="00642120" w:rsidP="00FE7F35">
      <w:pPr>
        <w:pStyle w:val="P00"/>
        <w:spacing w:before="72"/>
        <w:ind w:left="0" w:right="1134"/>
        <w:rPr>
          <w:rStyle w:val="default"/>
          <w:rFonts w:cs="FrankRuehl" w:hint="cs"/>
          <w:rtl/>
        </w:rPr>
      </w:pPr>
      <w:bookmarkStart w:id="3" w:name="Seif3"/>
      <w:bookmarkEnd w:id="3"/>
      <w:r>
        <w:rPr>
          <w:lang w:val="he-IL"/>
        </w:rPr>
        <w:pict w14:anchorId="07EC6C4F">
          <v:rect id="_x0000_s1109" style="position:absolute;left:0;text-align:left;margin-left:464.5pt;margin-top:8.05pt;width:75.05pt;height:25.35pt;z-index:251652608" o:allowincell="f" filled="f" stroked="f" strokecolor="lime" strokeweight=".25pt">
            <v:textbox inset="0,0,0,0">
              <w:txbxContent>
                <w:p w14:paraId="2E096EB8" w14:textId="77777777" w:rsidR="00642120" w:rsidRDefault="00FE7F35" w:rsidP="00642120">
                  <w:pPr>
                    <w:spacing w:line="160" w:lineRule="exact"/>
                    <w:jc w:val="left"/>
                    <w:rPr>
                      <w:rFonts w:cs="Miriam" w:hint="cs"/>
                      <w:noProof/>
                      <w:sz w:val="18"/>
                      <w:szCs w:val="18"/>
                      <w:rtl/>
                    </w:rPr>
                  </w:pPr>
                  <w:r>
                    <w:rPr>
                      <w:rFonts w:cs="Miriam" w:hint="cs"/>
                      <w:sz w:val="18"/>
                      <w:szCs w:val="18"/>
                      <w:rtl/>
                    </w:rPr>
                    <w:t>סמכויות ועדת עררים לסיעוד</w:t>
                  </w:r>
                </w:p>
              </w:txbxContent>
            </v:textbox>
            <w10:anchorlock/>
          </v:rect>
        </w:pict>
      </w:r>
      <w:r w:rsidR="00E7431C">
        <w:rPr>
          <w:rStyle w:val="big-number"/>
          <w:rFonts w:cs="Miriam" w:hint="cs"/>
          <w:rtl/>
        </w:rPr>
        <w:t>3</w:t>
      </w:r>
      <w:r>
        <w:rPr>
          <w:rStyle w:val="big-number"/>
          <w:rFonts w:cs="Miriam"/>
          <w:rtl/>
        </w:rPr>
        <w:t>.</w:t>
      </w:r>
      <w:r>
        <w:rPr>
          <w:rStyle w:val="big-number"/>
          <w:rFonts w:cs="Miriam"/>
          <w:rtl/>
        </w:rPr>
        <w:tab/>
      </w:r>
      <w:r w:rsidR="00FE7F35">
        <w:rPr>
          <w:rStyle w:val="default"/>
          <w:rFonts w:cs="FrankRuehl" w:hint="cs"/>
          <w:rtl/>
        </w:rPr>
        <w:t>בערר על החלטת פקיד תביעות בעניין הזכאות לגמלת סיעוד רשאית ועדת עררים לסיעוד לאשר, לבטל או לשנות את החלטת פקיד התביעות, בעניינים אלה:</w:t>
      </w:r>
    </w:p>
    <w:p w14:paraId="669FD559" w14:textId="77777777" w:rsidR="00FE7F35" w:rsidRDefault="00FE7F35" w:rsidP="00FE7F3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מידת התלות של העורר בעזרת הזולת;</w:t>
      </w:r>
    </w:p>
    <w:p w14:paraId="1CC8A781" w14:textId="77777777" w:rsidR="00FE7F35" w:rsidRDefault="00FE7F35" w:rsidP="00FE7F3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הצורך בהשגחה על העורר;</w:t>
      </w:r>
    </w:p>
    <w:p w14:paraId="58CEB01E" w14:textId="77777777" w:rsidR="00FE7F35" w:rsidRDefault="00FE7F35" w:rsidP="00FE7F3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התקופה שבה היה העורר תלוי בעזרת הזולת או זקוק להשגחה.</w:t>
      </w:r>
    </w:p>
    <w:p w14:paraId="0C4747D8" w14:textId="77777777" w:rsidR="00642120" w:rsidRDefault="00642120" w:rsidP="00FE7F35">
      <w:pPr>
        <w:pStyle w:val="P00"/>
        <w:spacing w:before="72"/>
        <w:ind w:left="0" w:right="1134"/>
        <w:rPr>
          <w:rStyle w:val="default"/>
          <w:rFonts w:cs="FrankRuehl" w:hint="cs"/>
          <w:rtl/>
        </w:rPr>
      </w:pPr>
      <w:bookmarkStart w:id="4" w:name="Seif4"/>
      <w:bookmarkEnd w:id="4"/>
      <w:r>
        <w:rPr>
          <w:lang w:val="he-IL"/>
        </w:rPr>
        <w:pict w14:anchorId="1403C235">
          <v:rect id="_x0000_s1110" style="position:absolute;left:0;text-align:left;margin-left:464.5pt;margin-top:8.05pt;width:75.05pt;height:23.65pt;z-index:251653632" o:allowincell="f" filled="f" stroked="f" strokecolor="lime" strokeweight=".25pt">
            <v:textbox inset="0,0,0,0">
              <w:txbxContent>
                <w:p w14:paraId="78F99E51" w14:textId="77777777" w:rsidR="00642120" w:rsidRDefault="00FE7F35" w:rsidP="00FE7F35">
                  <w:pPr>
                    <w:spacing w:line="160" w:lineRule="exact"/>
                    <w:jc w:val="left"/>
                    <w:rPr>
                      <w:rFonts w:cs="Miriam" w:hint="cs"/>
                      <w:noProof/>
                      <w:sz w:val="18"/>
                      <w:szCs w:val="18"/>
                      <w:rtl/>
                    </w:rPr>
                  </w:pPr>
                  <w:r>
                    <w:rPr>
                      <w:rFonts w:cs="Miriam" w:hint="cs"/>
                      <w:sz w:val="18"/>
                      <w:szCs w:val="18"/>
                      <w:rtl/>
                    </w:rPr>
                    <w:t>מועד ואופן הגשת ערר</w:t>
                  </w:r>
                </w:p>
              </w:txbxContent>
            </v:textbox>
            <w10:anchorlock/>
          </v:rect>
        </w:pict>
      </w:r>
      <w:r w:rsidR="00E7431C">
        <w:rPr>
          <w:rStyle w:val="big-number"/>
          <w:rFonts w:cs="Miriam" w:hint="cs"/>
          <w:rtl/>
        </w:rPr>
        <w:t>4</w:t>
      </w:r>
      <w:r>
        <w:rPr>
          <w:rStyle w:val="big-number"/>
          <w:rFonts w:cs="Miriam"/>
          <w:rtl/>
        </w:rPr>
        <w:t>.</w:t>
      </w:r>
      <w:r>
        <w:rPr>
          <w:rStyle w:val="big-number"/>
          <w:rFonts w:cs="Miriam"/>
          <w:rtl/>
        </w:rPr>
        <w:tab/>
      </w:r>
      <w:r w:rsidR="00E7431C">
        <w:rPr>
          <w:rStyle w:val="default"/>
          <w:rFonts w:cs="FrankRuehl" w:hint="cs"/>
          <w:rtl/>
        </w:rPr>
        <w:t>(א)</w:t>
      </w:r>
      <w:r w:rsidR="00E7431C">
        <w:rPr>
          <w:rStyle w:val="default"/>
          <w:rFonts w:cs="FrankRuehl" w:hint="cs"/>
          <w:rtl/>
        </w:rPr>
        <w:tab/>
      </w:r>
      <w:r w:rsidR="00FE7F35">
        <w:rPr>
          <w:rStyle w:val="default"/>
          <w:rFonts w:cs="FrankRuehl" w:hint="cs"/>
          <w:rtl/>
        </w:rPr>
        <w:t>ערר על החלטת פקיד תביעות בעניין מידת תלותו של העורר בזולת בביצוע פעולות היום יום או בעניין הזדקקותו להשגחה, יוגש בתוך 60 ימים מיום שנמסרה לתובע הגמלה הודעה על ההחלטה; הערר יוגש בכתב, באמצעות המוסד, ויצוינו בו נימוקי הערר</w:t>
      </w:r>
      <w:r w:rsidR="00490D4B">
        <w:rPr>
          <w:rStyle w:val="default"/>
          <w:rFonts w:cs="FrankRuehl" w:hint="cs"/>
          <w:rtl/>
        </w:rPr>
        <w:t>.</w:t>
      </w:r>
    </w:p>
    <w:p w14:paraId="259BCDE3" w14:textId="77777777" w:rsidR="00FE7F35" w:rsidRDefault="00FE7F35" w:rsidP="00FE7F3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הדיון בערר יחל בתוך 60 ימים מיום שנתקבלו במוסד הודעת הערר ונימוקיו.</w:t>
      </w:r>
    </w:p>
    <w:p w14:paraId="65363B94" w14:textId="77777777" w:rsidR="00642120" w:rsidRDefault="00642120" w:rsidP="00A42C95">
      <w:pPr>
        <w:pStyle w:val="P00"/>
        <w:spacing w:before="72"/>
        <w:ind w:left="0" w:right="1134"/>
        <w:rPr>
          <w:rStyle w:val="default"/>
          <w:rFonts w:cs="FrankRuehl" w:hint="cs"/>
          <w:rtl/>
        </w:rPr>
      </w:pPr>
      <w:bookmarkStart w:id="5" w:name="Seif5"/>
      <w:bookmarkEnd w:id="5"/>
      <w:r>
        <w:rPr>
          <w:lang w:val="he-IL"/>
        </w:rPr>
        <w:pict w14:anchorId="6F3E24DF">
          <v:rect id="_x0000_s1111" style="position:absolute;left:0;text-align:left;margin-left:464.5pt;margin-top:8.05pt;width:75.05pt;height:17pt;z-index:251654656" o:allowincell="f" filled="f" stroked="f" strokecolor="lime" strokeweight=".25pt">
            <v:textbox inset="0,0,0,0">
              <w:txbxContent>
                <w:p w14:paraId="40D81D71" w14:textId="77777777" w:rsidR="00642120" w:rsidRDefault="00A42C95" w:rsidP="00642120">
                  <w:pPr>
                    <w:spacing w:line="160" w:lineRule="exact"/>
                    <w:jc w:val="left"/>
                    <w:rPr>
                      <w:rFonts w:cs="Miriam" w:hint="cs"/>
                      <w:noProof/>
                      <w:sz w:val="18"/>
                      <w:szCs w:val="18"/>
                      <w:rtl/>
                    </w:rPr>
                  </w:pPr>
                  <w:r>
                    <w:rPr>
                      <w:rFonts w:cs="Miriam" w:hint="cs"/>
                      <w:sz w:val="18"/>
                      <w:szCs w:val="18"/>
                      <w:rtl/>
                    </w:rPr>
                    <w:t>הזמנה לוועדה</w:t>
                  </w:r>
                </w:p>
              </w:txbxContent>
            </v:textbox>
            <w10:anchorlock/>
          </v:rect>
        </w:pict>
      </w:r>
      <w:r w:rsidR="00484974">
        <w:rPr>
          <w:rStyle w:val="big-number"/>
          <w:rFonts w:cs="Miriam" w:hint="cs"/>
          <w:rtl/>
        </w:rPr>
        <w:t>5</w:t>
      </w:r>
      <w:r>
        <w:rPr>
          <w:rStyle w:val="big-number"/>
          <w:rFonts w:cs="Miriam"/>
          <w:rtl/>
        </w:rPr>
        <w:t>.</w:t>
      </w:r>
      <w:r>
        <w:rPr>
          <w:rStyle w:val="big-number"/>
          <w:rFonts w:cs="Miriam"/>
          <w:rtl/>
        </w:rPr>
        <w:tab/>
      </w:r>
      <w:r w:rsidR="00484974">
        <w:rPr>
          <w:rStyle w:val="default"/>
          <w:rFonts w:cs="FrankRuehl" w:hint="cs"/>
          <w:rtl/>
        </w:rPr>
        <w:t>(א)</w:t>
      </w:r>
      <w:r w:rsidR="00484974">
        <w:rPr>
          <w:rStyle w:val="default"/>
          <w:rFonts w:cs="FrankRuehl" w:hint="cs"/>
          <w:rtl/>
        </w:rPr>
        <w:tab/>
      </w:r>
      <w:r w:rsidR="00A42C95">
        <w:rPr>
          <w:rStyle w:val="default"/>
          <w:rFonts w:cs="FrankRuehl" w:hint="cs"/>
          <w:rtl/>
        </w:rPr>
        <w:t xml:space="preserve">ועדת עררים לסיעוד תבדוק את העורר שבעניינו הוגש הערר, ואולם רשאית הוועדה בהסכמת העורר, או בהסכמת מי שהגיש את הערר (להלן </w:t>
      </w:r>
      <w:r w:rsidR="00A42C95">
        <w:rPr>
          <w:rStyle w:val="default"/>
          <w:rFonts w:cs="FrankRuehl"/>
          <w:rtl/>
        </w:rPr>
        <w:t>–</w:t>
      </w:r>
      <w:r w:rsidR="00A42C95">
        <w:rPr>
          <w:rStyle w:val="default"/>
          <w:rFonts w:cs="FrankRuehl" w:hint="cs"/>
          <w:rtl/>
        </w:rPr>
        <w:t xml:space="preserve"> העורר) לדון בערר על סמך מסמכים בלבד</w:t>
      </w:r>
      <w:r w:rsidR="004355B4">
        <w:rPr>
          <w:rStyle w:val="default"/>
          <w:rFonts w:cs="FrankRuehl" w:hint="cs"/>
          <w:rtl/>
        </w:rPr>
        <w:t>.</w:t>
      </w:r>
    </w:p>
    <w:p w14:paraId="6C988CDB" w14:textId="77777777" w:rsidR="00A42C95" w:rsidRDefault="00A42C95" w:rsidP="00A42C9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בדיקת העורר תבוצע, במידת האפשר, במקום כינוס ועדת העררים הקרובה למקום מגוריו, ובמועד שצוין בהזמנה שנשלחה לעורר (בפרק זה </w:t>
      </w:r>
      <w:r>
        <w:rPr>
          <w:rStyle w:val="default"/>
          <w:rFonts w:cs="FrankRuehl"/>
          <w:rtl/>
        </w:rPr>
        <w:t>–</w:t>
      </w:r>
      <w:r>
        <w:rPr>
          <w:rStyle w:val="default"/>
          <w:rFonts w:cs="FrankRuehl" w:hint="cs"/>
          <w:rtl/>
        </w:rPr>
        <w:t xml:space="preserve"> ההזמנה).</w:t>
      </w:r>
    </w:p>
    <w:p w14:paraId="3360A392" w14:textId="77777777" w:rsidR="00A42C95" w:rsidRDefault="00A42C95" w:rsidP="00A42C9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ההזמנה תישלח לעורר 14 ימים לפחות לפני המועד שנקבע לבדיקה אלא אם כן הסכים העורר להתייצב לבדיקה בתוך זמן קצר יותר, אף בלא הזמנה כאמור.</w:t>
      </w:r>
    </w:p>
    <w:p w14:paraId="1D6FF52D" w14:textId="77777777" w:rsidR="00642120" w:rsidRDefault="00642120" w:rsidP="00687666">
      <w:pPr>
        <w:pStyle w:val="P00"/>
        <w:spacing w:before="72"/>
        <w:ind w:left="0" w:right="1134"/>
        <w:rPr>
          <w:rStyle w:val="default"/>
          <w:rFonts w:cs="FrankRuehl" w:hint="cs"/>
          <w:rtl/>
        </w:rPr>
      </w:pPr>
      <w:bookmarkStart w:id="6" w:name="Seif6"/>
      <w:bookmarkEnd w:id="6"/>
      <w:r>
        <w:rPr>
          <w:lang w:val="he-IL"/>
        </w:rPr>
        <w:pict w14:anchorId="3E197300">
          <v:rect id="_x0000_s1112" style="position:absolute;left:0;text-align:left;margin-left:464.5pt;margin-top:8.05pt;width:75.05pt;height:9pt;z-index:251655680" o:allowincell="f" filled="f" stroked="f" strokecolor="lime" strokeweight=".25pt">
            <v:textbox inset="0,0,0,0">
              <w:txbxContent>
                <w:p w14:paraId="3159AFC4" w14:textId="77777777" w:rsidR="00642120" w:rsidRDefault="00687666" w:rsidP="00642120">
                  <w:pPr>
                    <w:spacing w:line="160" w:lineRule="exact"/>
                    <w:jc w:val="left"/>
                    <w:rPr>
                      <w:rFonts w:cs="Miriam" w:hint="cs"/>
                      <w:noProof/>
                      <w:sz w:val="18"/>
                      <w:szCs w:val="18"/>
                      <w:rtl/>
                    </w:rPr>
                  </w:pPr>
                  <w:r>
                    <w:rPr>
                      <w:rFonts w:cs="Miriam" w:hint="cs"/>
                      <w:sz w:val="18"/>
                      <w:szCs w:val="18"/>
                      <w:rtl/>
                    </w:rPr>
                    <w:t>נוכחות זרים וייצוג</w:t>
                  </w:r>
                </w:p>
              </w:txbxContent>
            </v:textbox>
            <w10:anchorlock/>
          </v:rect>
        </w:pict>
      </w:r>
      <w:r w:rsidR="00FB27A7">
        <w:rPr>
          <w:rStyle w:val="big-number"/>
          <w:rFonts w:cs="Miriam" w:hint="cs"/>
          <w:rtl/>
        </w:rPr>
        <w:t>6</w:t>
      </w:r>
      <w:r>
        <w:rPr>
          <w:rStyle w:val="big-number"/>
          <w:rFonts w:cs="Miriam"/>
          <w:rtl/>
        </w:rPr>
        <w:t>.</w:t>
      </w:r>
      <w:r>
        <w:rPr>
          <w:rStyle w:val="big-number"/>
          <w:rFonts w:cs="Miriam"/>
          <w:rtl/>
        </w:rPr>
        <w:tab/>
      </w:r>
      <w:r w:rsidR="00687666">
        <w:rPr>
          <w:rStyle w:val="default"/>
          <w:rFonts w:cs="FrankRuehl" w:hint="cs"/>
          <w:rtl/>
        </w:rPr>
        <w:t>העורר רשאי להיות מיוצג בפני הוועדה על ידי כל אדם מטעמו, לרבות הרופא שטיפל בו או רופא מומחה כהגדרתו בסעיף 224 לחוק</w:t>
      </w:r>
      <w:r w:rsidR="00FB27A7">
        <w:rPr>
          <w:rStyle w:val="default"/>
          <w:rFonts w:cs="FrankRuehl" w:hint="cs"/>
          <w:rtl/>
        </w:rPr>
        <w:t>.</w:t>
      </w:r>
    </w:p>
    <w:p w14:paraId="6B1D90B8" w14:textId="77777777" w:rsidR="00642120" w:rsidRDefault="00642120" w:rsidP="00687666">
      <w:pPr>
        <w:pStyle w:val="P00"/>
        <w:spacing w:before="72"/>
        <w:ind w:left="0" w:right="1134"/>
        <w:rPr>
          <w:rStyle w:val="default"/>
          <w:rFonts w:cs="FrankRuehl" w:hint="cs"/>
          <w:rtl/>
        </w:rPr>
      </w:pPr>
      <w:bookmarkStart w:id="7" w:name="Seif7"/>
      <w:bookmarkEnd w:id="7"/>
      <w:r>
        <w:rPr>
          <w:lang w:val="he-IL"/>
        </w:rPr>
        <w:pict w14:anchorId="715DA7BB">
          <v:rect id="_x0000_s1113" style="position:absolute;left:0;text-align:left;margin-left:464.5pt;margin-top:8.05pt;width:75.05pt;height:12.1pt;z-index:251656704" o:allowincell="f" filled="f" stroked="f" strokecolor="lime" strokeweight=".25pt">
            <v:textbox inset="0,0,0,0">
              <w:txbxContent>
                <w:p w14:paraId="43EAD82C" w14:textId="77777777" w:rsidR="00642120" w:rsidRDefault="00687666" w:rsidP="00642120">
                  <w:pPr>
                    <w:spacing w:line="160" w:lineRule="exact"/>
                    <w:jc w:val="left"/>
                    <w:rPr>
                      <w:rFonts w:cs="Miriam" w:hint="cs"/>
                      <w:noProof/>
                      <w:sz w:val="18"/>
                      <w:szCs w:val="18"/>
                      <w:rtl/>
                    </w:rPr>
                  </w:pPr>
                  <w:r>
                    <w:rPr>
                      <w:rFonts w:cs="Miriam" w:hint="cs"/>
                      <w:sz w:val="18"/>
                      <w:szCs w:val="18"/>
                      <w:rtl/>
                    </w:rPr>
                    <w:t>חוות דעת מיועץ</w:t>
                  </w:r>
                </w:p>
              </w:txbxContent>
            </v:textbox>
            <w10:anchorlock/>
          </v:rect>
        </w:pict>
      </w:r>
      <w:r w:rsidR="00FB27A7">
        <w:rPr>
          <w:rStyle w:val="big-number"/>
          <w:rFonts w:cs="Miriam" w:hint="cs"/>
          <w:rtl/>
        </w:rPr>
        <w:t>7</w:t>
      </w:r>
      <w:r>
        <w:rPr>
          <w:rStyle w:val="big-number"/>
          <w:rFonts w:cs="Miriam"/>
          <w:rtl/>
        </w:rPr>
        <w:t>.</w:t>
      </w:r>
      <w:r>
        <w:rPr>
          <w:rStyle w:val="big-number"/>
          <w:rFonts w:cs="Miriam"/>
          <w:rtl/>
        </w:rPr>
        <w:tab/>
      </w:r>
      <w:r w:rsidR="00687666">
        <w:rPr>
          <w:rStyle w:val="default"/>
          <w:rFonts w:cs="FrankRuehl" w:hint="cs"/>
          <w:rtl/>
        </w:rPr>
        <w:t>הוועדה רשאית לדרוש מאת המוסד חוות דעת בדבר מידת תלותו של העורר בזולת או בדבר הצורך בהשגחה עליו; חוות דעת כאמור שהעביר המוסד לוועדה תועבר אף לעורר.</w:t>
      </w:r>
    </w:p>
    <w:p w14:paraId="6845C6B9" w14:textId="77777777" w:rsidR="00642120" w:rsidRDefault="00642120" w:rsidP="004F512C">
      <w:pPr>
        <w:pStyle w:val="P00"/>
        <w:spacing w:before="72"/>
        <w:ind w:left="0" w:right="1134"/>
        <w:rPr>
          <w:rStyle w:val="default"/>
          <w:rFonts w:cs="FrankRuehl" w:hint="cs"/>
          <w:rtl/>
        </w:rPr>
      </w:pPr>
      <w:bookmarkStart w:id="8" w:name="Seif8"/>
      <w:bookmarkEnd w:id="8"/>
      <w:r>
        <w:rPr>
          <w:lang w:val="he-IL"/>
        </w:rPr>
        <w:pict w14:anchorId="30F89DE1">
          <v:rect id="_x0000_s1114" style="position:absolute;left:0;text-align:left;margin-left:464.5pt;margin-top:8.05pt;width:75.05pt;height:17.85pt;z-index:251657728" o:allowincell="f" filled="f" stroked="f" strokecolor="lime" strokeweight=".25pt">
            <v:textbox inset="0,0,0,0">
              <w:txbxContent>
                <w:p w14:paraId="2CAB105F" w14:textId="77777777" w:rsidR="00642120" w:rsidRDefault="004F512C" w:rsidP="004F512C">
                  <w:pPr>
                    <w:spacing w:line="160" w:lineRule="exact"/>
                    <w:jc w:val="left"/>
                    <w:rPr>
                      <w:rFonts w:cs="Miriam" w:hint="cs"/>
                      <w:noProof/>
                      <w:sz w:val="18"/>
                      <w:szCs w:val="18"/>
                      <w:rtl/>
                    </w:rPr>
                  </w:pPr>
                  <w:r>
                    <w:rPr>
                      <w:rFonts w:cs="Miriam" w:hint="cs"/>
                      <w:sz w:val="18"/>
                      <w:szCs w:val="18"/>
                      <w:rtl/>
                    </w:rPr>
                    <w:t>אי-התייצבות לבדיקה</w:t>
                  </w:r>
                </w:p>
              </w:txbxContent>
            </v:textbox>
            <w10:anchorlock/>
          </v:rect>
        </w:pict>
      </w:r>
      <w:r w:rsidR="00CC7FEC">
        <w:rPr>
          <w:rStyle w:val="big-number"/>
          <w:rFonts w:cs="Miriam" w:hint="cs"/>
          <w:rtl/>
        </w:rPr>
        <w:t>8</w:t>
      </w:r>
      <w:r>
        <w:rPr>
          <w:rStyle w:val="big-number"/>
          <w:rFonts w:cs="Miriam"/>
          <w:rtl/>
        </w:rPr>
        <w:t>.</w:t>
      </w:r>
      <w:r>
        <w:rPr>
          <w:rStyle w:val="big-number"/>
          <w:rFonts w:cs="Miriam"/>
          <w:rtl/>
        </w:rPr>
        <w:tab/>
      </w:r>
      <w:r w:rsidR="004F512C">
        <w:rPr>
          <w:rStyle w:val="default"/>
          <w:rFonts w:cs="FrankRuehl" w:hint="cs"/>
          <w:rtl/>
        </w:rPr>
        <w:t xml:space="preserve">לא התייצב העורר לפני הוועדה במועד או במקום הנקובים בהזמנה, ייקבע מועד חדש </w:t>
      </w:r>
      <w:r w:rsidR="004F512C">
        <w:rPr>
          <w:rStyle w:val="default"/>
          <w:rFonts w:cs="FrankRuehl" w:hint="cs"/>
          <w:rtl/>
        </w:rPr>
        <w:lastRenderedPageBreak/>
        <w:t xml:space="preserve">לדיון כאמור בתקנה 4 לתקנות אלה; ואולם אם לא התייצב העורר לפני הוועדה במועד החדש לדיון כאמור, ולא הודיע על כך 24 שעות לפחות לפני קיום הוועדה, או שלא נתן סיבה מתקבלת על דעת המוסד לאי-ההתייצבות, רשאית הוועדה לדון ולהחליט בערר שלא בנוכחות העורר, ואולם אם נבצר מהוועדה להחליט </w:t>
      </w:r>
      <w:r w:rsidR="004F512C">
        <w:rPr>
          <w:rStyle w:val="default"/>
          <w:rFonts w:cs="FrankRuehl"/>
          <w:rtl/>
        </w:rPr>
        <w:t>–</w:t>
      </w:r>
      <w:r w:rsidR="004F512C">
        <w:rPr>
          <w:rStyle w:val="default"/>
          <w:rFonts w:cs="FrankRuehl" w:hint="cs"/>
          <w:rtl/>
        </w:rPr>
        <w:t xml:space="preserve"> יידחה הערר.</w:t>
      </w:r>
    </w:p>
    <w:p w14:paraId="57E585FD" w14:textId="77777777" w:rsidR="00642120" w:rsidRDefault="00642120" w:rsidP="0041737A">
      <w:pPr>
        <w:pStyle w:val="P00"/>
        <w:spacing w:before="72"/>
        <w:ind w:left="0" w:right="1134"/>
        <w:rPr>
          <w:rStyle w:val="default"/>
          <w:rFonts w:cs="FrankRuehl" w:hint="cs"/>
          <w:rtl/>
        </w:rPr>
      </w:pPr>
      <w:bookmarkStart w:id="9" w:name="Seif9"/>
      <w:bookmarkEnd w:id="9"/>
      <w:r>
        <w:rPr>
          <w:lang w:val="he-IL"/>
        </w:rPr>
        <w:pict w14:anchorId="4CCD9EC6">
          <v:rect id="_x0000_s1115" style="position:absolute;left:0;text-align:left;margin-left:464.5pt;margin-top:8.05pt;width:75.05pt;height:17.9pt;z-index:251658752" o:allowincell="f" filled="f" stroked="f" strokecolor="lime" strokeweight=".25pt">
            <v:textbox inset="0,0,0,0">
              <w:txbxContent>
                <w:p w14:paraId="292E1351" w14:textId="77777777" w:rsidR="00642120" w:rsidRDefault="0041737A" w:rsidP="00642120">
                  <w:pPr>
                    <w:spacing w:line="160" w:lineRule="exact"/>
                    <w:jc w:val="left"/>
                    <w:rPr>
                      <w:rFonts w:cs="Miriam" w:hint="cs"/>
                      <w:noProof/>
                      <w:sz w:val="18"/>
                      <w:szCs w:val="18"/>
                      <w:rtl/>
                    </w:rPr>
                  </w:pPr>
                  <w:r>
                    <w:rPr>
                      <w:rFonts w:cs="Miriam" w:hint="cs"/>
                      <w:sz w:val="18"/>
                      <w:szCs w:val="18"/>
                      <w:rtl/>
                    </w:rPr>
                    <w:t>החזר הוצאות נסיעה</w:t>
                  </w:r>
                </w:p>
              </w:txbxContent>
            </v:textbox>
            <w10:anchorlock/>
          </v:rect>
        </w:pict>
      </w:r>
      <w:r w:rsidR="00CC7FEC">
        <w:rPr>
          <w:rStyle w:val="big-number"/>
          <w:rFonts w:cs="Miriam" w:hint="cs"/>
          <w:rtl/>
        </w:rPr>
        <w:t>9</w:t>
      </w:r>
      <w:r>
        <w:rPr>
          <w:rStyle w:val="big-number"/>
          <w:rFonts w:cs="Miriam"/>
          <w:rtl/>
        </w:rPr>
        <w:t>.</w:t>
      </w:r>
      <w:r>
        <w:rPr>
          <w:rStyle w:val="big-number"/>
          <w:rFonts w:cs="Miriam"/>
          <w:rtl/>
        </w:rPr>
        <w:tab/>
      </w:r>
      <w:r w:rsidR="0041737A">
        <w:rPr>
          <w:rStyle w:val="default"/>
          <w:rFonts w:cs="FrankRuehl" w:hint="cs"/>
          <w:rtl/>
        </w:rPr>
        <w:t xml:space="preserve">הוכח כי לשם התייצבות לפני הוועדה נגרמו לעורר הוצאות נסיעה, יושבו לו, לפי דרישתו, הוצאות הנסיעה שנגרמו לו במישרין עקב ההתייצבות, לפי התעריף המקובל בתחבורה הציבורית, ואולם אם לא יכול הוערר בשל מצב בריאותו או מקום מגוריו, להשתמש בתחבורה ציבורית </w:t>
      </w:r>
      <w:r w:rsidR="0041737A">
        <w:rPr>
          <w:rStyle w:val="default"/>
          <w:rFonts w:cs="FrankRuehl"/>
          <w:rtl/>
        </w:rPr>
        <w:t>–</w:t>
      </w:r>
      <w:r w:rsidR="0041737A">
        <w:rPr>
          <w:rStyle w:val="default"/>
          <w:rFonts w:cs="FrankRuehl" w:hint="cs"/>
          <w:rtl/>
        </w:rPr>
        <w:t xml:space="preserve"> לפי התעריף הזול ביותר לתחבורה המתאימה בנסיבות העניין</w:t>
      </w:r>
      <w:r w:rsidR="00CC7FEC">
        <w:rPr>
          <w:rStyle w:val="default"/>
          <w:rFonts w:cs="FrankRuehl" w:hint="cs"/>
          <w:rtl/>
        </w:rPr>
        <w:t>.</w:t>
      </w:r>
    </w:p>
    <w:p w14:paraId="1B523280" w14:textId="77777777" w:rsidR="00642120" w:rsidRDefault="00642120" w:rsidP="00DF1462">
      <w:pPr>
        <w:pStyle w:val="P00"/>
        <w:spacing w:before="72"/>
        <w:ind w:left="0" w:right="1134"/>
        <w:rPr>
          <w:rStyle w:val="default"/>
          <w:rFonts w:cs="FrankRuehl" w:hint="cs"/>
          <w:rtl/>
        </w:rPr>
      </w:pPr>
      <w:r>
        <w:rPr>
          <w:lang w:val="he-IL"/>
        </w:rPr>
        <w:pict w14:anchorId="0750EA33">
          <v:rect id="_x0000_s1116" style="position:absolute;left:0;text-align:left;margin-left:464.5pt;margin-top:8.05pt;width:75.05pt;height:10pt;z-index:251659776" o:allowincell="f" filled="f" stroked="f" strokecolor="lime" strokeweight=".25pt">
            <v:textbox inset="0,0,0,0">
              <w:txbxContent>
                <w:p w14:paraId="5E8B5D93" w14:textId="77777777" w:rsidR="00642120" w:rsidRDefault="00DF1462" w:rsidP="00642120">
                  <w:pPr>
                    <w:spacing w:line="160" w:lineRule="exact"/>
                    <w:jc w:val="left"/>
                    <w:rPr>
                      <w:rFonts w:cs="Miriam" w:hint="cs"/>
                      <w:noProof/>
                      <w:sz w:val="18"/>
                      <w:szCs w:val="18"/>
                      <w:rtl/>
                    </w:rPr>
                  </w:pPr>
                  <w:r>
                    <w:rPr>
                      <w:rFonts w:cs="Miriam" w:hint="cs"/>
                      <w:sz w:val="18"/>
                      <w:szCs w:val="18"/>
                      <w:rtl/>
                    </w:rPr>
                    <w:t>החלטה בערר</w:t>
                  </w:r>
                </w:p>
              </w:txbxContent>
            </v:textbox>
            <w10:anchorlock/>
          </v:rect>
        </w:pict>
      </w:r>
      <w:r>
        <w:rPr>
          <w:rStyle w:val="big-number"/>
          <w:rFonts w:cs="Miriam" w:hint="cs"/>
          <w:rtl/>
        </w:rPr>
        <w:t>10</w:t>
      </w:r>
      <w:r>
        <w:rPr>
          <w:rStyle w:val="big-number"/>
          <w:rFonts w:cs="Miriam"/>
          <w:rtl/>
        </w:rPr>
        <w:t>.</w:t>
      </w:r>
      <w:r>
        <w:rPr>
          <w:rStyle w:val="big-number"/>
          <w:rFonts w:cs="Miriam"/>
          <w:rtl/>
        </w:rPr>
        <w:tab/>
      </w:r>
      <w:r w:rsidR="00DF1462">
        <w:rPr>
          <w:rStyle w:val="default"/>
          <w:rFonts w:cs="FrankRuehl" w:hint="cs"/>
          <w:rtl/>
        </w:rPr>
        <w:t>(א)</w:t>
      </w:r>
      <w:r w:rsidR="00DF1462">
        <w:rPr>
          <w:rStyle w:val="default"/>
          <w:rFonts w:cs="FrankRuehl" w:hint="cs"/>
          <w:rtl/>
        </w:rPr>
        <w:tab/>
        <w:t>החלטת הוועדה תינתן ברוב דעות חבריה; לא התקבלה החלטה ברוב דעות, יכריע יושב ראש הוועדה</w:t>
      </w:r>
      <w:r w:rsidR="00CC7FEC">
        <w:rPr>
          <w:rStyle w:val="default"/>
          <w:rFonts w:cs="FrankRuehl" w:hint="cs"/>
          <w:rtl/>
        </w:rPr>
        <w:t>.</w:t>
      </w:r>
    </w:p>
    <w:p w14:paraId="3B680814" w14:textId="77777777" w:rsidR="00DF1462" w:rsidRDefault="00DF1462" w:rsidP="00DF146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דיוני הוועדה והחלטתה בצירוף נימוקיה, יירשמו בפרוטוקול אשר ייחתם בידי חברי הוועדה בציון שמותיהם ותאריהם המקצועיים.</w:t>
      </w:r>
    </w:p>
    <w:p w14:paraId="210ACE38" w14:textId="77777777" w:rsidR="00DF1462" w:rsidRDefault="00DF1462" w:rsidP="00DF146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הוועדה רשאית לתקן טעות סופר בפרוטוקול.</w:t>
      </w:r>
    </w:p>
    <w:p w14:paraId="369603D9" w14:textId="77777777" w:rsidR="00642120" w:rsidRDefault="00642120" w:rsidP="00EE528E">
      <w:pPr>
        <w:pStyle w:val="P00"/>
        <w:spacing w:before="72"/>
        <w:ind w:left="0" w:right="1134"/>
        <w:rPr>
          <w:rStyle w:val="default"/>
          <w:rFonts w:cs="FrankRuehl" w:hint="cs"/>
          <w:rtl/>
        </w:rPr>
      </w:pPr>
      <w:bookmarkStart w:id="10" w:name="Seif10"/>
      <w:bookmarkEnd w:id="10"/>
      <w:r>
        <w:rPr>
          <w:lang w:val="he-IL"/>
        </w:rPr>
        <w:pict w14:anchorId="463558F4">
          <v:rect id="_x0000_s1117" style="position:absolute;left:0;text-align:left;margin-left:464.5pt;margin-top:8.05pt;width:75.05pt;height:17pt;z-index:251660800" o:allowincell="f" filled="f" stroked="f" strokecolor="lime" strokeweight=".25pt">
            <v:textbox inset="0,0,0,0">
              <w:txbxContent>
                <w:p w14:paraId="38251634" w14:textId="77777777" w:rsidR="00642120" w:rsidRDefault="00EE528E" w:rsidP="00642120">
                  <w:pPr>
                    <w:spacing w:line="160" w:lineRule="exact"/>
                    <w:jc w:val="left"/>
                    <w:rPr>
                      <w:rFonts w:cs="Miriam" w:hint="cs"/>
                      <w:noProof/>
                      <w:sz w:val="18"/>
                      <w:szCs w:val="18"/>
                      <w:rtl/>
                    </w:rPr>
                  </w:pPr>
                  <w:r>
                    <w:rPr>
                      <w:rFonts w:cs="Miriam" w:hint="cs"/>
                      <w:sz w:val="18"/>
                      <w:szCs w:val="18"/>
                      <w:rtl/>
                    </w:rPr>
                    <w:t>הודעה על החלטה בערר</w:t>
                  </w:r>
                </w:p>
              </w:txbxContent>
            </v:textbox>
            <w10:anchorlock/>
          </v:rect>
        </w:pict>
      </w:r>
      <w:r>
        <w:rPr>
          <w:rStyle w:val="big-number"/>
          <w:rFonts w:cs="Miriam" w:hint="cs"/>
          <w:rtl/>
        </w:rPr>
        <w:t>1</w:t>
      </w:r>
      <w:r w:rsidR="00CC7FEC">
        <w:rPr>
          <w:rStyle w:val="big-number"/>
          <w:rFonts w:cs="Miriam" w:hint="cs"/>
          <w:rtl/>
        </w:rPr>
        <w:t>1</w:t>
      </w:r>
      <w:r>
        <w:rPr>
          <w:rStyle w:val="big-number"/>
          <w:rFonts w:cs="Miriam"/>
          <w:rtl/>
        </w:rPr>
        <w:t>.</w:t>
      </w:r>
      <w:r>
        <w:rPr>
          <w:rStyle w:val="big-number"/>
          <w:rFonts w:cs="Miriam"/>
          <w:rtl/>
        </w:rPr>
        <w:tab/>
      </w:r>
      <w:r w:rsidR="00EE528E">
        <w:rPr>
          <w:rStyle w:val="default"/>
          <w:rFonts w:cs="FrankRuehl" w:hint="cs"/>
          <w:rtl/>
        </w:rPr>
        <w:t>המוסד יודיע לעורר, בכתב, את החלטת הוועדה, ולבקשתו ימציא לו המוסד גם העתק של ההחלטה, של נימוקיה ושל חוות דעת שנתן מומחה שמונה כאמור בתקנה 6, ואולם אם החליטה הוועדה שאין להביא לידיעת העורר את ההחלטה או את נימוקיה או את חוות דעת המומחה כאמור, יובאו ההחלטה, הנימוקים או חוות הדעת, לפי העניין, לידיעת בא כוו של העורר או אדם אחר המייצג אותו</w:t>
      </w:r>
      <w:r w:rsidR="00CC7FEC">
        <w:rPr>
          <w:rStyle w:val="default"/>
          <w:rFonts w:cs="FrankRuehl" w:hint="cs"/>
          <w:rtl/>
        </w:rPr>
        <w:t>.</w:t>
      </w:r>
    </w:p>
    <w:p w14:paraId="341E7CF1" w14:textId="77777777" w:rsidR="00642120" w:rsidRDefault="00642120" w:rsidP="005416A0">
      <w:pPr>
        <w:pStyle w:val="P00"/>
        <w:spacing w:before="72"/>
        <w:ind w:left="0" w:right="1134"/>
        <w:rPr>
          <w:rStyle w:val="default"/>
          <w:rFonts w:cs="FrankRuehl" w:hint="cs"/>
          <w:rtl/>
        </w:rPr>
      </w:pPr>
      <w:bookmarkStart w:id="11" w:name="Seif11"/>
      <w:bookmarkEnd w:id="11"/>
      <w:r>
        <w:rPr>
          <w:lang w:val="he-IL"/>
        </w:rPr>
        <w:pict w14:anchorId="07A26BD9">
          <v:rect id="_x0000_s1118" style="position:absolute;left:0;text-align:left;margin-left:464.5pt;margin-top:8.05pt;width:75.05pt;height:10pt;z-index:251661824" o:allowincell="f" filled="f" stroked="f" strokecolor="lime" strokeweight=".25pt">
            <v:textbox inset="0,0,0,0">
              <w:txbxContent>
                <w:p w14:paraId="55411E42" w14:textId="77777777" w:rsidR="00642120" w:rsidRDefault="005416A0" w:rsidP="00642120">
                  <w:pPr>
                    <w:spacing w:line="160" w:lineRule="exact"/>
                    <w:jc w:val="left"/>
                    <w:rPr>
                      <w:rFonts w:cs="Miriam" w:hint="cs"/>
                      <w:noProof/>
                      <w:sz w:val="18"/>
                      <w:szCs w:val="18"/>
                      <w:rtl/>
                    </w:rPr>
                  </w:pPr>
                  <w:r>
                    <w:rPr>
                      <w:rFonts w:cs="Miriam" w:hint="cs"/>
                      <w:sz w:val="18"/>
                      <w:szCs w:val="18"/>
                      <w:rtl/>
                    </w:rPr>
                    <w:t>סודיות</w:t>
                  </w:r>
                </w:p>
              </w:txbxContent>
            </v:textbox>
            <w10:anchorlock/>
          </v:rect>
        </w:pict>
      </w:r>
      <w:r>
        <w:rPr>
          <w:rStyle w:val="big-number"/>
          <w:rFonts w:cs="Miriam" w:hint="cs"/>
          <w:rtl/>
        </w:rPr>
        <w:t>1</w:t>
      </w:r>
      <w:r w:rsidR="00CC7FEC">
        <w:rPr>
          <w:rStyle w:val="big-number"/>
          <w:rFonts w:cs="Miriam" w:hint="cs"/>
          <w:rtl/>
        </w:rPr>
        <w:t>2</w:t>
      </w:r>
      <w:r>
        <w:rPr>
          <w:rStyle w:val="big-number"/>
          <w:rFonts w:cs="Miriam"/>
          <w:rtl/>
        </w:rPr>
        <w:t>.</w:t>
      </w:r>
      <w:r>
        <w:rPr>
          <w:rStyle w:val="big-number"/>
          <w:rFonts w:cs="Miriam"/>
          <w:rtl/>
        </w:rPr>
        <w:tab/>
      </w:r>
      <w:r w:rsidR="005416A0">
        <w:rPr>
          <w:rStyle w:val="default"/>
          <w:rFonts w:cs="FrankRuehl" w:hint="cs"/>
          <w:rtl/>
        </w:rPr>
        <w:t>(א)</w:t>
      </w:r>
      <w:r w:rsidR="005416A0">
        <w:rPr>
          <w:rStyle w:val="default"/>
          <w:rFonts w:cs="FrankRuehl" w:hint="cs"/>
          <w:rtl/>
        </w:rPr>
        <w:tab/>
        <w:t>המסמכים הרפואיים אשר בידי הוועדה הם סודיים, אך מותר להביאם לידי אדם אשר נזקקים לשירותו לצורך קבלת החלטה בערר.</w:t>
      </w:r>
    </w:p>
    <w:p w14:paraId="10ABEC9D" w14:textId="77777777" w:rsidR="005416A0" w:rsidRDefault="005416A0" w:rsidP="00700F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אדם שהגיע אליו מידע </w:t>
      </w:r>
      <w:r w:rsidR="00700FF2">
        <w:rPr>
          <w:rStyle w:val="default"/>
          <w:rFonts w:cs="FrankRuehl" w:hint="cs"/>
          <w:rtl/>
        </w:rPr>
        <w:t>לפי הוראות פרק זה, תוך כדי מילוי תפקידו או במהלך עבודתו, ישמרנו בסוד, לא יגלה אותו לאחר ולא יעשה בו כל שימוש, אלא לפי הוראות פרק זה או אם הותר הדבר לפי כל דין אחר.</w:t>
      </w:r>
    </w:p>
    <w:p w14:paraId="2EA10C51" w14:textId="77777777" w:rsidR="00642120" w:rsidRDefault="00642120" w:rsidP="00700FF2">
      <w:pPr>
        <w:pStyle w:val="P00"/>
        <w:spacing w:before="72"/>
        <w:ind w:left="0" w:right="1134"/>
        <w:rPr>
          <w:rStyle w:val="default"/>
          <w:rFonts w:cs="FrankRuehl" w:hint="cs"/>
          <w:rtl/>
        </w:rPr>
      </w:pPr>
      <w:bookmarkStart w:id="12" w:name="Seif12"/>
      <w:bookmarkEnd w:id="12"/>
      <w:r>
        <w:rPr>
          <w:lang w:val="he-IL"/>
        </w:rPr>
        <w:pict w14:anchorId="7D102A30">
          <v:rect id="_x0000_s1119" style="position:absolute;left:0;text-align:left;margin-left:464.5pt;margin-top:8.05pt;width:75.05pt;height:9.85pt;z-index:251662848" o:allowincell="f" filled="f" stroked="f" strokecolor="lime" strokeweight=".25pt">
            <v:textbox inset="0,0,0,0">
              <w:txbxContent>
                <w:p w14:paraId="43CA7F9C" w14:textId="77777777" w:rsidR="00642120" w:rsidRDefault="00700FF2" w:rsidP="00642120">
                  <w:pPr>
                    <w:spacing w:line="160" w:lineRule="exact"/>
                    <w:jc w:val="left"/>
                    <w:rPr>
                      <w:rFonts w:cs="Miriam" w:hint="cs"/>
                      <w:noProof/>
                      <w:sz w:val="18"/>
                      <w:szCs w:val="18"/>
                      <w:rtl/>
                    </w:rPr>
                  </w:pPr>
                  <w:r>
                    <w:rPr>
                      <w:rFonts w:cs="Miriam" w:hint="cs"/>
                      <w:sz w:val="18"/>
                      <w:szCs w:val="18"/>
                      <w:rtl/>
                    </w:rPr>
                    <w:t>איסור ניגוד עניינים</w:t>
                  </w:r>
                </w:p>
              </w:txbxContent>
            </v:textbox>
            <w10:anchorlock/>
          </v:rect>
        </w:pict>
      </w:r>
      <w:r>
        <w:rPr>
          <w:rStyle w:val="big-number"/>
          <w:rFonts w:cs="Miriam" w:hint="cs"/>
          <w:rtl/>
        </w:rPr>
        <w:t>1</w:t>
      </w:r>
      <w:r w:rsidR="00CC7FEC">
        <w:rPr>
          <w:rStyle w:val="big-number"/>
          <w:rFonts w:cs="Miriam" w:hint="cs"/>
          <w:rtl/>
        </w:rPr>
        <w:t>3</w:t>
      </w:r>
      <w:r>
        <w:rPr>
          <w:rStyle w:val="big-number"/>
          <w:rFonts w:cs="Miriam"/>
          <w:rtl/>
        </w:rPr>
        <w:t>.</w:t>
      </w:r>
      <w:r>
        <w:rPr>
          <w:rStyle w:val="big-number"/>
          <w:rFonts w:cs="Miriam"/>
          <w:rtl/>
        </w:rPr>
        <w:tab/>
      </w:r>
      <w:r w:rsidR="00700FF2">
        <w:rPr>
          <w:rStyle w:val="default"/>
          <w:rFonts w:cs="FrankRuehl" w:hint="cs"/>
          <w:rtl/>
        </w:rPr>
        <w:t xml:space="preserve">תאגיד או אדם הנותן שירותי סיעוד לפי סעיף 225 לחוק, לא יהיה נוכח בדיוני ועדת ערר לפי תקנות אלה (להלן </w:t>
      </w:r>
      <w:r w:rsidR="00700FF2">
        <w:rPr>
          <w:rStyle w:val="default"/>
          <w:rFonts w:cs="FrankRuehl"/>
          <w:rtl/>
        </w:rPr>
        <w:t>–</w:t>
      </w:r>
      <w:r w:rsidR="00700FF2">
        <w:rPr>
          <w:rStyle w:val="default"/>
          <w:rFonts w:cs="FrankRuehl" w:hint="cs"/>
          <w:rtl/>
        </w:rPr>
        <w:t xml:space="preserve"> ועדת ערר), לא יהיה חבר בוועדת ערר ולא יעניק לחברי ועדת העררף לעובדיה ולמי שנותן לה שירות, כל הטבה או תגמול, בכסף או בשווה כסף, במישרין או בעקיפין; בסעיף זה </w:t>
      </w:r>
      <w:r w:rsidR="00700FF2">
        <w:rPr>
          <w:rStyle w:val="default"/>
          <w:rFonts w:cs="FrankRuehl"/>
          <w:rtl/>
        </w:rPr>
        <w:t>–</w:t>
      </w:r>
    </w:p>
    <w:p w14:paraId="73624BA0" w14:textId="77777777" w:rsidR="00700FF2" w:rsidRDefault="00700FF2" w:rsidP="00700FF2">
      <w:pPr>
        <w:pStyle w:val="P00"/>
        <w:spacing w:before="72"/>
        <w:ind w:left="0" w:right="1134"/>
        <w:rPr>
          <w:rStyle w:val="default"/>
          <w:rFonts w:cs="FrankRuehl" w:hint="cs"/>
          <w:rtl/>
        </w:rPr>
      </w:pPr>
      <w:r>
        <w:rPr>
          <w:rStyle w:val="default"/>
          <w:rFonts w:cs="FrankRuehl" w:hint="cs"/>
          <w:rtl/>
        </w:rPr>
        <w:tab/>
        <w:t xml:space="preserve">"תאגיד" </w:t>
      </w:r>
      <w:r>
        <w:rPr>
          <w:rStyle w:val="default"/>
          <w:rFonts w:cs="FrankRuehl"/>
          <w:rtl/>
        </w:rPr>
        <w:t>–</w:t>
      </w:r>
      <w:r>
        <w:rPr>
          <w:rStyle w:val="default"/>
          <w:rFonts w:cs="FrankRuehl" w:hint="cs"/>
          <w:rtl/>
        </w:rPr>
        <w:t xml:space="preserve"> לרבות בעל זיקה או בעל שליטה בו, עובדו, ולרבות בן משפחה של כל אחד מאלה;</w:t>
      </w:r>
    </w:p>
    <w:p w14:paraId="1CFC2EEA" w14:textId="77777777" w:rsidR="00700FF2" w:rsidRDefault="00700FF2" w:rsidP="00700FF2">
      <w:pPr>
        <w:pStyle w:val="P00"/>
        <w:spacing w:before="72"/>
        <w:ind w:left="0" w:right="1134"/>
        <w:rPr>
          <w:rStyle w:val="default"/>
          <w:rFonts w:cs="FrankRuehl" w:hint="cs"/>
          <w:rtl/>
        </w:rPr>
      </w:pPr>
      <w:r>
        <w:rPr>
          <w:rStyle w:val="default"/>
          <w:rFonts w:cs="FrankRuehl" w:hint="cs"/>
          <w:rtl/>
        </w:rPr>
        <w:tab/>
        <w:t xml:space="preserve">"בן משפחה" </w:t>
      </w:r>
      <w:r>
        <w:rPr>
          <w:rStyle w:val="default"/>
          <w:rFonts w:cs="FrankRuehl"/>
          <w:rtl/>
        </w:rPr>
        <w:t>–</w:t>
      </w:r>
      <w:r>
        <w:rPr>
          <w:rStyle w:val="default"/>
          <w:rFonts w:cs="FrankRuehl" w:hint="cs"/>
          <w:rtl/>
        </w:rPr>
        <w:t xml:space="preserve"> הורה, בן זוג, אח, אחות, בן, בת, גיס, גיסה, הוריהם, ילדיהם ובני זוגם של כל אחד מאלה;</w:t>
      </w:r>
    </w:p>
    <w:p w14:paraId="11A08F2B" w14:textId="77777777" w:rsidR="00700FF2" w:rsidRDefault="00700FF2" w:rsidP="00700FF2">
      <w:pPr>
        <w:pStyle w:val="P00"/>
        <w:spacing w:before="72"/>
        <w:ind w:left="0" w:right="1134"/>
        <w:rPr>
          <w:rStyle w:val="default"/>
          <w:rFonts w:cs="FrankRuehl" w:hint="cs"/>
          <w:rtl/>
        </w:rPr>
      </w:pPr>
      <w:r>
        <w:rPr>
          <w:rStyle w:val="default"/>
          <w:rFonts w:cs="FrankRuehl" w:hint="cs"/>
          <w:rtl/>
        </w:rPr>
        <w:tab/>
        <w:t xml:space="preserve">"בעל זיקה" </w:t>
      </w:r>
      <w:r>
        <w:rPr>
          <w:rStyle w:val="default"/>
          <w:rFonts w:cs="FrankRuehl"/>
          <w:rtl/>
        </w:rPr>
        <w:t>–</w:t>
      </w:r>
      <w:r>
        <w:rPr>
          <w:rStyle w:val="default"/>
          <w:rFonts w:cs="FrankRuehl" w:hint="cs"/>
          <w:rtl/>
        </w:rPr>
        <w:t xml:space="preserve"> לרבות מי שנשלט בידי התאגיד, בעל השליטה בתאגיד וכן תאגיד אחר שנשלט בידי בעל השליטה בתאגיד;</w:t>
      </w:r>
    </w:p>
    <w:p w14:paraId="57A11506" w14:textId="77777777" w:rsidR="00700FF2" w:rsidRDefault="00700FF2" w:rsidP="00700FF2">
      <w:pPr>
        <w:pStyle w:val="P00"/>
        <w:spacing w:before="72"/>
        <w:ind w:left="0" w:right="1134"/>
        <w:rPr>
          <w:rStyle w:val="default"/>
          <w:rFonts w:cs="FrankRuehl"/>
          <w:rtl/>
        </w:rPr>
      </w:pPr>
      <w:r>
        <w:rPr>
          <w:rStyle w:val="default"/>
          <w:rFonts w:cs="FrankRuehl" w:hint="cs"/>
          <w:rtl/>
        </w:rPr>
        <w:tab/>
        <w:t xml:space="preserve">"שליטה" </w:t>
      </w:r>
      <w:r>
        <w:rPr>
          <w:rStyle w:val="default"/>
          <w:rFonts w:cs="FrankRuehl"/>
          <w:rtl/>
        </w:rPr>
        <w:t>–</w:t>
      </w:r>
      <w:r>
        <w:rPr>
          <w:rStyle w:val="default"/>
          <w:rFonts w:cs="FrankRuehl" w:hint="cs"/>
          <w:rtl/>
        </w:rPr>
        <w:t xml:space="preserve"> כמשמעותה בחוק הבנקאות (רישוי), התשמ"א-1981.</w:t>
      </w:r>
    </w:p>
    <w:p w14:paraId="59B06E0E" w14:textId="77777777" w:rsidR="00642120" w:rsidRDefault="00642120" w:rsidP="00700FF2">
      <w:pPr>
        <w:pStyle w:val="P00"/>
        <w:spacing w:before="72"/>
        <w:ind w:left="0" w:right="1134"/>
        <w:rPr>
          <w:rStyle w:val="default"/>
          <w:rFonts w:cs="FrankRuehl" w:hint="cs"/>
          <w:rtl/>
        </w:rPr>
      </w:pPr>
      <w:bookmarkStart w:id="13" w:name="Seif13"/>
      <w:bookmarkEnd w:id="13"/>
      <w:r>
        <w:rPr>
          <w:lang w:val="he-IL"/>
        </w:rPr>
        <w:pict w14:anchorId="702F62C7">
          <v:rect id="_x0000_s1120" style="position:absolute;left:0;text-align:left;margin-left:464.5pt;margin-top:8.05pt;width:75.05pt;height:10pt;z-index:251663872" o:allowincell="f" filled="f" stroked="f" strokecolor="lime" strokeweight=".25pt">
            <v:textbox inset="0,0,0,0">
              <w:txbxContent>
                <w:p w14:paraId="5E9BE499" w14:textId="77777777" w:rsidR="00642120" w:rsidRDefault="00700FF2" w:rsidP="00642120">
                  <w:pPr>
                    <w:spacing w:line="160" w:lineRule="exact"/>
                    <w:jc w:val="left"/>
                    <w:rPr>
                      <w:rFonts w:cs="Miriam" w:hint="cs"/>
                      <w:noProof/>
                      <w:sz w:val="18"/>
                      <w:szCs w:val="18"/>
                      <w:rtl/>
                    </w:rPr>
                  </w:pPr>
                  <w:r>
                    <w:rPr>
                      <w:rFonts w:cs="Miriam" w:hint="cs"/>
                      <w:sz w:val="18"/>
                      <w:szCs w:val="18"/>
                      <w:rtl/>
                    </w:rPr>
                    <w:t>אחריות פלילית</w:t>
                  </w:r>
                </w:p>
              </w:txbxContent>
            </v:textbox>
            <w10:anchorlock/>
          </v:rect>
        </w:pict>
      </w:r>
      <w:r>
        <w:rPr>
          <w:rStyle w:val="big-number"/>
          <w:rFonts w:cs="Miriam" w:hint="cs"/>
          <w:rtl/>
        </w:rPr>
        <w:t>1</w:t>
      </w:r>
      <w:r w:rsidR="00720039">
        <w:rPr>
          <w:rStyle w:val="big-number"/>
          <w:rFonts w:cs="Miriam" w:hint="cs"/>
          <w:rtl/>
        </w:rPr>
        <w:t>4</w:t>
      </w:r>
      <w:r>
        <w:rPr>
          <w:rStyle w:val="big-number"/>
          <w:rFonts w:cs="Miriam"/>
          <w:rtl/>
        </w:rPr>
        <w:t>.</w:t>
      </w:r>
      <w:r>
        <w:rPr>
          <w:rStyle w:val="big-number"/>
          <w:rFonts w:cs="Miriam"/>
          <w:rtl/>
        </w:rPr>
        <w:tab/>
      </w:r>
      <w:r w:rsidR="00720039">
        <w:rPr>
          <w:rStyle w:val="default"/>
          <w:rFonts w:cs="FrankRuehl" w:hint="cs"/>
          <w:rtl/>
        </w:rPr>
        <w:t xml:space="preserve">אין </w:t>
      </w:r>
      <w:r w:rsidR="00700FF2">
        <w:rPr>
          <w:rStyle w:val="default"/>
          <w:rFonts w:cs="FrankRuehl" w:hint="cs"/>
          <w:rtl/>
        </w:rPr>
        <w:t>באמור בהוראות תקנות 11 ו-12 כדי להטיל אחריות פלילית</w:t>
      </w:r>
      <w:r w:rsidR="00720039">
        <w:rPr>
          <w:rStyle w:val="default"/>
          <w:rFonts w:cs="FrankRuehl" w:hint="cs"/>
          <w:rtl/>
        </w:rPr>
        <w:t>.</w:t>
      </w:r>
    </w:p>
    <w:p w14:paraId="607AF7FC" w14:textId="77777777" w:rsidR="00642120" w:rsidRDefault="00642120" w:rsidP="00700FF2">
      <w:pPr>
        <w:pStyle w:val="P00"/>
        <w:spacing w:before="72"/>
        <w:ind w:left="0" w:right="1134"/>
        <w:rPr>
          <w:rStyle w:val="default"/>
          <w:rFonts w:cs="FrankRuehl" w:hint="cs"/>
          <w:rtl/>
        </w:rPr>
      </w:pPr>
      <w:bookmarkStart w:id="14" w:name="Seif14"/>
      <w:bookmarkEnd w:id="14"/>
      <w:r>
        <w:rPr>
          <w:lang w:val="he-IL"/>
        </w:rPr>
        <w:pict w14:anchorId="64ED697F">
          <v:rect id="_x0000_s1121" style="position:absolute;left:0;text-align:left;margin-left:464.5pt;margin-top:8.05pt;width:75.05pt;height:10pt;z-index:251664896" o:allowincell="f" filled="f" stroked="f" strokecolor="lime" strokeweight=".25pt">
            <v:textbox inset="0,0,0,0">
              <w:txbxContent>
                <w:p w14:paraId="68274939" w14:textId="77777777" w:rsidR="00642120" w:rsidRDefault="00700FF2" w:rsidP="00642120">
                  <w:pPr>
                    <w:spacing w:line="160" w:lineRule="exact"/>
                    <w:jc w:val="lef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1</w:t>
      </w:r>
      <w:r w:rsidR="00720039">
        <w:rPr>
          <w:rStyle w:val="big-number"/>
          <w:rFonts w:cs="Miriam" w:hint="cs"/>
          <w:rtl/>
        </w:rPr>
        <w:t>5</w:t>
      </w:r>
      <w:r>
        <w:rPr>
          <w:rStyle w:val="big-number"/>
          <w:rFonts w:cs="Miriam"/>
          <w:rtl/>
        </w:rPr>
        <w:t>.</w:t>
      </w:r>
      <w:r>
        <w:rPr>
          <w:rStyle w:val="big-number"/>
          <w:rFonts w:cs="Miriam"/>
          <w:rtl/>
        </w:rPr>
        <w:tab/>
      </w:r>
      <w:r w:rsidR="00700FF2">
        <w:rPr>
          <w:rStyle w:val="default"/>
          <w:rFonts w:cs="FrankRuehl" w:hint="cs"/>
          <w:rtl/>
        </w:rPr>
        <w:t>תקנות אלה יחולו על ערר שהוגש ביום תחילתן ואילך</w:t>
      </w:r>
      <w:r w:rsidR="00720039">
        <w:rPr>
          <w:rStyle w:val="default"/>
          <w:rFonts w:cs="FrankRuehl" w:hint="cs"/>
          <w:rtl/>
        </w:rPr>
        <w:t>.</w:t>
      </w:r>
    </w:p>
    <w:p w14:paraId="688863C6" w14:textId="77777777" w:rsidR="00642120" w:rsidRDefault="00642120" w:rsidP="00431CAA">
      <w:pPr>
        <w:pStyle w:val="P00"/>
        <w:spacing w:before="72"/>
        <w:ind w:left="0" w:right="1134"/>
        <w:rPr>
          <w:rStyle w:val="default"/>
          <w:rFonts w:cs="FrankRuehl" w:hint="cs"/>
          <w:rtl/>
        </w:rPr>
      </w:pPr>
    </w:p>
    <w:p w14:paraId="53688BFA" w14:textId="77777777" w:rsidR="00D25D5C" w:rsidRDefault="00D25D5C" w:rsidP="00431CAA">
      <w:pPr>
        <w:pStyle w:val="P00"/>
        <w:spacing w:before="72"/>
        <w:ind w:left="0" w:right="1134"/>
        <w:rPr>
          <w:rStyle w:val="default"/>
          <w:rFonts w:cs="FrankRuehl"/>
          <w:rtl/>
        </w:rPr>
      </w:pPr>
    </w:p>
    <w:p w14:paraId="6CCEE8FC" w14:textId="77777777" w:rsidR="00C34AA6" w:rsidRDefault="00700FF2" w:rsidP="00700FF2">
      <w:pPr>
        <w:pStyle w:val="sig-0"/>
        <w:tabs>
          <w:tab w:val="clear" w:pos="4820"/>
          <w:tab w:val="center" w:pos="5103"/>
        </w:tabs>
        <w:ind w:left="0" w:right="1134"/>
        <w:rPr>
          <w:rFonts w:cs="FrankRuehl" w:hint="cs"/>
          <w:sz w:val="26"/>
          <w:rtl/>
        </w:rPr>
      </w:pPr>
      <w:r>
        <w:rPr>
          <w:rFonts w:cs="FrankRuehl" w:hint="cs"/>
          <w:sz w:val="26"/>
          <w:rtl/>
        </w:rPr>
        <w:t>י"ח בסיוון התשס"ט (10 ביוני 2009)</w:t>
      </w:r>
      <w:r w:rsidR="00C34AA6">
        <w:rPr>
          <w:rFonts w:cs="FrankRuehl" w:hint="cs"/>
          <w:sz w:val="26"/>
          <w:rtl/>
        </w:rPr>
        <w:tab/>
      </w:r>
      <w:r>
        <w:rPr>
          <w:rFonts w:cs="FrankRuehl" w:hint="cs"/>
          <w:sz w:val="26"/>
          <w:rtl/>
        </w:rPr>
        <w:t>יצחק הרצוג</w:t>
      </w:r>
    </w:p>
    <w:p w14:paraId="58CCEC5A" w14:textId="77777777" w:rsidR="00C34AA6" w:rsidRDefault="00C34AA6" w:rsidP="00700FF2">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700FF2">
        <w:rPr>
          <w:rFonts w:cs="FrankRuehl" w:hint="cs"/>
          <w:sz w:val="22"/>
          <w:rtl/>
        </w:rPr>
        <w:t>שר הרווחה והשירותים החברתיים</w:t>
      </w:r>
    </w:p>
    <w:p w14:paraId="48942C9C" w14:textId="77777777" w:rsidR="004F32A4" w:rsidRDefault="004F32A4" w:rsidP="00927A15">
      <w:pPr>
        <w:pStyle w:val="P00"/>
        <w:spacing w:before="72"/>
        <w:ind w:left="0" w:right="1134"/>
        <w:rPr>
          <w:rStyle w:val="default"/>
          <w:rFonts w:cs="FrankRuehl" w:hint="cs"/>
          <w:rtl/>
        </w:rPr>
      </w:pPr>
    </w:p>
    <w:p w14:paraId="7780366F" w14:textId="77777777" w:rsidR="00927A15" w:rsidRDefault="00927A15" w:rsidP="00927A15">
      <w:pPr>
        <w:pStyle w:val="P00"/>
        <w:spacing w:before="72"/>
        <w:ind w:left="0" w:right="1134"/>
        <w:rPr>
          <w:rStyle w:val="default"/>
          <w:rFonts w:cs="FrankRuehl" w:hint="cs"/>
          <w:rtl/>
        </w:rPr>
      </w:pPr>
    </w:p>
    <w:p w14:paraId="0CB53165" w14:textId="77777777" w:rsidR="000916AA" w:rsidRDefault="000916AA" w:rsidP="00927A15">
      <w:pPr>
        <w:pStyle w:val="P00"/>
        <w:spacing w:before="72"/>
        <w:ind w:left="0" w:right="1134"/>
        <w:rPr>
          <w:rStyle w:val="default"/>
          <w:rFonts w:cs="FrankRuehl"/>
          <w:rtl/>
        </w:rPr>
      </w:pPr>
    </w:p>
    <w:p w14:paraId="1E34A6EA" w14:textId="77777777" w:rsidR="000916AA" w:rsidRDefault="000916AA" w:rsidP="00927A15">
      <w:pPr>
        <w:pStyle w:val="P00"/>
        <w:spacing w:before="72"/>
        <w:ind w:left="0" w:right="1134"/>
        <w:rPr>
          <w:rStyle w:val="default"/>
          <w:rFonts w:cs="FrankRuehl"/>
          <w:rtl/>
        </w:rPr>
      </w:pPr>
    </w:p>
    <w:p w14:paraId="64F433D3" w14:textId="77777777" w:rsidR="000916AA" w:rsidRDefault="000916AA" w:rsidP="000916AA">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0775172C" w14:textId="77777777" w:rsidR="004C222B" w:rsidRDefault="004C222B" w:rsidP="000916AA">
      <w:pPr>
        <w:pStyle w:val="P00"/>
        <w:spacing w:before="72"/>
        <w:ind w:left="0" w:right="1134"/>
        <w:jc w:val="center"/>
        <w:rPr>
          <w:rStyle w:val="default"/>
          <w:rFonts w:cs="David"/>
          <w:color w:val="0000FF"/>
          <w:szCs w:val="24"/>
          <w:u w:val="single"/>
          <w:rtl/>
        </w:rPr>
      </w:pPr>
    </w:p>
    <w:p w14:paraId="3206AD94" w14:textId="77777777" w:rsidR="004C222B" w:rsidRDefault="004C222B" w:rsidP="000916AA">
      <w:pPr>
        <w:pStyle w:val="P00"/>
        <w:spacing w:before="72"/>
        <w:ind w:left="0" w:right="1134"/>
        <w:jc w:val="center"/>
        <w:rPr>
          <w:rStyle w:val="default"/>
          <w:rFonts w:cs="David"/>
          <w:color w:val="0000FF"/>
          <w:szCs w:val="24"/>
          <w:u w:val="single"/>
          <w:rtl/>
        </w:rPr>
      </w:pPr>
    </w:p>
    <w:p w14:paraId="453DE241" w14:textId="77777777" w:rsidR="004C222B" w:rsidRDefault="004C222B" w:rsidP="004C222B">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14:paraId="721DA922" w14:textId="77777777" w:rsidR="00927A15" w:rsidRPr="004C222B" w:rsidRDefault="00927A15" w:rsidP="004C222B">
      <w:pPr>
        <w:pStyle w:val="P00"/>
        <w:spacing w:before="72"/>
        <w:ind w:left="0" w:right="1134"/>
        <w:jc w:val="center"/>
        <w:rPr>
          <w:rStyle w:val="default"/>
          <w:rFonts w:cs="David" w:hint="cs"/>
          <w:color w:val="0000FF"/>
          <w:szCs w:val="24"/>
          <w:u w:val="single"/>
          <w:rtl/>
        </w:rPr>
      </w:pPr>
    </w:p>
    <w:sectPr w:rsidR="00927A15" w:rsidRPr="004C222B">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185FC" w14:textId="77777777" w:rsidR="00BE16F9" w:rsidRDefault="00BE16F9">
      <w:r>
        <w:separator/>
      </w:r>
    </w:p>
  </w:endnote>
  <w:endnote w:type="continuationSeparator" w:id="0">
    <w:p w14:paraId="318B2E4E" w14:textId="77777777" w:rsidR="00BE16F9" w:rsidRDefault="00BE1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532C8" w14:textId="77777777"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789EB6A" w14:textId="77777777"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14:paraId="5119034B" w14:textId="77777777"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C222B">
      <w:rPr>
        <w:rFonts w:cs="TopType Jerushalmi"/>
        <w:noProof/>
        <w:color w:val="000000"/>
        <w:sz w:val="14"/>
        <w:szCs w:val="14"/>
      </w:rPr>
      <w:t>Z:\00000000000000000000000=2014------------------------\05-May\2014-05-28\LawsForHofit\01\500_171.doc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7F3D9" w14:textId="77777777"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C222B">
      <w:rPr>
        <w:rFonts w:hAnsi="FrankRuehl" w:cs="FrankRuehl"/>
        <w:noProof/>
        <w:sz w:val="24"/>
        <w:szCs w:val="24"/>
        <w:rtl/>
      </w:rPr>
      <w:t>4</w:t>
    </w:r>
    <w:r>
      <w:rPr>
        <w:rFonts w:hAnsi="FrankRuehl" w:cs="FrankRuehl"/>
        <w:sz w:val="24"/>
        <w:szCs w:val="24"/>
        <w:rtl/>
      </w:rPr>
      <w:fldChar w:fldCharType="end"/>
    </w:r>
  </w:p>
  <w:p w14:paraId="1CB2BB41" w14:textId="77777777"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tl/>
      </w:rPr>
      <w:t xml:space="preserve"> </w:t>
    </w:r>
    <w:r>
      <w:rPr>
        <w:rFonts w:cs="TopType Jerushalmi"/>
        <w:color w:val="000000"/>
        <w:sz w:val="28"/>
        <w:szCs w:val="22"/>
      </w:rPr>
      <w:t>nevo.co.il</w:t>
    </w:r>
    <w:r>
      <w:rPr>
        <w:rFonts w:cs="Times New Roman"/>
        <w:color w:val="000000"/>
        <w:sz w:val="28"/>
        <w:szCs w:val="22"/>
        <w:rtl/>
      </w:rPr>
      <w:t xml:space="preserve">   המאגר המשפטי הישראלי</w:t>
    </w:r>
  </w:p>
  <w:p w14:paraId="0FC663EA" w14:textId="77777777"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C222B">
      <w:rPr>
        <w:rFonts w:cs="TopType Jerushalmi"/>
        <w:noProof/>
        <w:color w:val="000000"/>
        <w:sz w:val="14"/>
        <w:szCs w:val="14"/>
      </w:rPr>
      <w:t>Z:\00000000000000000000000=2014------------------------\05-May\2014-05-28\LawsForHofit\01\500_171.doc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51B10" w14:textId="77777777" w:rsidR="00BE16F9" w:rsidRDefault="00BE16F9" w:rsidP="007C57AA">
      <w:pPr>
        <w:spacing w:before="60" w:line="240" w:lineRule="auto"/>
        <w:ind w:right="1134"/>
      </w:pPr>
      <w:r>
        <w:separator/>
      </w:r>
    </w:p>
  </w:footnote>
  <w:footnote w:type="continuationSeparator" w:id="0">
    <w:p w14:paraId="169A73DE" w14:textId="77777777" w:rsidR="00BE16F9" w:rsidRDefault="00BE16F9">
      <w:pPr>
        <w:spacing w:before="60"/>
        <w:ind w:right="1134"/>
      </w:pPr>
      <w:r>
        <w:separator/>
      </w:r>
    </w:p>
  </w:footnote>
  <w:footnote w:id="1">
    <w:p w14:paraId="0F480E65" w14:textId="77777777" w:rsidR="0015280B" w:rsidRDefault="00904EEA" w:rsidP="001528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0E6E54">
        <w:rPr>
          <w:rFonts w:cs="FrankRuehl" w:hint="cs"/>
          <w:rtl/>
        </w:rPr>
        <w:t>פורסם</w:t>
      </w:r>
      <w:r w:rsidR="008C2526">
        <w:rPr>
          <w:rFonts w:cs="FrankRuehl" w:hint="cs"/>
          <w:rtl/>
        </w:rPr>
        <w:t xml:space="preserve"> </w:t>
      </w:r>
      <w:hyperlink r:id="rId1" w:history="1">
        <w:r w:rsidR="007C57AA" w:rsidRPr="0015280B">
          <w:rPr>
            <w:rStyle w:val="Hyperlink"/>
            <w:rFonts w:cs="FrankRuehl" w:hint="cs"/>
            <w:rtl/>
          </w:rPr>
          <w:t>ק"ת תשס"ט מס' 6786</w:t>
        </w:r>
      </w:hyperlink>
      <w:r w:rsidR="007C57AA">
        <w:rPr>
          <w:rFonts w:cs="FrankRuehl" w:hint="cs"/>
          <w:rtl/>
        </w:rPr>
        <w:t xml:space="preserve"> מיום 24.6.2009 עמ' 1030</w:t>
      </w:r>
      <w:r w:rsidR="008C2526">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3E5C0" w14:textId="77777777" w:rsidR="00904EEA" w:rsidRDefault="00904EE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221AB92"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0C0026B"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E8263" w14:textId="77777777" w:rsidR="00904EEA" w:rsidRDefault="007C57AA" w:rsidP="0064212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הביטוח הלאומי (ביטוח סיעוד) (ועדות עררים</w:t>
    </w:r>
    <w:r w:rsidR="004555FD">
      <w:rPr>
        <w:rFonts w:hAnsi="FrankRuehl" w:cs="FrankRuehl" w:hint="cs"/>
        <w:color w:val="000000"/>
        <w:sz w:val="28"/>
        <w:szCs w:val="28"/>
        <w:rtl/>
      </w:rPr>
      <w:t>)</w:t>
    </w:r>
    <w:r w:rsidR="008C2526">
      <w:rPr>
        <w:rFonts w:hAnsi="FrankRuehl" w:cs="FrankRuehl" w:hint="cs"/>
        <w:color w:val="000000"/>
        <w:sz w:val="28"/>
        <w:szCs w:val="28"/>
        <w:rtl/>
      </w:rPr>
      <w:t>, תשס"ט-2009</w:t>
    </w:r>
  </w:p>
  <w:p w14:paraId="24DCC2B1"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425D904"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807086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201C8"/>
    <w:rsid w:val="00046B7F"/>
    <w:rsid w:val="000619D9"/>
    <w:rsid w:val="00064468"/>
    <w:rsid w:val="000916AA"/>
    <w:rsid w:val="000948CA"/>
    <w:rsid w:val="000D7097"/>
    <w:rsid w:val="000D7FBE"/>
    <w:rsid w:val="000E6E54"/>
    <w:rsid w:val="0010753D"/>
    <w:rsid w:val="0011023A"/>
    <w:rsid w:val="00112119"/>
    <w:rsid w:val="00122C2E"/>
    <w:rsid w:val="001275F0"/>
    <w:rsid w:val="0015280B"/>
    <w:rsid w:val="0015691B"/>
    <w:rsid w:val="00186445"/>
    <w:rsid w:val="001C4AB6"/>
    <w:rsid w:val="001E0FA8"/>
    <w:rsid w:val="002216B6"/>
    <w:rsid w:val="002538D4"/>
    <w:rsid w:val="002C7187"/>
    <w:rsid w:val="002E3E60"/>
    <w:rsid w:val="0033559B"/>
    <w:rsid w:val="00342C78"/>
    <w:rsid w:val="003528CA"/>
    <w:rsid w:val="003A23D8"/>
    <w:rsid w:val="003E74D6"/>
    <w:rsid w:val="003F5C71"/>
    <w:rsid w:val="0041737A"/>
    <w:rsid w:val="00431812"/>
    <w:rsid w:val="00431CAA"/>
    <w:rsid w:val="004355B4"/>
    <w:rsid w:val="004555FD"/>
    <w:rsid w:val="00460500"/>
    <w:rsid w:val="00484974"/>
    <w:rsid w:val="00490D4B"/>
    <w:rsid w:val="004C222B"/>
    <w:rsid w:val="004C3C1F"/>
    <w:rsid w:val="004F31AA"/>
    <w:rsid w:val="004F32A4"/>
    <w:rsid w:val="004F512C"/>
    <w:rsid w:val="005416A0"/>
    <w:rsid w:val="00574BC7"/>
    <w:rsid w:val="005A4835"/>
    <w:rsid w:val="005C17DB"/>
    <w:rsid w:val="005E3B35"/>
    <w:rsid w:val="005E7167"/>
    <w:rsid w:val="00635CB5"/>
    <w:rsid w:val="00640B97"/>
    <w:rsid w:val="00642120"/>
    <w:rsid w:val="006849D8"/>
    <w:rsid w:val="00687666"/>
    <w:rsid w:val="00700FF2"/>
    <w:rsid w:val="00720039"/>
    <w:rsid w:val="0076254E"/>
    <w:rsid w:val="0078071F"/>
    <w:rsid w:val="007B6045"/>
    <w:rsid w:val="007C0B21"/>
    <w:rsid w:val="007C57AA"/>
    <w:rsid w:val="008159FF"/>
    <w:rsid w:val="00852A6C"/>
    <w:rsid w:val="0085655A"/>
    <w:rsid w:val="0086107A"/>
    <w:rsid w:val="0087771D"/>
    <w:rsid w:val="0089792E"/>
    <w:rsid w:val="008A638E"/>
    <w:rsid w:val="008C2526"/>
    <w:rsid w:val="008E367E"/>
    <w:rsid w:val="00904EEA"/>
    <w:rsid w:val="00906581"/>
    <w:rsid w:val="00927A15"/>
    <w:rsid w:val="00955AC8"/>
    <w:rsid w:val="009C2916"/>
    <w:rsid w:val="009D5001"/>
    <w:rsid w:val="009E2AAC"/>
    <w:rsid w:val="00A10AE2"/>
    <w:rsid w:val="00A141C3"/>
    <w:rsid w:val="00A14F70"/>
    <w:rsid w:val="00A42C95"/>
    <w:rsid w:val="00A9239A"/>
    <w:rsid w:val="00AC7B1B"/>
    <w:rsid w:val="00B17AF7"/>
    <w:rsid w:val="00B62BCF"/>
    <w:rsid w:val="00B8400A"/>
    <w:rsid w:val="00B84C6D"/>
    <w:rsid w:val="00B87DA4"/>
    <w:rsid w:val="00BE03B7"/>
    <w:rsid w:val="00BE16F9"/>
    <w:rsid w:val="00BF580C"/>
    <w:rsid w:val="00C17A30"/>
    <w:rsid w:val="00C34AA6"/>
    <w:rsid w:val="00C53230"/>
    <w:rsid w:val="00C6067A"/>
    <w:rsid w:val="00CA174A"/>
    <w:rsid w:val="00CC7FEC"/>
    <w:rsid w:val="00CD6719"/>
    <w:rsid w:val="00CF6FF6"/>
    <w:rsid w:val="00D10BBD"/>
    <w:rsid w:val="00D25D5C"/>
    <w:rsid w:val="00D3243E"/>
    <w:rsid w:val="00D33D4D"/>
    <w:rsid w:val="00D4088D"/>
    <w:rsid w:val="00D5121D"/>
    <w:rsid w:val="00D55EBB"/>
    <w:rsid w:val="00D714B8"/>
    <w:rsid w:val="00D909F6"/>
    <w:rsid w:val="00DF1462"/>
    <w:rsid w:val="00E24668"/>
    <w:rsid w:val="00E7431C"/>
    <w:rsid w:val="00E967BF"/>
    <w:rsid w:val="00EA5EE1"/>
    <w:rsid w:val="00ED50FD"/>
    <w:rsid w:val="00EE528E"/>
    <w:rsid w:val="00EE70B6"/>
    <w:rsid w:val="00EF1C64"/>
    <w:rsid w:val="00F6207C"/>
    <w:rsid w:val="00F67F6D"/>
    <w:rsid w:val="00F810E4"/>
    <w:rsid w:val="00F87D85"/>
    <w:rsid w:val="00F97644"/>
    <w:rsid w:val="00FA1FFE"/>
    <w:rsid w:val="00FB27A7"/>
    <w:rsid w:val="00FE7F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974BAEC"/>
  <w15:chartTrackingRefBased/>
  <w15:docId w15:val="{B4356BFB-9BFB-44FE-9D35-32B716DA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78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961</Words>
  <Characters>5479</Characters>
  <Application>Microsoft Office Word</Application>
  <DocSecurity>0</DocSecurity>
  <Lines>45</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255</vt:lpstr>
      <vt:lpstr>פרק 255</vt:lpstr>
    </vt:vector>
  </TitlesOfParts>
  <Company/>
  <LinksUpToDate>false</LinksUpToDate>
  <CharactersWithSpaces>6428</CharactersWithSpaces>
  <SharedDoc>false</SharedDoc>
  <HLinks>
    <vt:vector size="108" baseType="variant">
      <vt:variant>
        <vt:i4>393283</vt:i4>
      </vt:variant>
      <vt:variant>
        <vt:i4>93</vt:i4>
      </vt:variant>
      <vt:variant>
        <vt:i4>0</vt:i4>
      </vt:variant>
      <vt:variant>
        <vt:i4>5</vt:i4>
      </vt:variant>
      <vt:variant>
        <vt:lpwstr>http://www.nevo.co.il/advertisements/nevo-100.doc</vt:lpwstr>
      </vt:variant>
      <vt:variant>
        <vt:lpwstr/>
      </vt:variant>
      <vt:variant>
        <vt:i4>393283</vt:i4>
      </vt:variant>
      <vt:variant>
        <vt:i4>90</vt:i4>
      </vt:variant>
      <vt:variant>
        <vt:i4>0</vt:i4>
      </vt:variant>
      <vt:variant>
        <vt:i4>5</vt:i4>
      </vt:variant>
      <vt:variant>
        <vt:lpwstr>http://www.nevo.co.il/advertisements/nevo-100.doc</vt:lpwstr>
      </vt:variant>
      <vt:variant>
        <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7798793</vt:i4>
      </vt:variant>
      <vt:variant>
        <vt:i4>0</vt:i4>
      </vt:variant>
      <vt:variant>
        <vt:i4>0</vt:i4>
      </vt:variant>
      <vt:variant>
        <vt:i4>5</vt:i4>
      </vt:variant>
      <vt:variant>
        <vt:lpwstr>http://www.nevo.co.il/Law_word/law06/tak-6786.pdf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הביטוח הלאומי (ביטוח סיעוד) (ועדות עררים), תשס"ט-2009</vt:lpwstr>
  </property>
  <property fmtid="{D5CDD505-2E9C-101B-9397-08002B2CF9AE}" pid="4" name="LAWNUMBER">
    <vt:lpwstr>0171</vt:lpwstr>
  </property>
  <property fmtid="{D5CDD505-2E9C-101B-9397-08002B2CF9AE}" pid="5" name="TYPE">
    <vt:lpwstr>01</vt:lpwstr>
  </property>
  <property fmtid="{D5CDD505-2E9C-101B-9397-08002B2CF9AE}" pid="6" name="CHNAME">
    <vt:lpwstr>ביטוח לאומי</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1">
    <vt:lpwstr>http://www.nevo.co.il/Law_word/law06/tak-6786.pdf;‎רשומות - תקנות כלליות#פורסם ק"ת תשס"ט מס' ‏‏6786 #מיום 24.6.2009 עמ' 1030‏</vt:lpwstr>
  </property>
  <property fmtid="{D5CDD505-2E9C-101B-9397-08002B2CF9AE}" pid="23" name="LINKK2">
    <vt:lpwstr/>
  </property>
  <property fmtid="{D5CDD505-2E9C-101B-9397-08002B2CF9AE}" pid="24" name="MEKOR_NAME1">
    <vt:lpwstr>חוק הביטוח הלאומי [נוסח משולב]</vt:lpwstr>
  </property>
  <property fmtid="{D5CDD505-2E9C-101B-9397-08002B2CF9AE}" pid="25" name="MEKOR_SAIF1">
    <vt:lpwstr>230בX;400X;12X</vt:lpwstr>
  </property>
  <property fmtid="{D5CDD505-2E9C-101B-9397-08002B2CF9AE}" pid="26" name="NOSE11">
    <vt:lpwstr>ביטוח</vt:lpwstr>
  </property>
  <property fmtid="{D5CDD505-2E9C-101B-9397-08002B2CF9AE}" pid="27" name="NOSE21">
    <vt:lpwstr>ביטוח לאומי</vt:lpwstr>
  </property>
  <property fmtid="{D5CDD505-2E9C-101B-9397-08002B2CF9AE}" pid="28" name="NOSE31">
    <vt:lpwstr>ביטוח סיעוד</vt:lpwstr>
  </property>
  <property fmtid="{D5CDD505-2E9C-101B-9397-08002B2CF9AE}" pid="29" name="NOSE41">
    <vt:lpwstr/>
  </property>
  <property fmtid="{D5CDD505-2E9C-101B-9397-08002B2CF9AE}" pid="30" name="NOSE12">
    <vt:lpwstr/>
  </property>
  <property fmtid="{D5CDD505-2E9C-101B-9397-08002B2CF9AE}" pid="31" name="NOSE22">
    <vt:lpwstr/>
  </property>
  <property fmtid="{D5CDD505-2E9C-101B-9397-08002B2CF9AE}" pid="32" name="NOSE32">
    <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