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E26A" w14:textId="77777777" w:rsidR="00EF7A63" w:rsidRDefault="00EF7A63">
      <w:pPr>
        <w:pStyle w:val="big-header"/>
        <w:ind w:left="0" w:right="1134"/>
        <w:rPr>
          <w:rFonts w:hint="cs"/>
          <w:rtl/>
        </w:rPr>
      </w:pPr>
      <w:r>
        <w:rPr>
          <w:rtl/>
        </w:rPr>
        <w:t>תקנות הביטוח הלאומי (ביטוח סיעוד) (ערר על החלטת ועדה מקומית מקצועית), תשמ"ח-1988</w:t>
      </w:r>
    </w:p>
    <w:p w14:paraId="782EB992" w14:textId="77777777" w:rsidR="0083615E" w:rsidRPr="0083615E" w:rsidRDefault="0083615E" w:rsidP="0083615E">
      <w:pPr>
        <w:spacing w:line="320" w:lineRule="auto"/>
        <w:jc w:val="left"/>
        <w:rPr>
          <w:rFonts w:cs="FrankRuehl"/>
          <w:szCs w:val="26"/>
          <w:rtl/>
        </w:rPr>
      </w:pPr>
    </w:p>
    <w:p w14:paraId="339217AB" w14:textId="77777777" w:rsidR="0083615E" w:rsidRPr="0083615E" w:rsidRDefault="0083615E" w:rsidP="0083615E">
      <w:pPr>
        <w:spacing w:line="320" w:lineRule="auto"/>
        <w:jc w:val="left"/>
        <w:rPr>
          <w:rFonts w:cs="Miriam" w:hint="cs"/>
          <w:szCs w:val="22"/>
          <w:rtl/>
        </w:rPr>
      </w:pPr>
      <w:r w:rsidRPr="0083615E">
        <w:rPr>
          <w:rFonts w:cs="Miriam"/>
          <w:szCs w:val="22"/>
          <w:rtl/>
        </w:rPr>
        <w:t>ביטוח</w:t>
      </w:r>
      <w:r w:rsidRPr="0083615E">
        <w:rPr>
          <w:rFonts w:cs="FrankRuehl"/>
          <w:szCs w:val="26"/>
          <w:rtl/>
        </w:rPr>
        <w:t xml:space="preserve"> – </w:t>
      </w:r>
      <w:smartTag w:uri="urn:schemas-microsoft-com:office:smarttags" w:element="PersonName">
        <w:smartTagPr>
          <w:attr w:name="ProductID" w:val="ביטוח לאומי"/>
        </w:smartTagPr>
        <w:r w:rsidRPr="0083615E">
          <w:rPr>
            <w:rFonts w:cs="FrankRuehl"/>
            <w:szCs w:val="26"/>
            <w:rtl/>
          </w:rPr>
          <w:t>ביטוח לאומי</w:t>
        </w:r>
      </w:smartTag>
      <w:r w:rsidRPr="0083615E">
        <w:rPr>
          <w:rFonts w:cs="FrankRuehl"/>
          <w:szCs w:val="26"/>
          <w:rtl/>
        </w:rPr>
        <w:t xml:space="preserve"> – ביטוח סיעוד</w:t>
      </w:r>
    </w:p>
    <w:p w14:paraId="06A2B7E4" w14:textId="77777777" w:rsidR="00EF7A63" w:rsidRDefault="00EF7A63">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F7A63" w14:paraId="10B65D0D" w14:textId="77777777">
        <w:tblPrEx>
          <w:tblCellMar>
            <w:top w:w="0" w:type="dxa"/>
            <w:bottom w:w="0" w:type="dxa"/>
          </w:tblCellMar>
        </w:tblPrEx>
        <w:tc>
          <w:tcPr>
            <w:tcW w:w="850" w:type="dxa"/>
          </w:tcPr>
          <w:p w14:paraId="2B756538"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1B8E272" w14:textId="77777777" w:rsidR="00EF7A63" w:rsidRDefault="00EF7A63">
            <w:pPr>
              <w:spacing w:line="240" w:lineRule="auto"/>
              <w:rPr>
                <w:sz w:val="24"/>
              </w:rPr>
            </w:pPr>
            <w:hyperlink w:anchor="Seif0" w:tooltip="הגשת הערר" w:history="1">
              <w:r>
                <w:rPr>
                  <w:rStyle w:val="Hyperlink"/>
                </w:rPr>
                <w:t>Go</w:t>
              </w:r>
            </w:hyperlink>
          </w:p>
        </w:tc>
        <w:tc>
          <w:tcPr>
            <w:tcW w:w="5669" w:type="dxa"/>
          </w:tcPr>
          <w:p w14:paraId="3CD405BB" w14:textId="77777777" w:rsidR="00EF7A63" w:rsidRDefault="00EF7A63">
            <w:pPr>
              <w:spacing w:line="240" w:lineRule="auto"/>
              <w:rPr>
                <w:sz w:val="24"/>
                <w:rtl/>
              </w:rPr>
            </w:pPr>
            <w:r>
              <w:rPr>
                <w:sz w:val="24"/>
                <w:rtl/>
              </w:rPr>
              <w:t>הגשת הערר</w:t>
            </w:r>
          </w:p>
        </w:tc>
        <w:tc>
          <w:tcPr>
            <w:tcW w:w="1247" w:type="dxa"/>
          </w:tcPr>
          <w:p w14:paraId="2CECBA5D" w14:textId="77777777" w:rsidR="00EF7A63" w:rsidRDefault="00EF7A63">
            <w:pPr>
              <w:spacing w:line="240" w:lineRule="auto"/>
              <w:rPr>
                <w:sz w:val="24"/>
              </w:rPr>
            </w:pPr>
            <w:r>
              <w:rPr>
                <w:sz w:val="24"/>
                <w:rtl/>
              </w:rPr>
              <w:t xml:space="preserve">סעיף 1 </w:t>
            </w:r>
          </w:p>
        </w:tc>
      </w:tr>
      <w:tr w:rsidR="00EF7A63" w14:paraId="07CF3F5B" w14:textId="77777777">
        <w:tblPrEx>
          <w:tblCellMar>
            <w:top w:w="0" w:type="dxa"/>
            <w:bottom w:w="0" w:type="dxa"/>
          </w:tblCellMar>
        </w:tblPrEx>
        <w:tc>
          <w:tcPr>
            <w:tcW w:w="850" w:type="dxa"/>
          </w:tcPr>
          <w:p w14:paraId="3F1C7857"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241796C" w14:textId="77777777" w:rsidR="00EF7A63" w:rsidRDefault="00EF7A63">
            <w:pPr>
              <w:spacing w:line="240" w:lineRule="auto"/>
              <w:rPr>
                <w:sz w:val="24"/>
              </w:rPr>
            </w:pPr>
            <w:hyperlink w:anchor="Seif1" w:tooltip="מועד להגשת הערר" w:history="1">
              <w:r>
                <w:rPr>
                  <w:rStyle w:val="Hyperlink"/>
                </w:rPr>
                <w:t>Go</w:t>
              </w:r>
            </w:hyperlink>
          </w:p>
        </w:tc>
        <w:tc>
          <w:tcPr>
            <w:tcW w:w="5669" w:type="dxa"/>
          </w:tcPr>
          <w:p w14:paraId="64DBF993" w14:textId="77777777" w:rsidR="00EF7A63" w:rsidRDefault="00EF7A63">
            <w:pPr>
              <w:spacing w:line="240" w:lineRule="auto"/>
              <w:rPr>
                <w:sz w:val="24"/>
                <w:rtl/>
              </w:rPr>
            </w:pPr>
            <w:r>
              <w:rPr>
                <w:sz w:val="24"/>
                <w:rtl/>
              </w:rPr>
              <w:t>מועד להגשת הערר</w:t>
            </w:r>
          </w:p>
        </w:tc>
        <w:tc>
          <w:tcPr>
            <w:tcW w:w="1247" w:type="dxa"/>
          </w:tcPr>
          <w:p w14:paraId="66027855" w14:textId="77777777" w:rsidR="00EF7A63" w:rsidRDefault="00EF7A63">
            <w:pPr>
              <w:spacing w:line="240" w:lineRule="auto"/>
              <w:rPr>
                <w:sz w:val="24"/>
              </w:rPr>
            </w:pPr>
            <w:r>
              <w:rPr>
                <w:sz w:val="24"/>
                <w:rtl/>
              </w:rPr>
              <w:t xml:space="preserve">סעיף 2 </w:t>
            </w:r>
          </w:p>
        </w:tc>
      </w:tr>
      <w:tr w:rsidR="00EF7A63" w14:paraId="0037660C" w14:textId="77777777">
        <w:tblPrEx>
          <w:tblCellMar>
            <w:top w:w="0" w:type="dxa"/>
            <w:bottom w:w="0" w:type="dxa"/>
          </w:tblCellMar>
        </w:tblPrEx>
        <w:tc>
          <w:tcPr>
            <w:tcW w:w="850" w:type="dxa"/>
          </w:tcPr>
          <w:p w14:paraId="34BE3DCE"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155E713" w14:textId="77777777" w:rsidR="00EF7A63" w:rsidRDefault="00EF7A63">
            <w:pPr>
              <w:spacing w:line="240" w:lineRule="auto"/>
              <w:rPr>
                <w:sz w:val="24"/>
              </w:rPr>
            </w:pPr>
            <w:hyperlink w:anchor="Seif2" w:tooltip="אופן הגשת הערר" w:history="1">
              <w:r>
                <w:rPr>
                  <w:rStyle w:val="Hyperlink"/>
                </w:rPr>
                <w:t>Go</w:t>
              </w:r>
            </w:hyperlink>
          </w:p>
        </w:tc>
        <w:tc>
          <w:tcPr>
            <w:tcW w:w="5669" w:type="dxa"/>
          </w:tcPr>
          <w:p w14:paraId="578E7235" w14:textId="77777777" w:rsidR="00EF7A63" w:rsidRDefault="00EF7A63">
            <w:pPr>
              <w:spacing w:line="240" w:lineRule="auto"/>
              <w:rPr>
                <w:sz w:val="24"/>
                <w:rtl/>
              </w:rPr>
            </w:pPr>
            <w:r>
              <w:rPr>
                <w:sz w:val="24"/>
                <w:rtl/>
              </w:rPr>
              <w:t>אופן הגשת הערר</w:t>
            </w:r>
          </w:p>
        </w:tc>
        <w:tc>
          <w:tcPr>
            <w:tcW w:w="1247" w:type="dxa"/>
          </w:tcPr>
          <w:p w14:paraId="0EC03ED7" w14:textId="77777777" w:rsidR="00EF7A63" w:rsidRDefault="00EF7A63">
            <w:pPr>
              <w:spacing w:line="240" w:lineRule="auto"/>
              <w:rPr>
                <w:sz w:val="24"/>
              </w:rPr>
            </w:pPr>
            <w:r>
              <w:rPr>
                <w:sz w:val="24"/>
                <w:rtl/>
              </w:rPr>
              <w:t xml:space="preserve">סעיף 3 </w:t>
            </w:r>
          </w:p>
        </w:tc>
      </w:tr>
      <w:tr w:rsidR="00EF7A63" w14:paraId="77AAB35C" w14:textId="77777777">
        <w:tblPrEx>
          <w:tblCellMar>
            <w:top w:w="0" w:type="dxa"/>
            <w:bottom w:w="0" w:type="dxa"/>
          </w:tblCellMar>
        </w:tblPrEx>
        <w:tc>
          <w:tcPr>
            <w:tcW w:w="850" w:type="dxa"/>
          </w:tcPr>
          <w:p w14:paraId="685286B7"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10708B4" w14:textId="77777777" w:rsidR="00EF7A63" w:rsidRDefault="00EF7A63">
            <w:pPr>
              <w:spacing w:line="240" w:lineRule="auto"/>
              <w:rPr>
                <w:sz w:val="24"/>
              </w:rPr>
            </w:pPr>
            <w:hyperlink w:anchor="Seif3" w:tooltip="הרכב ועדה לעררים" w:history="1">
              <w:r>
                <w:rPr>
                  <w:rStyle w:val="Hyperlink"/>
                </w:rPr>
                <w:t>Go</w:t>
              </w:r>
            </w:hyperlink>
          </w:p>
        </w:tc>
        <w:tc>
          <w:tcPr>
            <w:tcW w:w="5669" w:type="dxa"/>
          </w:tcPr>
          <w:p w14:paraId="45E5AAAC" w14:textId="77777777" w:rsidR="00EF7A63" w:rsidRDefault="00EF7A63">
            <w:pPr>
              <w:spacing w:line="240" w:lineRule="auto"/>
              <w:rPr>
                <w:sz w:val="24"/>
                <w:rtl/>
              </w:rPr>
            </w:pPr>
            <w:r>
              <w:rPr>
                <w:sz w:val="24"/>
                <w:rtl/>
              </w:rPr>
              <w:t>הרכב ועדה לעררים</w:t>
            </w:r>
          </w:p>
        </w:tc>
        <w:tc>
          <w:tcPr>
            <w:tcW w:w="1247" w:type="dxa"/>
          </w:tcPr>
          <w:p w14:paraId="16D154B0" w14:textId="77777777" w:rsidR="00EF7A63" w:rsidRDefault="00EF7A63">
            <w:pPr>
              <w:spacing w:line="240" w:lineRule="auto"/>
              <w:rPr>
                <w:sz w:val="24"/>
              </w:rPr>
            </w:pPr>
            <w:r>
              <w:rPr>
                <w:sz w:val="24"/>
                <w:rtl/>
              </w:rPr>
              <w:t xml:space="preserve">סעיף 4 </w:t>
            </w:r>
          </w:p>
        </w:tc>
      </w:tr>
      <w:tr w:rsidR="00EF7A63" w14:paraId="41D9862F" w14:textId="77777777">
        <w:tblPrEx>
          <w:tblCellMar>
            <w:top w:w="0" w:type="dxa"/>
            <w:bottom w:w="0" w:type="dxa"/>
          </w:tblCellMar>
        </w:tblPrEx>
        <w:tc>
          <w:tcPr>
            <w:tcW w:w="850" w:type="dxa"/>
          </w:tcPr>
          <w:p w14:paraId="6AAFBEF0"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33CFA64" w14:textId="77777777" w:rsidR="00EF7A63" w:rsidRDefault="00EF7A63">
            <w:pPr>
              <w:spacing w:line="240" w:lineRule="auto"/>
              <w:rPr>
                <w:sz w:val="24"/>
              </w:rPr>
            </w:pPr>
            <w:hyperlink w:anchor="Seif4" w:tooltip="סמכויות הועדה לעררים" w:history="1">
              <w:r>
                <w:rPr>
                  <w:rStyle w:val="Hyperlink"/>
                </w:rPr>
                <w:t>Go</w:t>
              </w:r>
            </w:hyperlink>
          </w:p>
        </w:tc>
        <w:tc>
          <w:tcPr>
            <w:tcW w:w="5669" w:type="dxa"/>
          </w:tcPr>
          <w:p w14:paraId="055EBC2D" w14:textId="77777777" w:rsidR="00EF7A63" w:rsidRDefault="00EF7A63">
            <w:pPr>
              <w:spacing w:line="240" w:lineRule="auto"/>
              <w:rPr>
                <w:sz w:val="24"/>
                <w:rtl/>
              </w:rPr>
            </w:pPr>
            <w:r>
              <w:rPr>
                <w:sz w:val="24"/>
                <w:rtl/>
              </w:rPr>
              <w:t>סמכויות הועדה לעררים</w:t>
            </w:r>
          </w:p>
        </w:tc>
        <w:tc>
          <w:tcPr>
            <w:tcW w:w="1247" w:type="dxa"/>
          </w:tcPr>
          <w:p w14:paraId="1E65C8EA" w14:textId="77777777" w:rsidR="00EF7A63" w:rsidRDefault="00EF7A63">
            <w:pPr>
              <w:spacing w:line="240" w:lineRule="auto"/>
              <w:rPr>
                <w:sz w:val="24"/>
              </w:rPr>
            </w:pPr>
            <w:r>
              <w:rPr>
                <w:sz w:val="24"/>
                <w:rtl/>
              </w:rPr>
              <w:t xml:space="preserve">סעיף 5 </w:t>
            </w:r>
          </w:p>
        </w:tc>
      </w:tr>
      <w:tr w:rsidR="00EF7A63" w14:paraId="389C18B6" w14:textId="77777777">
        <w:tblPrEx>
          <w:tblCellMar>
            <w:top w:w="0" w:type="dxa"/>
            <w:bottom w:w="0" w:type="dxa"/>
          </w:tblCellMar>
        </w:tblPrEx>
        <w:tc>
          <w:tcPr>
            <w:tcW w:w="850" w:type="dxa"/>
          </w:tcPr>
          <w:p w14:paraId="50FD965C"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B7E26BB" w14:textId="77777777" w:rsidR="00EF7A63" w:rsidRDefault="00EF7A63">
            <w:pPr>
              <w:spacing w:line="240" w:lineRule="auto"/>
              <w:rPr>
                <w:sz w:val="24"/>
              </w:rPr>
            </w:pPr>
            <w:hyperlink w:anchor="Seif5" w:tooltip="הדיון בערר" w:history="1">
              <w:r>
                <w:rPr>
                  <w:rStyle w:val="Hyperlink"/>
                </w:rPr>
                <w:t>Go</w:t>
              </w:r>
            </w:hyperlink>
          </w:p>
        </w:tc>
        <w:tc>
          <w:tcPr>
            <w:tcW w:w="5669" w:type="dxa"/>
          </w:tcPr>
          <w:p w14:paraId="21A0AF93" w14:textId="77777777" w:rsidR="00EF7A63" w:rsidRDefault="00EF7A63">
            <w:pPr>
              <w:spacing w:line="240" w:lineRule="auto"/>
              <w:rPr>
                <w:sz w:val="24"/>
                <w:rtl/>
              </w:rPr>
            </w:pPr>
            <w:r>
              <w:rPr>
                <w:sz w:val="24"/>
                <w:rtl/>
              </w:rPr>
              <w:t>הדיון בערר</w:t>
            </w:r>
          </w:p>
        </w:tc>
        <w:tc>
          <w:tcPr>
            <w:tcW w:w="1247" w:type="dxa"/>
          </w:tcPr>
          <w:p w14:paraId="2C7C5380" w14:textId="77777777" w:rsidR="00EF7A63" w:rsidRDefault="00EF7A63">
            <w:pPr>
              <w:spacing w:line="240" w:lineRule="auto"/>
              <w:rPr>
                <w:sz w:val="24"/>
              </w:rPr>
            </w:pPr>
            <w:r>
              <w:rPr>
                <w:sz w:val="24"/>
                <w:rtl/>
              </w:rPr>
              <w:t xml:space="preserve">סעיף 6 </w:t>
            </w:r>
          </w:p>
        </w:tc>
      </w:tr>
      <w:tr w:rsidR="00EF7A63" w14:paraId="5436BECD" w14:textId="77777777">
        <w:tblPrEx>
          <w:tblCellMar>
            <w:top w:w="0" w:type="dxa"/>
            <w:bottom w:w="0" w:type="dxa"/>
          </w:tblCellMar>
        </w:tblPrEx>
        <w:tc>
          <w:tcPr>
            <w:tcW w:w="850" w:type="dxa"/>
          </w:tcPr>
          <w:p w14:paraId="576CD555"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5410835" w14:textId="77777777" w:rsidR="00EF7A63" w:rsidRDefault="00EF7A63">
            <w:pPr>
              <w:spacing w:line="240" w:lineRule="auto"/>
              <w:rPr>
                <w:sz w:val="24"/>
              </w:rPr>
            </w:pPr>
            <w:hyperlink w:anchor="Seif6" w:tooltip="ייצוג העורר בפני הועדה" w:history="1">
              <w:r>
                <w:rPr>
                  <w:rStyle w:val="Hyperlink"/>
                </w:rPr>
                <w:t>Go</w:t>
              </w:r>
            </w:hyperlink>
          </w:p>
        </w:tc>
        <w:tc>
          <w:tcPr>
            <w:tcW w:w="5669" w:type="dxa"/>
          </w:tcPr>
          <w:p w14:paraId="2AE48311" w14:textId="77777777" w:rsidR="00EF7A63" w:rsidRDefault="00EF7A63">
            <w:pPr>
              <w:spacing w:line="240" w:lineRule="auto"/>
              <w:rPr>
                <w:sz w:val="24"/>
                <w:rtl/>
              </w:rPr>
            </w:pPr>
            <w:r>
              <w:rPr>
                <w:sz w:val="24"/>
                <w:rtl/>
              </w:rPr>
              <w:t>ייצוג העורר בפני הועדה</w:t>
            </w:r>
          </w:p>
        </w:tc>
        <w:tc>
          <w:tcPr>
            <w:tcW w:w="1247" w:type="dxa"/>
          </w:tcPr>
          <w:p w14:paraId="1B84E44B" w14:textId="77777777" w:rsidR="00EF7A63" w:rsidRDefault="00EF7A63">
            <w:pPr>
              <w:spacing w:line="240" w:lineRule="auto"/>
              <w:rPr>
                <w:sz w:val="24"/>
              </w:rPr>
            </w:pPr>
            <w:r>
              <w:rPr>
                <w:sz w:val="24"/>
                <w:rtl/>
              </w:rPr>
              <w:t xml:space="preserve">סעיף 7 </w:t>
            </w:r>
          </w:p>
        </w:tc>
      </w:tr>
      <w:tr w:rsidR="00EF7A63" w14:paraId="63B74AAA" w14:textId="77777777">
        <w:tblPrEx>
          <w:tblCellMar>
            <w:top w:w="0" w:type="dxa"/>
            <w:bottom w:w="0" w:type="dxa"/>
          </w:tblCellMar>
        </w:tblPrEx>
        <w:tc>
          <w:tcPr>
            <w:tcW w:w="850" w:type="dxa"/>
          </w:tcPr>
          <w:p w14:paraId="5342A918"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F5DE9C4" w14:textId="77777777" w:rsidR="00EF7A63" w:rsidRDefault="00EF7A63">
            <w:pPr>
              <w:spacing w:line="240" w:lineRule="auto"/>
              <w:rPr>
                <w:sz w:val="24"/>
              </w:rPr>
            </w:pPr>
            <w:hyperlink w:anchor="Seif7" w:tooltip="סודיות" w:history="1">
              <w:r>
                <w:rPr>
                  <w:rStyle w:val="Hyperlink"/>
                </w:rPr>
                <w:t>Go</w:t>
              </w:r>
            </w:hyperlink>
          </w:p>
        </w:tc>
        <w:tc>
          <w:tcPr>
            <w:tcW w:w="5669" w:type="dxa"/>
          </w:tcPr>
          <w:p w14:paraId="10DDDB33" w14:textId="77777777" w:rsidR="00EF7A63" w:rsidRDefault="00EF7A63">
            <w:pPr>
              <w:spacing w:line="240" w:lineRule="auto"/>
              <w:rPr>
                <w:sz w:val="24"/>
                <w:rtl/>
              </w:rPr>
            </w:pPr>
            <w:r>
              <w:rPr>
                <w:sz w:val="24"/>
                <w:rtl/>
              </w:rPr>
              <w:t>סודיות</w:t>
            </w:r>
          </w:p>
        </w:tc>
        <w:tc>
          <w:tcPr>
            <w:tcW w:w="1247" w:type="dxa"/>
          </w:tcPr>
          <w:p w14:paraId="2A2EE295" w14:textId="77777777" w:rsidR="00EF7A63" w:rsidRDefault="00EF7A63">
            <w:pPr>
              <w:spacing w:line="240" w:lineRule="auto"/>
              <w:rPr>
                <w:sz w:val="24"/>
              </w:rPr>
            </w:pPr>
            <w:r>
              <w:rPr>
                <w:sz w:val="24"/>
                <w:rtl/>
              </w:rPr>
              <w:t xml:space="preserve">סעיף 8 </w:t>
            </w:r>
          </w:p>
        </w:tc>
      </w:tr>
      <w:tr w:rsidR="00EF7A63" w14:paraId="57D51E3B" w14:textId="77777777">
        <w:tblPrEx>
          <w:tblCellMar>
            <w:top w:w="0" w:type="dxa"/>
            <w:bottom w:w="0" w:type="dxa"/>
          </w:tblCellMar>
        </w:tblPrEx>
        <w:tc>
          <w:tcPr>
            <w:tcW w:w="850" w:type="dxa"/>
          </w:tcPr>
          <w:p w14:paraId="09B8421D"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CCD0AA7" w14:textId="77777777" w:rsidR="00EF7A63" w:rsidRDefault="00EF7A63">
            <w:pPr>
              <w:spacing w:line="240" w:lineRule="auto"/>
              <w:rPr>
                <w:sz w:val="24"/>
              </w:rPr>
            </w:pPr>
            <w:hyperlink w:anchor="Seif8" w:tooltip="החלטה בערר" w:history="1">
              <w:r>
                <w:rPr>
                  <w:rStyle w:val="Hyperlink"/>
                </w:rPr>
                <w:t>Go</w:t>
              </w:r>
            </w:hyperlink>
          </w:p>
        </w:tc>
        <w:tc>
          <w:tcPr>
            <w:tcW w:w="5669" w:type="dxa"/>
          </w:tcPr>
          <w:p w14:paraId="611EAABE" w14:textId="77777777" w:rsidR="00EF7A63" w:rsidRDefault="00EF7A63">
            <w:pPr>
              <w:spacing w:line="240" w:lineRule="auto"/>
              <w:rPr>
                <w:sz w:val="24"/>
                <w:rtl/>
              </w:rPr>
            </w:pPr>
            <w:r>
              <w:rPr>
                <w:sz w:val="24"/>
                <w:rtl/>
              </w:rPr>
              <w:t>החלטה בערר</w:t>
            </w:r>
          </w:p>
        </w:tc>
        <w:tc>
          <w:tcPr>
            <w:tcW w:w="1247" w:type="dxa"/>
          </w:tcPr>
          <w:p w14:paraId="70892173" w14:textId="77777777" w:rsidR="00EF7A63" w:rsidRDefault="00EF7A63">
            <w:pPr>
              <w:spacing w:line="240" w:lineRule="auto"/>
              <w:rPr>
                <w:sz w:val="24"/>
              </w:rPr>
            </w:pPr>
            <w:r>
              <w:rPr>
                <w:sz w:val="24"/>
                <w:rtl/>
              </w:rPr>
              <w:t xml:space="preserve">סעיף 9 </w:t>
            </w:r>
          </w:p>
        </w:tc>
      </w:tr>
      <w:tr w:rsidR="00EF7A63" w14:paraId="4FDA6A84" w14:textId="77777777">
        <w:tblPrEx>
          <w:tblCellMar>
            <w:top w:w="0" w:type="dxa"/>
            <w:bottom w:w="0" w:type="dxa"/>
          </w:tblCellMar>
        </w:tblPrEx>
        <w:tc>
          <w:tcPr>
            <w:tcW w:w="850" w:type="dxa"/>
          </w:tcPr>
          <w:p w14:paraId="25F5952D"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968ADB9" w14:textId="77777777" w:rsidR="00EF7A63" w:rsidRDefault="00EF7A63">
            <w:pPr>
              <w:spacing w:line="240" w:lineRule="auto"/>
              <w:rPr>
                <w:sz w:val="24"/>
              </w:rPr>
            </w:pPr>
            <w:hyperlink w:anchor="Seif9" w:tooltip="הודעת ההחלטה" w:history="1">
              <w:r>
                <w:rPr>
                  <w:rStyle w:val="Hyperlink"/>
                </w:rPr>
                <w:t>Go</w:t>
              </w:r>
            </w:hyperlink>
          </w:p>
        </w:tc>
        <w:tc>
          <w:tcPr>
            <w:tcW w:w="5669" w:type="dxa"/>
          </w:tcPr>
          <w:p w14:paraId="1FDD6BE6" w14:textId="77777777" w:rsidR="00EF7A63" w:rsidRDefault="00EF7A63">
            <w:pPr>
              <w:spacing w:line="240" w:lineRule="auto"/>
              <w:rPr>
                <w:sz w:val="24"/>
                <w:rtl/>
              </w:rPr>
            </w:pPr>
            <w:r>
              <w:rPr>
                <w:sz w:val="24"/>
                <w:rtl/>
              </w:rPr>
              <w:t>הודעת ההחלטה</w:t>
            </w:r>
          </w:p>
        </w:tc>
        <w:tc>
          <w:tcPr>
            <w:tcW w:w="1247" w:type="dxa"/>
          </w:tcPr>
          <w:p w14:paraId="0C811A4B" w14:textId="77777777" w:rsidR="00EF7A63" w:rsidRDefault="00EF7A63">
            <w:pPr>
              <w:spacing w:line="240" w:lineRule="auto"/>
              <w:rPr>
                <w:sz w:val="24"/>
              </w:rPr>
            </w:pPr>
            <w:r>
              <w:rPr>
                <w:sz w:val="24"/>
                <w:rtl/>
              </w:rPr>
              <w:t xml:space="preserve">סעיף 10 </w:t>
            </w:r>
          </w:p>
        </w:tc>
      </w:tr>
      <w:tr w:rsidR="00EF7A63" w14:paraId="2752648C" w14:textId="77777777">
        <w:tblPrEx>
          <w:tblCellMar>
            <w:top w:w="0" w:type="dxa"/>
            <w:bottom w:w="0" w:type="dxa"/>
          </w:tblCellMar>
        </w:tblPrEx>
        <w:tc>
          <w:tcPr>
            <w:tcW w:w="850" w:type="dxa"/>
          </w:tcPr>
          <w:p w14:paraId="0935176F" w14:textId="77777777" w:rsidR="00EF7A63" w:rsidRDefault="00EF7A63">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4D0A9C1" w14:textId="77777777" w:rsidR="00EF7A63" w:rsidRDefault="00EF7A63">
            <w:pPr>
              <w:spacing w:line="240" w:lineRule="auto"/>
              <w:rPr>
                <w:sz w:val="24"/>
              </w:rPr>
            </w:pPr>
            <w:hyperlink w:anchor="Seif10" w:tooltip="תחילה" w:history="1">
              <w:r>
                <w:rPr>
                  <w:rStyle w:val="Hyperlink"/>
                </w:rPr>
                <w:t>Go</w:t>
              </w:r>
            </w:hyperlink>
          </w:p>
        </w:tc>
        <w:tc>
          <w:tcPr>
            <w:tcW w:w="5669" w:type="dxa"/>
          </w:tcPr>
          <w:p w14:paraId="640D464D" w14:textId="77777777" w:rsidR="00EF7A63" w:rsidRDefault="00EF7A63">
            <w:pPr>
              <w:spacing w:line="240" w:lineRule="auto"/>
              <w:rPr>
                <w:sz w:val="24"/>
                <w:rtl/>
              </w:rPr>
            </w:pPr>
            <w:r>
              <w:rPr>
                <w:sz w:val="24"/>
                <w:rtl/>
              </w:rPr>
              <w:t>תחילה</w:t>
            </w:r>
          </w:p>
        </w:tc>
        <w:tc>
          <w:tcPr>
            <w:tcW w:w="1247" w:type="dxa"/>
          </w:tcPr>
          <w:p w14:paraId="6C4ED51B" w14:textId="77777777" w:rsidR="00EF7A63" w:rsidRDefault="00EF7A63">
            <w:pPr>
              <w:spacing w:line="240" w:lineRule="auto"/>
              <w:rPr>
                <w:sz w:val="24"/>
              </w:rPr>
            </w:pPr>
            <w:r>
              <w:rPr>
                <w:sz w:val="24"/>
                <w:rtl/>
              </w:rPr>
              <w:t xml:space="preserve">סעיף 11 </w:t>
            </w:r>
          </w:p>
        </w:tc>
      </w:tr>
    </w:tbl>
    <w:p w14:paraId="1EE80C87" w14:textId="77777777" w:rsidR="00EF7A63" w:rsidRDefault="00EF7A63">
      <w:pPr>
        <w:pStyle w:val="big-header"/>
        <w:ind w:left="0" w:right="1134"/>
        <w:rPr>
          <w:rtl/>
        </w:rPr>
      </w:pPr>
    </w:p>
    <w:p w14:paraId="47355D53" w14:textId="77777777" w:rsidR="00EF7A63" w:rsidRPr="0083615E" w:rsidRDefault="00EF7A63" w:rsidP="0083615E">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(ביטוח סיעוד) (ערר על החל</w:t>
      </w:r>
      <w:r>
        <w:rPr>
          <w:rtl/>
        </w:rPr>
        <w:t>ט</w:t>
      </w:r>
      <w:r>
        <w:rPr>
          <w:rFonts w:hint="cs"/>
          <w:rtl/>
        </w:rPr>
        <w:t>ת ועדה מקומית מקצועית), תשמ"ח-1988</w:t>
      </w:r>
      <w:r>
        <w:rPr>
          <w:rStyle w:val="default"/>
          <w:rtl/>
        </w:rPr>
        <w:footnoteReference w:customMarkFollows="1" w:id="1"/>
        <w:t>*</w:t>
      </w:r>
    </w:p>
    <w:p w14:paraId="654A2187" w14:textId="77777777" w:rsidR="00EF7A63" w:rsidRDefault="00EF7A6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127צג ו-242 לחוק הביטוח הלאומי [נוסח משולב], תשכ"ח-1968 (להלן - החוק), ובאישור ועדת העבודה והרווחה של הכנסת, אני מתקין תקנות אלה: </w:t>
      </w:r>
    </w:p>
    <w:p w14:paraId="67F512DB" w14:textId="77777777" w:rsidR="00EF7A63" w:rsidRDefault="00EF7A63">
      <w:pPr>
        <w:pStyle w:val="P00"/>
        <w:spacing w:before="72"/>
        <w:ind w:left="0" w:right="1134"/>
        <w:rPr>
          <w:rStyle w:val="default"/>
          <w:rFonts w:cs="FrankRuehl"/>
          <w:rtl/>
        </w:rPr>
      </w:pPr>
      <w:bookmarkStart w:id="0" w:name="Seif0"/>
      <w:bookmarkEnd w:id="0"/>
      <w:r>
        <w:rPr>
          <w:lang w:val="he-IL"/>
        </w:rPr>
        <w:pict w14:anchorId="21EB8BB3">
          <v:rect id="_x0000_s1026" style="position:absolute;left:0;text-align:left;margin-left:464.5pt;margin-top:8.05pt;width:75.05pt;height:20pt;z-index:251652608" o:allowincell="f" filled="f" stroked="f" strokecolor="lime" strokeweight=".25pt">
            <v:textbox inset="0,0,0,0">
              <w:txbxContent>
                <w:p w14:paraId="2B12388F" w14:textId="77777777" w:rsidR="00EF7A63" w:rsidRDefault="00EF7A63">
                  <w:pPr>
                    <w:spacing w:line="160" w:lineRule="exact"/>
                    <w:jc w:val="left"/>
                    <w:rPr>
                      <w:rFonts w:cs="Miriam"/>
                      <w:noProof/>
                      <w:szCs w:val="18"/>
                      <w:rtl/>
                    </w:rPr>
                  </w:pPr>
                  <w:r>
                    <w:rPr>
                      <w:rFonts w:cs="Miriam"/>
                      <w:szCs w:val="18"/>
                      <w:rtl/>
                    </w:rPr>
                    <w:t>ה</w:t>
                  </w:r>
                  <w:r>
                    <w:rPr>
                      <w:rFonts w:cs="Miriam" w:hint="cs"/>
                      <w:szCs w:val="18"/>
                      <w:rtl/>
                    </w:rPr>
                    <w:t>גשת הערר</w:t>
                  </w:r>
                </w:p>
              </w:txbxContent>
            </v:textbox>
            <w10:anchorlock/>
          </v:rect>
        </w:pict>
      </w:r>
      <w:r>
        <w:rPr>
          <w:rStyle w:val="big-number"/>
          <w:rFonts w:cs="Miriam"/>
          <w:rtl/>
        </w:rPr>
        <w:t>1.</w:t>
      </w:r>
      <w:r>
        <w:rPr>
          <w:rStyle w:val="big-number"/>
          <w:rFonts w:cs="Miriam"/>
          <w:rtl/>
        </w:rPr>
        <w:tab/>
      </w:r>
      <w:r>
        <w:rPr>
          <w:rStyle w:val="default"/>
          <w:rFonts w:cs="FrankRuehl"/>
          <w:rtl/>
        </w:rPr>
        <w:t>ע</w:t>
      </w:r>
      <w:r>
        <w:rPr>
          <w:rStyle w:val="default"/>
          <w:rFonts w:cs="FrankRuehl" w:hint="cs"/>
          <w:rtl/>
        </w:rPr>
        <w:t xml:space="preserve">רר על החלטת ועדה מקומית מקצועית (להלן </w:t>
      </w:r>
      <w:r>
        <w:rPr>
          <w:rStyle w:val="default"/>
          <w:rFonts w:cs="FrankRuehl"/>
          <w:rtl/>
        </w:rPr>
        <w:t xml:space="preserve">- </w:t>
      </w:r>
      <w:r>
        <w:rPr>
          <w:rStyle w:val="default"/>
          <w:rFonts w:cs="FrankRuehl" w:hint="cs"/>
          <w:rtl/>
        </w:rPr>
        <w:t xml:space="preserve">הועדה המקומית) יגיש העורר בעצמו, ואם מפאת לקוייו אינו מסוגל להגיש בעצמו יגיש את הערר אפוטרופסו, ובאין אפוטרופוס - בן זוגו, קרובו, ידיד קרוב או עובד סוציאלי של שירותי הרווחה במקום מגורי העורר. </w:t>
      </w:r>
    </w:p>
    <w:p w14:paraId="3FE13B18" w14:textId="77777777" w:rsidR="00EF7A63" w:rsidRDefault="00EF7A63">
      <w:pPr>
        <w:pStyle w:val="P00"/>
        <w:spacing w:before="72"/>
        <w:ind w:left="0" w:right="1134"/>
        <w:rPr>
          <w:rStyle w:val="default"/>
          <w:rFonts w:cs="FrankRuehl"/>
          <w:rtl/>
        </w:rPr>
      </w:pPr>
      <w:bookmarkStart w:id="1" w:name="Seif1"/>
      <w:bookmarkEnd w:id="1"/>
      <w:r>
        <w:rPr>
          <w:lang w:val="he-IL"/>
        </w:rPr>
        <w:pict w14:anchorId="645B0534">
          <v:rect id="_x0000_s1027" style="position:absolute;left:0;text-align:left;margin-left:464.5pt;margin-top:8.05pt;width:75.05pt;height:12.6pt;z-index:251653632" o:allowincell="f" filled="f" stroked="f" strokecolor="lime" strokeweight=".25pt">
            <v:textbox inset="0,0,0,0">
              <w:txbxContent>
                <w:p w14:paraId="14D85338" w14:textId="77777777" w:rsidR="00EF7A63" w:rsidRDefault="00EF7A63">
                  <w:pPr>
                    <w:spacing w:line="160" w:lineRule="exact"/>
                    <w:jc w:val="left"/>
                    <w:rPr>
                      <w:rFonts w:cs="Miriam"/>
                      <w:noProof/>
                      <w:szCs w:val="18"/>
                      <w:rtl/>
                    </w:rPr>
                  </w:pPr>
                  <w:r>
                    <w:rPr>
                      <w:rFonts w:cs="Miriam"/>
                      <w:szCs w:val="18"/>
                      <w:rtl/>
                    </w:rPr>
                    <w:t>מ</w:t>
                  </w:r>
                  <w:r>
                    <w:rPr>
                      <w:rFonts w:cs="Miriam" w:hint="cs"/>
                      <w:szCs w:val="18"/>
                      <w:rtl/>
                    </w:rPr>
                    <w:t xml:space="preserve">ועד להגשת </w:t>
                  </w:r>
                  <w:r>
                    <w:rPr>
                      <w:rFonts w:cs="Miriam"/>
                      <w:szCs w:val="18"/>
                      <w:rtl/>
                    </w:rPr>
                    <w:t>ה</w:t>
                  </w:r>
                  <w:r>
                    <w:rPr>
                      <w:rFonts w:cs="Miriam" w:hint="cs"/>
                      <w:szCs w:val="18"/>
                      <w:rtl/>
                    </w:rPr>
                    <w:t>ערר</w:t>
                  </w:r>
                </w:p>
              </w:txbxContent>
            </v:textbox>
            <w10:anchorlock/>
          </v:rect>
        </w:pict>
      </w:r>
      <w:r>
        <w:rPr>
          <w:rStyle w:val="big-number"/>
          <w:rFonts w:cs="Miriam"/>
          <w:rtl/>
        </w:rPr>
        <w:t>2.</w:t>
      </w:r>
      <w:r>
        <w:rPr>
          <w:rStyle w:val="big-number"/>
          <w:rFonts w:cs="Miriam"/>
          <w:rtl/>
        </w:rPr>
        <w:tab/>
      </w:r>
      <w:r>
        <w:rPr>
          <w:rStyle w:val="default"/>
          <w:rFonts w:cs="FrankRuehl"/>
          <w:rtl/>
        </w:rPr>
        <w:t>ע</w:t>
      </w:r>
      <w:r>
        <w:rPr>
          <w:rStyle w:val="default"/>
          <w:rFonts w:cs="FrankRuehl" w:hint="cs"/>
          <w:rtl/>
        </w:rPr>
        <w:t>רר על החלטת ועדה מקומית (להלן - הערר)</w:t>
      </w:r>
      <w:r>
        <w:rPr>
          <w:rStyle w:val="default"/>
          <w:rFonts w:cs="FrankRuehl"/>
          <w:rtl/>
        </w:rPr>
        <w:t xml:space="preserve"> </w:t>
      </w:r>
      <w:r>
        <w:rPr>
          <w:rStyle w:val="default"/>
          <w:rFonts w:cs="FrankRuehl" w:hint="cs"/>
          <w:rtl/>
        </w:rPr>
        <w:t xml:space="preserve">יוגש תוך ששים ימים מהיום בו נמסרה לעורר ההחלטה נושא הערר. </w:t>
      </w:r>
    </w:p>
    <w:p w14:paraId="3EA4D1E6" w14:textId="77777777" w:rsidR="00EF7A63" w:rsidRDefault="00EF7A63">
      <w:pPr>
        <w:pStyle w:val="P00"/>
        <w:spacing w:before="72"/>
        <w:ind w:left="0" w:right="1134"/>
        <w:rPr>
          <w:rStyle w:val="default"/>
          <w:rFonts w:cs="FrankRuehl"/>
          <w:rtl/>
        </w:rPr>
      </w:pPr>
      <w:bookmarkStart w:id="2" w:name="Seif2"/>
      <w:bookmarkEnd w:id="2"/>
      <w:r>
        <w:rPr>
          <w:lang w:val="he-IL"/>
        </w:rPr>
        <w:pict w14:anchorId="12E3780E">
          <v:rect id="_x0000_s1028" style="position:absolute;left:0;text-align:left;margin-left:464.5pt;margin-top:8.05pt;width:75.05pt;height:20pt;z-index:251654656" o:allowincell="f" filled="f" stroked="f" strokecolor="lime" strokeweight=".25pt">
            <v:textbox inset="0,0,0,0">
              <w:txbxContent>
                <w:p w14:paraId="1611B0ED" w14:textId="77777777" w:rsidR="00EF7A63" w:rsidRDefault="00EF7A63">
                  <w:pPr>
                    <w:spacing w:line="160" w:lineRule="exact"/>
                    <w:jc w:val="left"/>
                    <w:rPr>
                      <w:rFonts w:cs="Miriam"/>
                      <w:noProof/>
                      <w:szCs w:val="18"/>
                      <w:rtl/>
                    </w:rPr>
                  </w:pPr>
                  <w:r>
                    <w:rPr>
                      <w:rFonts w:cs="Miriam"/>
                      <w:szCs w:val="18"/>
                      <w:rtl/>
                    </w:rPr>
                    <w:t>א</w:t>
                  </w:r>
                  <w:r>
                    <w:rPr>
                      <w:rFonts w:cs="Miriam" w:hint="cs"/>
                      <w:szCs w:val="18"/>
                      <w:rtl/>
                    </w:rPr>
                    <w:t>ופן הגשת הערר</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ערר יוגש באמצעות המוסד ויצויינו בו נימוקי הערר; כתב הערר והמסמכים שהיו בפני הועדה המקומית שנתנה את ההחלטה נושא הערר, יעביר המוסד לועדה לעררים תוך עשרה ימים מיום הגשת הערר</w:t>
      </w:r>
      <w:r>
        <w:rPr>
          <w:rStyle w:val="default"/>
          <w:rFonts w:cs="FrankRuehl"/>
          <w:rtl/>
        </w:rPr>
        <w:t xml:space="preserve"> </w:t>
      </w:r>
      <w:r>
        <w:rPr>
          <w:rStyle w:val="default"/>
          <w:rFonts w:cs="FrankRuehl" w:hint="cs"/>
          <w:rtl/>
        </w:rPr>
        <w:t>למוסד.</w:t>
      </w:r>
    </w:p>
    <w:p w14:paraId="541537A6" w14:textId="77777777" w:rsidR="00EF7A63" w:rsidRDefault="00EF7A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ועדה לעררים תקיים דיוניה במקום מושבה והמוסד יספק לה שירותי מינהל הדרושים לעבודתה התקינה. </w:t>
      </w:r>
    </w:p>
    <w:p w14:paraId="4D04C601" w14:textId="77777777" w:rsidR="00EF7A63" w:rsidRDefault="00EF7A63">
      <w:pPr>
        <w:pStyle w:val="P00"/>
        <w:spacing w:before="72"/>
        <w:ind w:left="0" w:right="1134"/>
        <w:rPr>
          <w:rStyle w:val="default"/>
          <w:rFonts w:cs="FrankRuehl"/>
          <w:rtl/>
        </w:rPr>
      </w:pPr>
      <w:bookmarkStart w:id="3" w:name="Seif3"/>
      <w:bookmarkEnd w:id="3"/>
      <w:r>
        <w:rPr>
          <w:lang w:val="he-IL"/>
        </w:rPr>
        <w:pict w14:anchorId="3B817499">
          <v:rect id="_x0000_s1029" style="position:absolute;left:0;text-align:left;margin-left:464.5pt;margin-top:8.05pt;width:75.05pt;height:10.55pt;z-index:251655680" o:allowincell="f" filled="f" stroked="f" strokecolor="lime" strokeweight=".25pt">
            <v:textbox style="mso-next-textbox:#_x0000_s1029" inset="0,0,0,0">
              <w:txbxContent>
                <w:p w14:paraId="57D4B65D" w14:textId="77777777" w:rsidR="00EF7A63" w:rsidRDefault="00EF7A63">
                  <w:pPr>
                    <w:spacing w:line="160" w:lineRule="exact"/>
                    <w:jc w:val="left"/>
                    <w:rPr>
                      <w:rFonts w:cs="Miriam"/>
                      <w:noProof/>
                      <w:szCs w:val="18"/>
                      <w:rtl/>
                    </w:rPr>
                  </w:pPr>
                  <w:r>
                    <w:rPr>
                      <w:rFonts w:cs="Miriam"/>
                      <w:szCs w:val="18"/>
                      <w:rtl/>
                    </w:rPr>
                    <w:t>ה</w:t>
                  </w:r>
                  <w:r>
                    <w:rPr>
                      <w:rFonts w:cs="Miriam" w:hint="cs"/>
                      <w:szCs w:val="18"/>
                      <w:rtl/>
                    </w:rPr>
                    <w:t xml:space="preserve">רכב ועדה </w:t>
                  </w:r>
                  <w:r>
                    <w:rPr>
                      <w:rFonts w:cs="Miriam"/>
                      <w:szCs w:val="18"/>
                      <w:rtl/>
                    </w:rPr>
                    <w:t>ל</w:t>
                  </w:r>
                  <w:r>
                    <w:rPr>
                      <w:rFonts w:cs="Miriam" w:hint="cs"/>
                      <w:szCs w:val="18"/>
                      <w:rtl/>
                    </w:rPr>
                    <w:t>עררים</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ועדה לעררים תורכב משלושה חברים מבין המנויים להלן:</w:t>
      </w:r>
    </w:p>
    <w:p w14:paraId="4B2CE104" w14:textId="77777777" w:rsidR="00EF7A63" w:rsidRDefault="00EF7A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נציג המוסד שהוא אחד מאלה:</w:t>
      </w:r>
    </w:p>
    <w:p w14:paraId="13C12954" w14:textId="77777777" w:rsidR="00EF7A63" w:rsidRDefault="00EF7A6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מרכז יחידת השיקום;</w:t>
      </w:r>
    </w:p>
    <w:p w14:paraId="745B2AF1" w14:textId="77777777" w:rsidR="00EF7A63" w:rsidRDefault="00EF7A6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יחידת הגימלאו</w:t>
      </w:r>
      <w:r>
        <w:rPr>
          <w:rStyle w:val="default"/>
          <w:rFonts w:cs="FrankRuehl"/>
          <w:rtl/>
        </w:rPr>
        <w:t>ת</w:t>
      </w:r>
      <w:r>
        <w:rPr>
          <w:rStyle w:val="default"/>
          <w:rFonts w:cs="FrankRuehl" w:hint="cs"/>
          <w:rtl/>
        </w:rPr>
        <w:t xml:space="preserve">; </w:t>
      </w:r>
    </w:p>
    <w:p w14:paraId="688B5EED" w14:textId="77777777" w:rsidR="00EF7A63" w:rsidRDefault="00EF7A63">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מנהל התחנה ליעוץ לקשיש במקום מושבה של הועדה לעררים. </w:t>
      </w:r>
    </w:p>
    <w:p w14:paraId="45C5A235" w14:textId="77777777" w:rsidR="00EF7A63" w:rsidRDefault="00EF7A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אחות בעלת נסיון של 5 שנים לפחות בטיפול בחולים כרוניים בקהילה, שתיבחר מתוך רשימה שיסכימו עליה השר ושר הבריאות;</w:t>
      </w:r>
    </w:p>
    <w:p w14:paraId="49ECAB9D" w14:textId="77777777" w:rsidR="00EF7A63" w:rsidRDefault="00EF7A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עובד סוציאלי בעל נסיון של 5 שנים לפחות בטיפול באוכלוסיות עם בעיות בריאות, נכו</w:t>
      </w:r>
      <w:r>
        <w:rPr>
          <w:rStyle w:val="default"/>
          <w:rFonts w:cs="FrankRuehl"/>
          <w:rtl/>
        </w:rPr>
        <w:t>ת</w:t>
      </w:r>
      <w:r>
        <w:rPr>
          <w:rStyle w:val="default"/>
          <w:rFonts w:cs="FrankRuehl" w:hint="cs"/>
          <w:rtl/>
        </w:rPr>
        <w:t xml:space="preserve"> או זיקנה, שייבחר מתוך רשימה שיקבע השר. </w:t>
      </w:r>
    </w:p>
    <w:p w14:paraId="17807024" w14:textId="77777777" w:rsidR="00EF7A63" w:rsidRDefault="00EF7A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את הרכב הועדה לעררים, מקום מושבה ואזורי פעולתה יקבע עובד המוסד שמינהלת המוסד הסמיכה לכך; חבר הועדה, מבין המנויים </w:t>
      </w:r>
      <w:r>
        <w:rPr>
          <w:rStyle w:val="default"/>
          <w:rFonts w:cs="FrankRuehl"/>
          <w:rtl/>
        </w:rPr>
        <w:t>ב</w:t>
      </w:r>
      <w:r>
        <w:rPr>
          <w:rStyle w:val="default"/>
          <w:rFonts w:cs="FrankRuehl" w:hint="cs"/>
          <w:rtl/>
        </w:rPr>
        <w:t>תקנת משנה (א)(2) ו-(3), ישמש כיושב ראש הועדה.</w:t>
      </w:r>
    </w:p>
    <w:p w14:paraId="355AE135" w14:textId="77777777" w:rsidR="00EF7A63" w:rsidRDefault="00EF7A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בועדה לעררים לא יהיה חבר מי שהוא חבר בועדה מקומית או היה חבר בועדה המקומית שנתנה ההחלטה נושא הערר, ולא יהיה חבר מי שכפוף מינהלית או אחרת לחבר מחברי אותה ועדה מקומית.</w:t>
      </w:r>
    </w:p>
    <w:p w14:paraId="7A7E76B5" w14:textId="77777777" w:rsidR="00EF7A63" w:rsidRDefault="00EF7A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רשימת האחיות ורשימת העובדים הסוצ</w:t>
      </w:r>
      <w:r>
        <w:rPr>
          <w:rStyle w:val="default"/>
          <w:rFonts w:cs="FrankRuehl"/>
          <w:rtl/>
        </w:rPr>
        <w:t>י</w:t>
      </w:r>
      <w:r>
        <w:rPr>
          <w:rStyle w:val="default"/>
          <w:rFonts w:cs="FrankRuehl" w:hint="cs"/>
          <w:rtl/>
        </w:rPr>
        <w:t xml:space="preserve">אליים שישמשו כחברי הועדות לעררים יפורסמו ברשומות. </w:t>
      </w:r>
    </w:p>
    <w:p w14:paraId="609CF064" w14:textId="77777777" w:rsidR="00EF7A63" w:rsidRDefault="00EF7A63">
      <w:pPr>
        <w:pStyle w:val="P00"/>
        <w:spacing w:before="72"/>
        <w:ind w:left="0" w:right="1134"/>
        <w:rPr>
          <w:rStyle w:val="default"/>
          <w:rFonts w:cs="FrankRuehl"/>
          <w:rtl/>
        </w:rPr>
      </w:pPr>
      <w:bookmarkStart w:id="4" w:name="Seif4"/>
      <w:bookmarkEnd w:id="4"/>
      <w:r>
        <w:rPr>
          <w:lang w:val="he-IL"/>
        </w:rPr>
        <w:pict w14:anchorId="7062DE4E">
          <v:rect id="_x0000_s1030" style="position:absolute;left:0;text-align:left;margin-left:464.5pt;margin-top:8.05pt;width:75.05pt;height:30pt;z-index:251656704" o:allowincell="f" filled="f" stroked="f" strokecolor="lime" strokeweight=".25pt">
            <v:textbox inset="0,0,0,0">
              <w:txbxContent>
                <w:p w14:paraId="3B8C0EF7" w14:textId="77777777" w:rsidR="00EF7A63" w:rsidRDefault="00EF7A63">
                  <w:pPr>
                    <w:spacing w:line="160" w:lineRule="exact"/>
                    <w:jc w:val="left"/>
                    <w:rPr>
                      <w:rFonts w:cs="Miriam"/>
                      <w:noProof/>
                      <w:szCs w:val="18"/>
                      <w:rtl/>
                    </w:rPr>
                  </w:pPr>
                  <w:r>
                    <w:rPr>
                      <w:rFonts w:cs="Miriam"/>
                      <w:szCs w:val="18"/>
                      <w:rtl/>
                    </w:rPr>
                    <w:t>ס</w:t>
                  </w:r>
                  <w:r>
                    <w:rPr>
                      <w:rFonts w:cs="Miriam" w:hint="cs"/>
                      <w:szCs w:val="18"/>
                      <w:rtl/>
                    </w:rPr>
                    <w:t xml:space="preserve">מכויות הועדה </w:t>
                  </w:r>
                  <w:r>
                    <w:rPr>
                      <w:rFonts w:cs="Miriam"/>
                      <w:szCs w:val="18"/>
                      <w:rtl/>
                    </w:rPr>
                    <w:t>ל</w:t>
                  </w:r>
                  <w:r>
                    <w:rPr>
                      <w:rFonts w:cs="Miriam" w:hint="cs"/>
                      <w:szCs w:val="18"/>
                      <w:rtl/>
                    </w:rPr>
                    <w:t>עררים</w:t>
                  </w:r>
                </w:p>
              </w:txbxContent>
            </v:textbox>
            <w10:anchorlock/>
          </v:rect>
        </w:pict>
      </w:r>
      <w:r>
        <w:rPr>
          <w:rStyle w:val="big-number"/>
          <w:rFonts w:cs="Miriam"/>
          <w:rtl/>
        </w:rPr>
        <w:t>5.</w:t>
      </w:r>
      <w:r>
        <w:rPr>
          <w:rStyle w:val="big-number"/>
          <w:rFonts w:cs="Miriam"/>
          <w:rtl/>
        </w:rPr>
        <w:tab/>
      </w:r>
      <w:r>
        <w:rPr>
          <w:rStyle w:val="default"/>
          <w:rFonts w:cs="FrankRuehl"/>
          <w:rtl/>
        </w:rPr>
        <w:t>ו</w:t>
      </w:r>
      <w:r>
        <w:rPr>
          <w:rStyle w:val="default"/>
          <w:rFonts w:cs="FrankRuehl" w:hint="cs"/>
          <w:rtl/>
        </w:rPr>
        <w:t>עדה לעררים רשאית לאשר את ההחלטה נושא הערר, לשנותה, לבטלה, לסייגה או להגבילה; ראתה הועדה לעררים, כי ענין פלוני, הדרוש לצורך ההחלטה, לא נבדק על ידי הועדה המקומית או לא נשקל על י</w:t>
      </w:r>
      <w:r>
        <w:rPr>
          <w:rStyle w:val="default"/>
          <w:rFonts w:cs="FrankRuehl"/>
          <w:rtl/>
        </w:rPr>
        <w:t>ד</w:t>
      </w:r>
      <w:r>
        <w:rPr>
          <w:rStyle w:val="default"/>
          <w:rFonts w:cs="FrankRuehl" w:hint="cs"/>
          <w:rtl/>
        </w:rPr>
        <w:t xml:space="preserve">ה, רשאית היא להחזיר את הדיון לועדה המקומית ולהורות לה לערוך את הבדיקות הנחוצות ולתת החלטה חוזרת. </w:t>
      </w:r>
    </w:p>
    <w:p w14:paraId="7FBF293B" w14:textId="77777777" w:rsidR="00EF7A63" w:rsidRDefault="00EF7A63">
      <w:pPr>
        <w:pStyle w:val="P00"/>
        <w:spacing w:before="72"/>
        <w:ind w:left="0" w:right="1134"/>
        <w:rPr>
          <w:rStyle w:val="default"/>
          <w:rFonts w:cs="FrankRuehl"/>
          <w:rtl/>
        </w:rPr>
      </w:pPr>
      <w:bookmarkStart w:id="5" w:name="Seif5"/>
      <w:bookmarkEnd w:id="5"/>
      <w:r>
        <w:rPr>
          <w:lang w:val="he-IL"/>
        </w:rPr>
        <w:pict w14:anchorId="1BF7568A">
          <v:rect id="_x0000_s1031" style="position:absolute;left:0;text-align:left;margin-left:464.5pt;margin-top:8.05pt;width:75.05pt;height:20pt;z-index:251657728" o:allowincell="f" filled="f" stroked="f" strokecolor="lime" strokeweight=".25pt">
            <v:textbox inset="0,0,0,0">
              <w:txbxContent>
                <w:p w14:paraId="7BCB402D" w14:textId="77777777" w:rsidR="00EF7A63" w:rsidRDefault="00EF7A63">
                  <w:pPr>
                    <w:spacing w:line="160" w:lineRule="exact"/>
                    <w:jc w:val="left"/>
                    <w:rPr>
                      <w:rFonts w:cs="Miriam"/>
                      <w:noProof/>
                      <w:szCs w:val="18"/>
                      <w:rtl/>
                    </w:rPr>
                  </w:pPr>
                  <w:r>
                    <w:rPr>
                      <w:rFonts w:cs="Miriam"/>
                      <w:szCs w:val="18"/>
                      <w:rtl/>
                    </w:rPr>
                    <w:t>ה</w:t>
                  </w:r>
                  <w:r>
                    <w:rPr>
                      <w:rFonts w:cs="Miriam" w:hint="cs"/>
                      <w:szCs w:val="18"/>
                      <w:rtl/>
                    </w:rPr>
                    <w:t>דיון בערר</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דיון בערר יהיה על סמך מסמכים בלבד, אולם רשאית הועדה, אם מצאה לנכון, לבדוק את המבוטח או להורות על בדיקתו במקום הימצאו ולצורך זה למנות מומחה</w:t>
      </w:r>
      <w:r>
        <w:rPr>
          <w:rStyle w:val="default"/>
          <w:rFonts w:cs="FrankRuehl"/>
          <w:rtl/>
        </w:rPr>
        <w:t xml:space="preserve"> </w:t>
      </w:r>
      <w:r>
        <w:rPr>
          <w:rStyle w:val="default"/>
          <w:rFonts w:cs="FrankRuehl" w:hint="cs"/>
          <w:rtl/>
        </w:rPr>
        <w:t xml:space="preserve">שיערוך את הבדיקה. </w:t>
      </w:r>
    </w:p>
    <w:p w14:paraId="639DB4C4" w14:textId="77777777" w:rsidR="00EF7A63" w:rsidRDefault="00EF7A63">
      <w:pPr>
        <w:pStyle w:val="P00"/>
        <w:spacing w:before="72"/>
        <w:ind w:left="0" w:right="1134"/>
        <w:rPr>
          <w:rStyle w:val="default"/>
          <w:rFonts w:cs="FrankRuehl"/>
          <w:rtl/>
        </w:rPr>
      </w:pPr>
      <w:bookmarkStart w:id="6" w:name="Seif6"/>
      <w:bookmarkEnd w:id="6"/>
      <w:r>
        <w:rPr>
          <w:lang w:val="he-IL"/>
        </w:rPr>
        <w:pict w14:anchorId="7ABFBDE0">
          <v:rect id="_x0000_s1032" style="position:absolute;left:0;text-align:left;margin-left:464.5pt;margin-top:8.05pt;width:75.05pt;height:30pt;z-index:251658752" o:allowincell="f" filled="f" stroked="f" strokecolor="lime" strokeweight=".25pt">
            <v:textbox inset="0,0,0,0">
              <w:txbxContent>
                <w:p w14:paraId="5CA86363" w14:textId="77777777" w:rsidR="00EF7A63" w:rsidRDefault="00EF7A63">
                  <w:pPr>
                    <w:spacing w:line="160" w:lineRule="exact"/>
                    <w:jc w:val="left"/>
                    <w:rPr>
                      <w:rFonts w:cs="Miriam"/>
                      <w:noProof/>
                      <w:szCs w:val="18"/>
                      <w:rtl/>
                    </w:rPr>
                  </w:pPr>
                  <w:r>
                    <w:rPr>
                      <w:rFonts w:cs="Miriam"/>
                      <w:szCs w:val="18"/>
                      <w:rtl/>
                    </w:rPr>
                    <w:t>י</w:t>
                  </w:r>
                  <w:r>
                    <w:rPr>
                      <w:rFonts w:cs="Miriam" w:hint="cs"/>
                      <w:szCs w:val="18"/>
                      <w:rtl/>
                    </w:rPr>
                    <w:t xml:space="preserve">יצוג העורר </w:t>
                  </w:r>
                  <w:r>
                    <w:rPr>
                      <w:rFonts w:cs="Miriam"/>
                      <w:szCs w:val="18"/>
                      <w:rtl/>
                    </w:rPr>
                    <w:t>ב</w:t>
                  </w:r>
                  <w:r>
                    <w:rPr>
                      <w:rFonts w:cs="Miriam" w:hint="cs"/>
                      <w:szCs w:val="18"/>
                      <w:rtl/>
                    </w:rPr>
                    <w:t>פני הועדה</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יקש מבוטח להשמיע טיעוניו בפני הועדה לעררים, תזמנו הועדה לדיון בעררו; המבוטח רשאי להיות מיוצג בעת הדיון על ידי אפוטרופסו, ובאין אפוטרופוס - על ידי בן זוגו, קרובו, ידיד קרוב, עובד סוציאלי של שירותי הרווחה או</w:t>
      </w:r>
      <w:r>
        <w:rPr>
          <w:rStyle w:val="default"/>
          <w:rFonts w:cs="FrankRuehl"/>
          <w:rtl/>
        </w:rPr>
        <w:t xml:space="preserve"> </w:t>
      </w:r>
      <w:r>
        <w:rPr>
          <w:rStyle w:val="default"/>
          <w:rFonts w:cs="FrankRuehl" w:hint="cs"/>
          <w:rtl/>
        </w:rPr>
        <w:t xml:space="preserve">אחות שירותי הבריאות במקום מגורי העורר. </w:t>
      </w:r>
    </w:p>
    <w:p w14:paraId="342CB89E" w14:textId="77777777" w:rsidR="00EF7A63" w:rsidRDefault="00EF7A63">
      <w:pPr>
        <w:pStyle w:val="P00"/>
        <w:spacing w:before="72"/>
        <w:ind w:left="0" w:right="1134"/>
        <w:rPr>
          <w:rStyle w:val="default"/>
          <w:rFonts w:cs="FrankRuehl"/>
          <w:rtl/>
        </w:rPr>
      </w:pPr>
      <w:bookmarkStart w:id="7" w:name="Seif7"/>
      <w:bookmarkEnd w:id="7"/>
      <w:r>
        <w:rPr>
          <w:lang w:val="he-IL"/>
        </w:rPr>
        <w:lastRenderedPageBreak/>
        <w:pict w14:anchorId="28E44119">
          <v:rect id="_x0000_s1033" style="position:absolute;left:0;text-align:left;margin-left:464.5pt;margin-top:8.05pt;width:75.05pt;height:20pt;z-index:251659776" o:allowincell="f" filled="f" stroked="f" strokecolor="lime" strokeweight=".25pt">
            <v:textbox inset="0,0,0,0">
              <w:txbxContent>
                <w:p w14:paraId="00D403BE" w14:textId="77777777" w:rsidR="00EF7A63" w:rsidRDefault="00EF7A63">
                  <w:pPr>
                    <w:spacing w:line="160" w:lineRule="exact"/>
                    <w:jc w:val="left"/>
                    <w:rPr>
                      <w:rFonts w:cs="Miriam"/>
                      <w:noProof/>
                      <w:szCs w:val="18"/>
                      <w:rtl/>
                    </w:rPr>
                  </w:pPr>
                  <w:r>
                    <w:rPr>
                      <w:rFonts w:cs="Miriam"/>
                      <w:szCs w:val="18"/>
                      <w:rtl/>
                    </w:rPr>
                    <w:t>ס</w:t>
                  </w:r>
                  <w:r>
                    <w:rPr>
                      <w:rFonts w:cs="Miriam" w:hint="cs"/>
                      <w:szCs w:val="18"/>
                      <w:rtl/>
                    </w:rPr>
                    <w:t>ודיות</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מסמכים הרפואיים וכל מסמך אחר שבידי הועדה לעררים הם סודיים, אך מותר להביאם לידיעת אדם אשר נזקקים לשירותיו לצורך ההחלטה בערר או לידיעת אדם שהעורר הסכים, בכתב, להביאם לידיעתו; אדם שלידיעתו הובא מסמך שביד</w:t>
      </w:r>
      <w:r>
        <w:rPr>
          <w:rStyle w:val="default"/>
          <w:rFonts w:cs="FrankRuehl"/>
          <w:rtl/>
        </w:rPr>
        <w:t>י</w:t>
      </w:r>
      <w:r>
        <w:rPr>
          <w:rStyle w:val="default"/>
          <w:rFonts w:cs="FrankRuehl" w:hint="cs"/>
          <w:rtl/>
        </w:rPr>
        <w:t xml:space="preserve"> הועדה חייב בשמירת סודיות של המסמך.</w:t>
      </w:r>
    </w:p>
    <w:p w14:paraId="32B35114" w14:textId="77777777" w:rsidR="00EF7A63" w:rsidRDefault="00EF7A63">
      <w:pPr>
        <w:pStyle w:val="P00"/>
        <w:spacing w:before="72"/>
        <w:ind w:left="0" w:right="1134"/>
        <w:rPr>
          <w:rStyle w:val="default"/>
          <w:rFonts w:cs="FrankRuehl"/>
          <w:rtl/>
        </w:rPr>
      </w:pPr>
      <w:bookmarkStart w:id="8" w:name="Seif8"/>
      <w:bookmarkEnd w:id="8"/>
      <w:r>
        <w:rPr>
          <w:lang w:val="he-IL"/>
        </w:rPr>
        <w:pict w14:anchorId="57A22656">
          <v:rect id="_x0000_s1034" style="position:absolute;left:0;text-align:left;margin-left:464.5pt;margin-top:8.05pt;width:75.05pt;height:20pt;z-index:251660800" o:allowincell="f" filled="f" stroked="f" strokecolor="lime" strokeweight=".25pt">
            <v:textbox inset="0,0,0,0">
              <w:txbxContent>
                <w:p w14:paraId="7DDD4798" w14:textId="77777777" w:rsidR="00EF7A63" w:rsidRDefault="00EF7A63">
                  <w:pPr>
                    <w:spacing w:line="160" w:lineRule="exact"/>
                    <w:jc w:val="left"/>
                    <w:rPr>
                      <w:rFonts w:cs="Miriam"/>
                      <w:noProof/>
                      <w:szCs w:val="18"/>
                      <w:rtl/>
                    </w:rPr>
                  </w:pPr>
                  <w:r>
                    <w:rPr>
                      <w:rFonts w:cs="Miriam"/>
                      <w:szCs w:val="18"/>
                      <w:rtl/>
                    </w:rPr>
                    <w:t>ה</w:t>
                  </w:r>
                  <w:r>
                    <w:rPr>
                      <w:rFonts w:cs="Miriam" w:hint="cs"/>
                      <w:szCs w:val="18"/>
                      <w:rtl/>
                    </w:rPr>
                    <w:t>חלטה בערר</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 xml:space="preserve">חלטת ועדה לעררים תתקבל ברוב דעות חבריה. </w:t>
      </w:r>
    </w:p>
    <w:p w14:paraId="243A3147" w14:textId="77777777" w:rsidR="00EF7A63" w:rsidRDefault="00EF7A63">
      <w:pPr>
        <w:pStyle w:val="P00"/>
        <w:spacing w:before="72"/>
        <w:ind w:left="0" w:right="1134"/>
        <w:rPr>
          <w:rStyle w:val="default"/>
          <w:rFonts w:cs="FrankRuehl"/>
          <w:rtl/>
        </w:rPr>
      </w:pPr>
      <w:bookmarkStart w:id="9" w:name="Seif9"/>
      <w:bookmarkEnd w:id="9"/>
      <w:r>
        <w:rPr>
          <w:lang w:val="he-IL"/>
        </w:rPr>
        <w:pict w14:anchorId="02A58B4F">
          <v:rect id="_x0000_s1035" style="position:absolute;left:0;text-align:left;margin-left:464.5pt;margin-top:8.05pt;width:75.05pt;height:20pt;z-index:251661824" o:allowincell="f" filled="f" stroked="f" strokecolor="lime" strokeweight=".25pt">
            <v:textbox inset="0,0,0,0">
              <w:txbxContent>
                <w:p w14:paraId="6F668FA2" w14:textId="77777777" w:rsidR="00EF7A63" w:rsidRDefault="00EF7A63">
                  <w:pPr>
                    <w:spacing w:line="160" w:lineRule="exact"/>
                    <w:jc w:val="left"/>
                    <w:rPr>
                      <w:rFonts w:cs="Miriam"/>
                      <w:noProof/>
                      <w:szCs w:val="18"/>
                      <w:rtl/>
                    </w:rPr>
                  </w:pPr>
                  <w:r>
                    <w:rPr>
                      <w:rFonts w:cs="Miriam"/>
                      <w:szCs w:val="18"/>
                      <w:rtl/>
                    </w:rPr>
                    <w:t>ה</w:t>
                  </w:r>
                  <w:r>
                    <w:rPr>
                      <w:rFonts w:cs="Miriam" w:hint="cs"/>
                      <w:szCs w:val="18"/>
                      <w:rtl/>
                    </w:rPr>
                    <w:t>ודעת ההחלטה</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 xml:space="preserve">מוסד יודיע לעורר או לבא כוחו בכתב, את החלטת הועדה לעררים ונימוקיה תוך שלושים ימים מיום קבלתה, אלא אם כן החליטה הועדה שאין להביא הנימוקים </w:t>
      </w:r>
      <w:r>
        <w:rPr>
          <w:rStyle w:val="default"/>
          <w:rFonts w:cs="FrankRuehl"/>
          <w:rtl/>
        </w:rPr>
        <w:t>ל</w:t>
      </w:r>
      <w:r>
        <w:rPr>
          <w:rStyle w:val="default"/>
          <w:rFonts w:cs="FrankRuehl" w:hint="cs"/>
          <w:rtl/>
        </w:rPr>
        <w:t>ידיעת העורר ויש להביאם לידיעת בא כוחו של העורר או אדם אחר המייצג אותו לדעת המוסד.</w:t>
      </w:r>
    </w:p>
    <w:p w14:paraId="67812F6E" w14:textId="77777777" w:rsidR="00EF7A63" w:rsidRDefault="00EF7A63">
      <w:pPr>
        <w:pStyle w:val="P00"/>
        <w:spacing w:before="72"/>
        <w:ind w:left="0" w:right="1134"/>
        <w:rPr>
          <w:rStyle w:val="default"/>
          <w:rFonts w:cs="FrankRuehl"/>
          <w:rtl/>
        </w:rPr>
      </w:pPr>
      <w:bookmarkStart w:id="10" w:name="Seif10"/>
      <w:bookmarkEnd w:id="10"/>
      <w:r>
        <w:rPr>
          <w:lang w:val="he-IL"/>
        </w:rPr>
        <w:pict w14:anchorId="23DE15EA">
          <v:rect id="_x0000_s1036" style="position:absolute;left:0;text-align:left;margin-left:464.5pt;margin-top:8.05pt;width:75.05pt;height:20pt;z-index:251662848" o:allowincell="f" filled="f" stroked="f" strokecolor="lime" strokeweight=".25pt">
            <v:textbox inset="0,0,0,0">
              <w:txbxContent>
                <w:p w14:paraId="60739A73" w14:textId="77777777" w:rsidR="00EF7A63" w:rsidRDefault="00EF7A6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11.</w:t>
      </w:r>
      <w:r>
        <w:rPr>
          <w:rStyle w:val="big-number"/>
          <w:rFonts w:cs="Miriam"/>
          <w:rtl/>
        </w:rPr>
        <w:tab/>
      </w:r>
      <w:r>
        <w:rPr>
          <w:rStyle w:val="default"/>
          <w:rFonts w:cs="FrankRuehl"/>
          <w:rtl/>
        </w:rPr>
        <w:t>ת</w:t>
      </w:r>
      <w:r>
        <w:rPr>
          <w:rStyle w:val="default"/>
          <w:rFonts w:cs="FrankRuehl" w:hint="cs"/>
          <w:rtl/>
        </w:rPr>
        <w:t>חילתן של תקנות אלה ביום י"ד בניסן תשמ"ח (1 באפריל 1988).</w:t>
      </w:r>
    </w:p>
    <w:p w14:paraId="62058978" w14:textId="77777777" w:rsidR="00EF7A63" w:rsidRDefault="00EF7A63">
      <w:pPr>
        <w:pStyle w:val="P00"/>
        <w:spacing w:before="72"/>
        <w:ind w:left="0" w:right="1134"/>
        <w:rPr>
          <w:rStyle w:val="default"/>
          <w:rFonts w:cs="FrankRuehl"/>
          <w:rtl/>
        </w:rPr>
      </w:pPr>
    </w:p>
    <w:p w14:paraId="097799C3" w14:textId="77777777" w:rsidR="00EF7A63" w:rsidRDefault="00EF7A63">
      <w:pPr>
        <w:pStyle w:val="sig-0"/>
        <w:ind w:left="0" w:right="1134"/>
        <w:rPr>
          <w:rtl/>
        </w:rPr>
      </w:pPr>
      <w:r>
        <w:rPr>
          <w:rtl/>
        </w:rPr>
        <w:t>כ</w:t>
      </w:r>
      <w:r>
        <w:rPr>
          <w:rFonts w:hint="cs"/>
          <w:rtl/>
        </w:rPr>
        <w:t>"ב בטבת תשמ"ח (12 בינואר 1988)</w:t>
      </w:r>
      <w:r>
        <w:rPr>
          <w:rtl/>
        </w:rPr>
        <w:tab/>
      </w:r>
      <w:r>
        <w:rPr>
          <w:rFonts w:hint="cs"/>
          <w:rtl/>
        </w:rPr>
        <w:t>משה קצב</w:t>
      </w:r>
    </w:p>
    <w:p w14:paraId="4C528729" w14:textId="77777777" w:rsidR="00EF7A63" w:rsidRDefault="00EF7A63">
      <w:pPr>
        <w:pStyle w:val="sig-1"/>
        <w:widowControl/>
        <w:ind w:left="0" w:right="1134"/>
        <w:rPr>
          <w:rFonts w:hint="cs"/>
          <w:rtl/>
        </w:rPr>
      </w:pPr>
      <w:r>
        <w:rPr>
          <w:rtl/>
        </w:rPr>
        <w:tab/>
      </w:r>
      <w:r>
        <w:rPr>
          <w:rtl/>
        </w:rPr>
        <w:tab/>
      </w:r>
      <w:r>
        <w:rPr>
          <w:rtl/>
        </w:rPr>
        <w:tab/>
      </w:r>
      <w:r>
        <w:rPr>
          <w:rFonts w:hint="cs"/>
          <w:rtl/>
        </w:rPr>
        <w:t>שר העבודה והרווחה</w:t>
      </w:r>
    </w:p>
    <w:p w14:paraId="15180803" w14:textId="77777777" w:rsidR="00EF7A63" w:rsidRDefault="00EF7A63">
      <w:pPr>
        <w:pStyle w:val="P00"/>
        <w:spacing w:before="72"/>
        <w:ind w:left="0" w:right="1134"/>
        <w:rPr>
          <w:rStyle w:val="default"/>
          <w:rFonts w:cs="FrankRuehl" w:hint="cs"/>
          <w:rtl/>
        </w:rPr>
      </w:pPr>
    </w:p>
    <w:p w14:paraId="55F825F1" w14:textId="77777777" w:rsidR="00EF7A63" w:rsidRDefault="00EF7A63">
      <w:pPr>
        <w:pStyle w:val="P00"/>
        <w:spacing w:before="72"/>
        <w:ind w:left="0" w:right="1134"/>
        <w:rPr>
          <w:rStyle w:val="default"/>
          <w:rFonts w:cs="FrankRuehl"/>
          <w:rtl/>
        </w:rPr>
      </w:pPr>
    </w:p>
    <w:p w14:paraId="2BD47A00" w14:textId="77777777" w:rsidR="00EF7A63" w:rsidRDefault="00EF7A63">
      <w:pPr>
        <w:pStyle w:val="P00"/>
        <w:spacing w:before="72"/>
        <w:ind w:left="0" w:right="1134"/>
        <w:rPr>
          <w:rStyle w:val="default"/>
          <w:rFonts w:cs="FrankRuehl"/>
          <w:rtl/>
        </w:rPr>
      </w:pPr>
      <w:bookmarkStart w:id="11" w:name="LawPartEnd"/>
    </w:p>
    <w:bookmarkEnd w:id="11"/>
    <w:p w14:paraId="1159179D" w14:textId="77777777" w:rsidR="00EF7A63" w:rsidRDefault="00EF7A63">
      <w:pPr>
        <w:pStyle w:val="P00"/>
        <w:spacing w:before="72"/>
        <w:ind w:left="0" w:right="1134"/>
        <w:rPr>
          <w:rStyle w:val="default"/>
          <w:rFonts w:cs="FrankRuehl"/>
          <w:rtl/>
        </w:rPr>
      </w:pPr>
    </w:p>
    <w:sectPr w:rsidR="00EF7A6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1C02" w14:textId="77777777" w:rsidR="008825B0" w:rsidRDefault="008825B0">
      <w:r>
        <w:separator/>
      </w:r>
    </w:p>
  </w:endnote>
  <w:endnote w:type="continuationSeparator" w:id="0">
    <w:p w14:paraId="4686E24D" w14:textId="77777777" w:rsidR="008825B0" w:rsidRDefault="0088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717C" w14:textId="77777777" w:rsidR="00EF7A63" w:rsidRDefault="00EF7A6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BBA7B35" w14:textId="77777777" w:rsidR="00EF7A63" w:rsidRDefault="00EF7A6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C15A64D" w14:textId="77777777" w:rsidR="00EF7A63" w:rsidRDefault="00EF7A6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0D15" w14:textId="77777777" w:rsidR="00EF7A63" w:rsidRDefault="00EF7A6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3523">
      <w:rPr>
        <w:rFonts w:hAnsi="FrankRuehl" w:cs="FrankRuehl"/>
        <w:noProof/>
        <w:sz w:val="24"/>
        <w:szCs w:val="24"/>
        <w:rtl/>
      </w:rPr>
      <w:t>2</w:t>
    </w:r>
    <w:r>
      <w:rPr>
        <w:rFonts w:hAnsi="FrankRuehl" w:cs="FrankRuehl"/>
        <w:sz w:val="24"/>
        <w:szCs w:val="24"/>
        <w:rtl/>
      </w:rPr>
      <w:fldChar w:fldCharType="end"/>
    </w:r>
  </w:p>
  <w:p w14:paraId="13EA9F98" w14:textId="77777777" w:rsidR="00EF7A63" w:rsidRDefault="00EF7A6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F95034" w14:textId="77777777" w:rsidR="00EF7A63" w:rsidRDefault="00EF7A6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7F0A" w14:textId="77777777" w:rsidR="008825B0" w:rsidRDefault="008825B0">
      <w:pPr>
        <w:spacing w:before="60" w:line="240" w:lineRule="auto"/>
        <w:ind w:right="1134"/>
      </w:pPr>
      <w:r>
        <w:separator/>
      </w:r>
    </w:p>
  </w:footnote>
  <w:footnote w:type="continuationSeparator" w:id="0">
    <w:p w14:paraId="60E54C3F" w14:textId="77777777" w:rsidR="008825B0" w:rsidRDefault="008825B0">
      <w:r>
        <w:continuationSeparator/>
      </w:r>
    </w:p>
  </w:footnote>
  <w:footnote w:id="1">
    <w:p w14:paraId="4595E229" w14:textId="77777777" w:rsidR="00EF7A63" w:rsidRDefault="00EF7A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תשמ"ח מס' 5098</w:t>
        </w:r>
      </w:hyperlink>
      <w:r>
        <w:rPr>
          <w:rFonts w:hint="cs"/>
          <w:sz w:val="20"/>
          <w:rtl/>
        </w:rPr>
        <w:t xml:space="preserve"> מיום 31.3.1988 עמ' 690.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CAFDD" w14:textId="77777777" w:rsidR="00EF7A63" w:rsidRDefault="00EF7A6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סיעוד) (ערר על החלטת ועדה מקומית מקצועית), תשמ"ח- 1988</w:t>
    </w:r>
  </w:p>
  <w:p w14:paraId="32A37446" w14:textId="77777777" w:rsidR="00EF7A63" w:rsidRDefault="00EF7A6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B063BE" w14:textId="77777777" w:rsidR="00EF7A63" w:rsidRDefault="00EF7A6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6561" w14:textId="77777777" w:rsidR="00EF7A63" w:rsidRDefault="00EF7A6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הביטוח הלאומי (ביטוח סיעוד) (ערר על החלטת ועדה מקומית מקצועית), </w:t>
    </w:r>
    <w:r>
      <w:rPr>
        <w:rFonts w:hAnsi="FrankRuehl" w:cs="FrankRuehl" w:hint="cs"/>
        <w:color w:val="000000"/>
        <w:sz w:val="28"/>
        <w:szCs w:val="28"/>
        <w:rtl/>
      </w:rPr>
      <w:br/>
    </w:r>
    <w:r>
      <w:rPr>
        <w:rFonts w:hAnsi="FrankRuehl" w:cs="FrankRuehl"/>
        <w:color w:val="000000"/>
        <w:sz w:val="28"/>
        <w:szCs w:val="28"/>
        <w:rtl/>
      </w:rPr>
      <w:t>תשמ"ח-1988</w:t>
    </w:r>
  </w:p>
  <w:p w14:paraId="53322C47" w14:textId="77777777" w:rsidR="00EF7A63" w:rsidRDefault="00EF7A6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D98B2A" w14:textId="77777777" w:rsidR="00EF7A63" w:rsidRDefault="00EF7A6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15E"/>
    <w:rsid w:val="00473523"/>
    <w:rsid w:val="0083615E"/>
    <w:rsid w:val="008825B0"/>
    <w:rsid w:val="00970B7E"/>
    <w:rsid w:val="00DB7D81"/>
    <w:rsid w:val="00EF7A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259DA1EE"/>
  <w15:chartTrackingRefBased/>
  <w15:docId w15:val="{89BAF974-D56F-4F05-9ED5-6D6239CF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0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4181</CharactersWithSpaces>
  <SharedDoc>false</SharedDoc>
  <HLinks>
    <vt:vector size="72"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7667712</vt:i4>
      </vt:variant>
      <vt:variant>
        <vt:i4>0</vt:i4>
      </vt:variant>
      <vt:variant>
        <vt:i4>0</vt:i4>
      </vt:variant>
      <vt:variant>
        <vt:i4>5</vt:i4>
      </vt:variant>
      <vt:variant>
        <vt:lpwstr>http://www.nevo.co.il/Law_word/law06/TAK-5098.pdf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סיעוד) (ערר על החלטת ועדה מקומית מקצועית), תשמ"ח-1988</vt:lpwstr>
  </property>
  <property fmtid="{D5CDD505-2E9C-101B-9397-08002B2CF9AE}" pid="5" name="LAWNUMBER">
    <vt:lpwstr>0093</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ביטוח סיעוד</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127צגX;242X</vt:lpwstr>
  </property>
</Properties>
</file>