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E1D1" w14:textId="77777777" w:rsidR="005A5ADD" w:rsidRDefault="005A5ADD">
      <w:pPr>
        <w:pStyle w:val="big-header"/>
        <w:ind w:left="0" w:right="1134"/>
        <w:rPr>
          <w:rFonts w:hint="cs"/>
          <w:rtl/>
        </w:rPr>
      </w:pPr>
      <w:r>
        <w:rPr>
          <w:rtl/>
        </w:rPr>
        <w:t>תקנות הביטוח הלאומי (ביצוע הסכם בין ממשלת ישראל לבין ממשלת הולנד), תשכ"ה-1965</w:t>
      </w:r>
    </w:p>
    <w:p w14:paraId="72FAD6DB" w14:textId="77777777" w:rsidR="00F07914" w:rsidRPr="00F07914" w:rsidRDefault="00F07914" w:rsidP="00F07914">
      <w:pPr>
        <w:spacing w:line="320" w:lineRule="auto"/>
        <w:jc w:val="left"/>
        <w:rPr>
          <w:rFonts w:cs="FrankRuehl"/>
          <w:szCs w:val="26"/>
          <w:rtl/>
        </w:rPr>
      </w:pPr>
    </w:p>
    <w:p w14:paraId="1C1177C9" w14:textId="77777777" w:rsidR="00F07914" w:rsidRDefault="00F07914" w:rsidP="00F07914">
      <w:pPr>
        <w:spacing w:line="320" w:lineRule="auto"/>
        <w:jc w:val="left"/>
        <w:rPr>
          <w:rFonts w:cs="Miriam"/>
          <w:szCs w:val="22"/>
          <w:rtl/>
        </w:rPr>
      </w:pPr>
      <w:r w:rsidRPr="00F07914">
        <w:rPr>
          <w:rFonts w:cs="Miriam"/>
          <w:szCs w:val="22"/>
          <w:rtl/>
        </w:rPr>
        <w:t>ביטוח</w:t>
      </w:r>
      <w:r w:rsidRPr="00F07914">
        <w:rPr>
          <w:rFonts w:cs="FrankRuehl"/>
          <w:szCs w:val="26"/>
          <w:rtl/>
        </w:rPr>
        <w:t xml:space="preserve"> – ביטוח לאומי</w:t>
      </w:r>
    </w:p>
    <w:p w14:paraId="652D26F8" w14:textId="77777777" w:rsidR="00F67C3D" w:rsidRPr="00F07914" w:rsidRDefault="00F07914" w:rsidP="00F07914">
      <w:pPr>
        <w:spacing w:line="320" w:lineRule="auto"/>
        <w:jc w:val="left"/>
        <w:rPr>
          <w:rFonts w:cs="Miriam"/>
          <w:szCs w:val="22"/>
          <w:rtl/>
        </w:rPr>
      </w:pPr>
      <w:r w:rsidRPr="00F07914">
        <w:rPr>
          <w:rFonts w:cs="Miriam"/>
          <w:szCs w:val="22"/>
          <w:rtl/>
        </w:rPr>
        <w:t>משפט בינ"ל פומבי</w:t>
      </w:r>
      <w:r w:rsidRPr="00F07914">
        <w:rPr>
          <w:rFonts w:cs="FrankRuehl"/>
          <w:szCs w:val="26"/>
          <w:rtl/>
        </w:rPr>
        <w:t xml:space="preserve"> – אמנות – אמנות ביטוח לאומי</w:t>
      </w:r>
    </w:p>
    <w:p w14:paraId="103CE6D7" w14:textId="77777777" w:rsidR="005A5ADD" w:rsidRDefault="005A5AD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A5ADD" w14:paraId="56BD9E1C" w14:textId="77777777">
        <w:tblPrEx>
          <w:tblCellMar>
            <w:top w:w="0" w:type="dxa"/>
            <w:bottom w:w="0" w:type="dxa"/>
          </w:tblCellMar>
        </w:tblPrEx>
        <w:tc>
          <w:tcPr>
            <w:tcW w:w="850" w:type="dxa"/>
          </w:tcPr>
          <w:p w14:paraId="0B708B6B" w14:textId="77777777" w:rsidR="005A5ADD" w:rsidRDefault="005A5AD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7A13C05" w14:textId="77777777" w:rsidR="005A5ADD" w:rsidRDefault="005A5ADD">
            <w:pPr>
              <w:spacing w:line="240" w:lineRule="auto"/>
              <w:rPr>
                <w:sz w:val="24"/>
              </w:rPr>
            </w:pPr>
            <w:hyperlink w:anchor="Seif0" w:tooltip="הגדרות" w:history="1">
              <w:r>
                <w:rPr>
                  <w:rStyle w:val="Hyperlink"/>
                </w:rPr>
                <w:t>Go</w:t>
              </w:r>
            </w:hyperlink>
          </w:p>
        </w:tc>
        <w:tc>
          <w:tcPr>
            <w:tcW w:w="5669" w:type="dxa"/>
          </w:tcPr>
          <w:p w14:paraId="7F8875D6" w14:textId="77777777" w:rsidR="005A5ADD" w:rsidRDefault="005A5ADD">
            <w:pPr>
              <w:spacing w:line="240" w:lineRule="auto"/>
              <w:rPr>
                <w:sz w:val="24"/>
                <w:rtl/>
              </w:rPr>
            </w:pPr>
            <w:r>
              <w:rPr>
                <w:sz w:val="24"/>
                <w:rtl/>
              </w:rPr>
              <w:t>הגדרות</w:t>
            </w:r>
          </w:p>
        </w:tc>
        <w:tc>
          <w:tcPr>
            <w:tcW w:w="1247" w:type="dxa"/>
          </w:tcPr>
          <w:p w14:paraId="311D93D8" w14:textId="77777777" w:rsidR="005A5ADD" w:rsidRDefault="005A5ADD">
            <w:pPr>
              <w:spacing w:line="240" w:lineRule="auto"/>
              <w:rPr>
                <w:sz w:val="24"/>
              </w:rPr>
            </w:pPr>
            <w:r>
              <w:rPr>
                <w:sz w:val="24"/>
                <w:rtl/>
              </w:rPr>
              <w:t xml:space="preserve">סעיף 1 </w:t>
            </w:r>
          </w:p>
        </w:tc>
      </w:tr>
      <w:tr w:rsidR="005A5ADD" w14:paraId="3C3446B7" w14:textId="77777777">
        <w:tblPrEx>
          <w:tblCellMar>
            <w:top w:w="0" w:type="dxa"/>
            <w:bottom w:w="0" w:type="dxa"/>
          </w:tblCellMar>
        </w:tblPrEx>
        <w:tc>
          <w:tcPr>
            <w:tcW w:w="850" w:type="dxa"/>
          </w:tcPr>
          <w:p w14:paraId="43676D71" w14:textId="77777777" w:rsidR="005A5ADD" w:rsidRDefault="005A5AD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1DE56A6" w14:textId="77777777" w:rsidR="005A5ADD" w:rsidRDefault="005A5ADD">
            <w:pPr>
              <w:spacing w:line="240" w:lineRule="auto"/>
              <w:rPr>
                <w:sz w:val="24"/>
              </w:rPr>
            </w:pPr>
            <w:hyperlink w:anchor="Seif1" w:tooltip="קיצבת זיקנה" w:history="1">
              <w:r>
                <w:rPr>
                  <w:rStyle w:val="Hyperlink"/>
                </w:rPr>
                <w:t>Go</w:t>
              </w:r>
            </w:hyperlink>
          </w:p>
        </w:tc>
        <w:tc>
          <w:tcPr>
            <w:tcW w:w="5669" w:type="dxa"/>
          </w:tcPr>
          <w:p w14:paraId="79AF0CE5" w14:textId="77777777" w:rsidR="005A5ADD" w:rsidRDefault="005A5ADD">
            <w:pPr>
              <w:spacing w:line="240" w:lineRule="auto"/>
              <w:rPr>
                <w:sz w:val="24"/>
                <w:rtl/>
              </w:rPr>
            </w:pPr>
            <w:r>
              <w:rPr>
                <w:sz w:val="24"/>
                <w:rtl/>
              </w:rPr>
              <w:t>קיצבת זיקנה</w:t>
            </w:r>
          </w:p>
        </w:tc>
        <w:tc>
          <w:tcPr>
            <w:tcW w:w="1247" w:type="dxa"/>
          </w:tcPr>
          <w:p w14:paraId="4B8EB14A" w14:textId="77777777" w:rsidR="005A5ADD" w:rsidRDefault="005A5ADD">
            <w:pPr>
              <w:spacing w:line="240" w:lineRule="auto"/>
              <w:rPr>
                <w:sz w:val="24"/>
              </w:rPr>
            </w:pPr>
            <w:r>
              <w:rPr>
                <w:sz w:val="24"/>
                <w:rtl/>
              </w:rPr>
              <w:t xml:space="preserve">סעיף 2 </w:t>
            </w:r>
          </w:p>
        </w:tc>
      </w:tr>
      <w:tr w:rsidR="005A5ADD" w14:paraId="53BA520C" w14:textId="77777777">
        <w:tblPrEx>
          <w:tblCellMar>
            <w:top w:w="0" w:type="dxa"/>
            <w:bottom w:w="0" w:type="dxa"/>
          </w:tblCellMar>
        </w:tblPrEx>
        <w:tc>
          <w:tcPr>
            <w:tcW w:w="850" w:type="dxa"/>
          </w:tcPr>
          <w:p w14:paraId="3C89A45C" w14:textId="77777777" w:rsidR="005A5ADD" w:rsidRDefault="005A5AD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7733B03" w14:textId="77777777" w:rsidR="005A5ADD" w:rsidRDefault="005A5ADD">
            <w:pPr>
              <w:spacing w:line="240" w:lineRule="auto"/>
              <w:rPr>
                <w:sz w:val="24"/>
              </w:rPr>
            </w:pPr>
            <w:hyperlink w:anchor="Seif2" w:tooltip="פטור" w:history="1">
              <w:r>
                <w:rPr>
                  <w:rStyle w:val="Hyperlink"/>
                </w:rPr>
                <w:t>Go</w:t>
              </w:r>
            </w:hyperlink>
          </w:p>
        </w:tc>
        <w:tc>
          <w:tcPr>
            <w:tcW w:w="5669" w:type="dxa"/>
          </w:tcPr>
          <w:p w14:paraId="6AAB908B" w14:textId="77777777" w:rsidR="005A5ADD" w:rsidRDefault="005A5ADD">
            <w:pPr>
              <w:spacing w:line="240" w:lineRule="auto"/>
              <w:rPr>
                <w:sz w:val="24"/>
                <w:rtl/>
              </w:rPr>
            </w:pPr>
            <w:r>
              <w:rPr>
                <w:sz w:val="24"/>
                <w:rtl/>
              </w:rPr>
              <w:t>פטור</w:t>
            </w:r>
          </w:p>
        </w:tc>
        <w:tc>
          <w:tcPr>
            <w:tcW w:w="1247" w:type="dxa"/>
          </w:tcPr>
          <w:p w14:paraId="52D51603" w14:textId="77777777" w:rsidR="005A5ADD" w:rsidRDefault="005A5ADD">
            <w:pPr>
              <w:spacing w:line="240" w:lineRule="auto"/>
              <w:rPr>
                <w:sz w:val="24"/>
              </w:rPr>
            </w:pPr>
            <w:r>
              <w:rPr>
                <w:sz w:val="24"/>
                <w:rtl/>
              </w:rPr>
              <w:t xml:space="preserve">סעיף 3 </w:t>
            </w:r>
          </w:p>
        </w:tc>
      </w:tr>
      <w:tr w:rsidR="005A5ADD" w14:paraId="6990EF73" w14:textId="77777777">
        <w:tblPrEx>
          <w:tblCellMar>
            <w:top w:w="0" w:type="dxa"/>
            <w:bottom w:w="0" w:type="dxa"/>
          </w:tblCellMar>
        </w:tblPrEx>
        <w:tc>
          <w:tcPr>
            <w:tcW w:w="850" w:type="dxa"/>
          </w:tcPr>
          <w:p w14:paraId="2DEA71D9" w14:textId="77777777" w:rsidR="005A5ADD" w:rsidRDefault="005A5AD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61E635B" w14:textId="77777777" w:rsidR="005A5ADD" w:rsidRDefault="005A5ADD">
            <w:pPr>
              <w:spacing w:line="240" w:lineRule="auto"/>
              <w:rPr>
                <w:sz w:val="24"/>
              </w:rPr>
            </w:pPr>
            <w:hyperlink w:anchor="Seif3" w:tooltip="אימות מסמכים" w:history="1">
              <w:r>
                <w:rPr>
                  <w:rStyle w:val="Hyperlink"/>
                </w:rPr>
                <w:t>Go</w:t>
              </w:r>
            </w:hyperlink>
          </w:p>
        </w:tc>
        <w:tc>
          <w:tcPr>
            <w:tcW w:w="5669" w:type="dxa"/>
          </w:tcPr>
          <w:p w14:paraId="26D66583" w14:textId="77777777" w:rsidR="005A5ADD" w:rsidRDefault="005A5ADD">
            <w:pPr>
              <w:spacing w:line="240" w:lineRule="auto"/>
              <w:rPr>
                <w:sz w:val="24"/>
                <w:rtl/>
              </w:rPr>
            </w:pPr>
            <w:r>
              <w:rPr>
                <w:sz w:val="24"/>
                <w:rtl/>
              </w:rPr>
              <w:t>אימות מסמכים</w:t>
            </w:r>
          </w:p>
        </w:tc>
        <w:tc>
          <w:tcPr>
            <w:tcW w:w="1247" w:type="dxa"/>
          </w:tcPr>
          <w:p w14:paraId="0A012910" w14:textId="77777777" w:rsidR="005A5ADD" w:rsidRDefault="005A5ADD">
            <w:pPr>
              <w:spacing w:line="240" w:lineRule="auto"/>
              <w:rPr>
                <w:sz w:val="24"/>
              </w:rPr>
            </w:pPr>
            <w:r>
              <w:rPr>
                <w:sz w:val="24"/>
                <w:rtl/>
              </w:rPr>
              <w:t xml:space="preserve">סעיף 4 </w:t>
            </w:r>
          </w:p>
        </w:tc>
      </w:tr>
      <w:tr w:rsidR="005A5ADD" w14:paraId="22D061EE" w14:textId="77777777">
        <w:tblPrEx>
          <w:tblCellMar>
            <w:top w:w="0" w:type="dxa"/>
            <w:bottom w:w="0" w:type="dxa"/>
          </w:tblCellMar>
        </w:tblPrEx>
        <w:tc>
          <w:tcPr>
            <w:tcW w:w="850" w:type="dxa"/>
          </w:tcPr>
          <w:p w14:paraId="783F0828" w14:textId="77777777" w:rsidR="005A5ADD" w:rsidRDefault="005A5AD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528F0A0" w14:textId="77777777" w:rsidR="005A5ADD" w:rsidRDefault="005A5ADD">
            <w:pPr>
              <w:spacing w:line="240" w:lineRule="auto"/>
              <w:rPr>
                <w:sz w:val="24"/>
              </w:rPr>
            </w:pPr>
            <w:hyperlink w:anchor="Seif4" w:tooltip="המועד להגשת תביעות" w:history="1">
              <w:r>
                <w:rPr>
                  <w:rStyle w:val="Hyperlink"/>
                </w:rPr>
                <w:t>Go</w:t>
              </w:r>
            </w:hyperlink>
          </w:p>
        </w:tc>
        <w:tc>
          <w:tcPr>
            <w:tcW w:w="5669" w:type="dxa"/>
          </w:tcPr>
          <w:p w14:paraId="2EA3FAF9" w14:textId="77777777" w:rsidR="005A5ADD" w:rsidRDefault="005A5ADD">
            <w:pPr>
              <w:spacing w:line="240" w:lineRule="auto"/>
              <w:rPr>
                <w:sz w:val="24"/>
                <w:rtl/>
              </w:rPr>
            </w:pPr>
            <w:r>
              <w:rPr>
                <w:sz w:val="24"/>
                <w:rtl/>
              </w:rPr>
              <w:t>המועד להגשת תביעות</w:t>
            </w:r>
          </w:p>
        </w:tc>
        <w:tc>
          <w:tcPr>
            <w:tcW w:w="1247" w:type="dxa"/>
          </w:tcPr>
          <w:p w14:paraId="63DFFBEB" w14:textId="77777777" w:rsidR="005A5ADD" w:rsidRDefault="005A5ADD">
            <w:pPr>
              <w:spacing w:line="240" w:lineRule="auto"/>
              <w:rPr>
                <w:sz w:val="24"/>
              </w:rPr>
            </w:pPr>
            <w:r>
              <w:rPr>
                <w:sz w:val="24"/>
                <w:rtl/>
              </w:rPr>
              <w:t xml:space="preserve">סעיף 5 </w:t>
            </w:r>
          </w:p>
        </w:tc>
      </w:tr>
      <w:tr w:rsidR="005A5ADD" w14:paraId="25C4AAF9" w14:textId="77777777">
        <w:tblPrEx>
          <w:tblCellMar>
            <w:top w:w="0" w:type="dxa"/>
            <w:bottom w:w="0" w:type="dxa"/>
          </w:tblCellMar>
        </w:tblPrEx>
        <w:tc>
          <w:tcPr>
            <w:tcW w:w="850" w:type="dxa"/>
          </w:tcPr>
          <w:p w14:paraId="2F49AF18" w14:textId="77777777" w:rsidR="005A5ADD" w:rsidRDefault="005A5AD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8CEF812" w14:textId="77777777" w:rsidR="005A5ADD" w:rsidRDefault="005A5ADD">
            <w:pPr>
              <w:spacing w:line="240" w:lineRule="auto"/>
              <w:rPr>
                <w:sz w:val="24"/>
              </w:rPr>
            </w:pPr>
            <w:hyperlink w:anchor="Seif5" w:tooltip="תוקף התקנות" w:history="1">
              <w:r>
                <w:rPr>
                  <w:rStyle w:val="Hyperlink"/>
                </w:rPr>
                <w:t>Go</w:t>
              </w:r>
            </w:hyperlink>
          </w:p>
        </w:tc>
        <w:tc>
          <w:tcPr>
            <w:tcW w:w="5669" w:type="dxa"/>
          </w:tcPr>
          <w:p w14:paraId="770FA7E6" w14:textId="77777777" w:rsidR="005A5ADD" w:rsidRDefault="005A5ADD">
            <w:pPr>
              <w:spacing w:line="240" w:lineRule="auto"/>
              <w:rPr>
                <w:sz w:val="24"/>
                <w:rtl/>
              </w:rPr>
            </w:pPr>
            <w:r>
              <w:rPr>
                <w:sz w:val="24"/>
                <w:rtl/>
              </w:rPr>
              <w:t>תוקף התקנות</w:t>
            </w:r>
          </w:p>
        </w:tc>
        <w:tc>
          <w:tcPr>
            <w:tcW w:w="1247" w:type="dxa"/>
          </w:tcPr>
          <w:p w14:paraId="2EA908D5" w14:textId="77777777" w:rsidR="005A5ADD" w:rsidRDefault="005A5ADD">
            <w:pPr>
              <w:spacing w:line="240" w:lineRule="auto"/>
              <w:rPr>
                <w:sz w:val="24"/>
              </w:rPr>
            </w:pPr>
            <w:r>
              <w:rPr>
                <w:sz w:val="24"/>
                <w:rtl/>
              </w:rPr>
              <w:t xml:space="preserve">סעיף 6 </w:t>
            </w:r>
          </w:p>
        </w:tc>
      </w:tr>
      <w:tr w:rsidR="005A5ADD" w14:paraId="3BB99AA8" w14:textId="77777777">
        <w:tblPrEx>
          <w:tblCellMar>
            <w:top w:w="0" w:type="dxa"/>
            <w:bottom w:w="0" w:type="dxa"/>
          </w:tblCellMar>
        </w:tblPrEx>
        <w:tc>
          <w:tcPr>
            <w:tcW w:w="850" w:type="dxa"/>
          </w:tcPr>
          <w:p w14:paraId="04DFD2E6" w14:textId="77777777" w:rsidR="005A5ADD" w:rsidRDefault="005A5AD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9AA7D20" w14:textId="77777777" w:rsidR="005A5ADD" w:rsidRDefault="005A5ADD">
            <w:pPr>
              <w:spacing w:line="240" w:lineRule="auto"/>
              <w:rPr>
                <w:sz w:val="24"/>
              </w:rPr>
            </w:pPr>
            <w:hyperlink w:anchor="Seif6" w:tooltip="השם" w:history="1">
              <w:r>
                <w:rPr>
                  <w:rStyle w:val="Hyperlink"/>
                </w:rPr>
                <w:t>Go</w:t>
              </w:r>
            </w:hyperlink>
          </w:p>
        </w:tc>
        <w:tc>
          <w:tcPr>
            <w:tcW w:w="5669" w:type="dxa"/>
          </w:tcPr>
          <w:p w14:paraId="3C8EF79D" w14:textId="77777777" w:rsidR="005A5ADD" w:rsidRDefault="005A5ADD">
            <w:pPr>
              <w:spacing w:line="240" w:lineRule="auto"/>
              <w:rPr>
                <w:sz w:val="24"/>
                <w:rtl/>
              </w:rPr>
            </w:pPr>
            <w:r>
              <w:rPr>
                <w:sz w:val="24"/>
                <w:rtl/>
              </w:rPr>
              <w:t>השם</w:t>
            </w:r>
          </w:p>
        </w:tc>
        <w:tc>
          <w:tcPr>
            <w:tcW w:w="1247" w:type="dxa"/>
          </w:tcPr>
          <w:p w14:paraId="53BE0459" w14:textId="77777777" w:rsidR="005A5ADD" w:rsidRDefault="005A5ADD">
            <w:pPr>
              <w:spacing w:line="240" w:lineRule="auto"/>
              <w:rPr>
                <w:sz w:val="24"/>
              </w:rPr>
            </w:pPr>
            <w:r>
              <w:rPr>
                <w:sz w:val="24"/>
                <w:rtl/>
              </w:rPr>
              <w:t xml:space="preserve">סעיף 7 </w:t>
            </w:r>
          </w:p>
        </w:tc>
      </w:tr>
    </w:tbl>
    <w:p w14:paraId="5A6EEE14" w14:textId="77777777" w:rsidR="005A5ADD" w:rsidRDefault="005A5ADD">
      <w:pPr>
        <w:pStyle w:val="big-header"/>
        <w:ind w:left="0" w:right="1134"/>
        <w:rPr>
          <w:rtl/>
        </w:rPr>
      </w:pPr>
    </w:p>
    <w:p w14:paraId="6CB0674E" w14:textId="77777777" w:rsidR="005A5ADD" w:rsidRDefault="005A5ADD" w:rsidP="00F67C3D">
      <w:pPr>
        <w:pStyle w:val="big-header"/>
        <w:ind w:left="0" w:right="1134"/>
        <w:rPr>
          <w:rStyle w:val="default"/>
          <w:rFonts w:cs="FrankRuehl" w:hint="cs"/>
          <w:rtl/>
        </w:rPr>
      </w:pPr>
      <w:r>
        <w:rPr>
          <w:rtl/>
        </w:rPr>
        <w:br w:type="page"/>
      </w:r>
      <w:r w:rsidR="00F67C3D">
        <w:rPr>
          <w:rtl/>
        </w:rPr>
        <w:lastRenderedPageBreak/>
        <w:t xml:space="preserve"> </w:t>
      </w:r>
      <w:r>
        <w:rPr>
          <w:rtl/>
        </w:rPr>
        <w:t>ת</w:t>
      </w:r>
      <w:r>
        <w:rPr>
          <w:rFonts w:hint="cs"/>
          <w:rtl/>
        </w:rPr>
        <w:t>קנות הביטוח הלאומי (ביצוע הסכם בין ממשלת ישראל לבין ממשלת הולנד), תשכ"ה-1965</w:t>
      </w:r>
      <w:r>
        <w:rPr>
          <w:rStyle w:val="default"/>
          <w:rtl/>
        </w:rPr>
        <w:footnoteReference w:customMarkFollows="1" w:id="1"/>
        <w:t>*</w:t>
      </w:r>
    </w:p>
    <w:p w14:paraId="467806B5" w14:textId="77777777" w:rsidR="005A5ADD" w:rsidRDefault="005A5AD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62(ב) ו</w:t>
      </w:r>
      <w:r>
        <w:rPr>
          <w:rStyle w:val="default"/>
          <w:rFonts w:cs="FrankRuehl"/>
          <w:rtl/>
        </w:rPr>
        <w:t xml:space="preserve">-115 </w:t>
      </w:r>
      <w:r>
        <w:rPr>
          <w:rStyle w:val="default"/>
          <w:rFonts w:cs="FrankRuehl" w:hint="cs"/>
          <w:rtl/>
        </w:rPr>
        <w:t xml:space="preserve">לחוק הביטוח הלאומי, תשי"ד-1953, ובהתאם להסכם בדבר תשלום קיצבת זקנה וקיצבת אלמנות ויתומים בין ממשלת ישראל לבין ממשלת הולנד שנכנס לתקפו ביום י"ד בחשון תשכ"ד (1 בנובמבר 1963) (להלן - ההסכם) אני מתקין תקנות אלה: </w:t>
      </w:r>
    </w:p>
    <w:p w14:paraId="05A632D6" w14:textId="77777777" w:rsidR="005A5ADD" w:rsidRDefault="005A5ADD">
      <w:pPr>
        <w:pStyle w:val="P00"/>
        <w:spacing w:before="72"/>
        <w:ind w:left="0" w:right="1134"/>
        <w:rPr>
          <w:rStyle w:val="default"/>
          <w:rFonts w:cs="FrankRuehl"/>
          <w:rtl/>
        </w:rPr>
      </w:pPr>
      <w:bookmarkStart w:id="0" w:name="Seif0"/>
      <w:bookmarkEnd w:id="0"/>
      <w:r>
        <w:rPr>
          <w:lang w:val="he-IL"/>
        </w:rPr>
        <w:pict w14:anchorId="6F6E7401">
          <v:rect id="_x0000_s1026" style="position:absolute;left:0;text-align:left;margin-left:464.5pt;margin-top:8.05pt;width:75.05pt;height:10pt;z-index:251654656" o:allowincell="f" filled="f" stroked="f" strokecolor="lime" strokeweight=".25pt">
            <v:textbox inset="0,0,0,0">
              <w:txbxContent>
                <w:p w14:paraId="40C5917A" w14:textId="77777777" w:rsidR="005A5ADD" w:rsidRDefault="005A5AD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 </w:t>
      </w:r>
    </w:p>
    <w:p w14:paraId="53F8F07E" w14:textId="77777777" w:rsidR="005A5ADD" w:rsidRDefault="005A5A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מדינת הולנד</w:t>
      </w:r>
      <w:r>
        <w:rPr>
          <w:rStyle w:val="default"/>
          <w:rFonts w:cs="FrankRuehl"/>
          <w:rtl/>
        </w:rPr>
        <w:t xml:space="preserve">" - </w:t>
      </w:r>
      <w:r>
        <w:rPr>
          <w:rStyle w:val="default"/>
          <w:rFonts w:cs="FrankRuehl" w:hint="cs"/>
          <w:rtl/>
        </w:rPr>
        <w:t xml:space="preserve">החלק האירופי של ממלכת הולנד. </w:t>
      </w:r>
    </w:p>
    <w:p w14:paraId="102EE6D2" w14:textId="77777777" w:rsidR="005A5ADD" w:rsidRDefault="005A5ADD">
      <w:pPr>
        <w:pStyle w:val="P00"/>
        <w:spacing w:before="72"/>
        <w:ind w:left="0" w:right="1134"/>
        <w:rPr>
          <w:rStyle w:val="default"/>
          <w:rFonts w:cs="FrankRuehl"/>
          <w:rtl/>
        </w:rPr>
      </w:pPr>
      <w:bookmarkStart w:id="1" w:name="Seif1"/>
      <w:bookmarkEnd w:id="1"/>
      <w:r>
        <w:rPr>
          <w:lang w:val="he-IL"/>
        </w:rPr>
        <w:pict w14:anchorId="7B65423F">
          <v:rect id="_x0000_s1027" style="position:absolute;left:0;text-align:left;margin-left:464.5pt;margin-top:8.05pt;width:75.05pt;height:10pt;z-index:251655680" o:allowincell="f" filled="f" stroked="f" strokecolor="lime" strokeweight=".25pt">
            <v:textbox inset="0,0,0,0">
              <w:txbxContent>
                <w:p w14:paraId="7CCD9037" w14:textId="77777777" w:rsidR="005A5ADD" w:rsidRDefault="005A5ADD">
                  <w:pPr>
                    <w:spacing w:line="160" w:lineRule="exact"/>
                    <w:jc w:val="left"/>
                    <w:rPr>
                      <w:rFonts w:cs="Miriam"/>
                      <w:noProof/>
                      <w:szCs w:val="18"/>
                      <w:rtl/>
                    </w:rPr>
                  </w:pPr>
                  <w:r>
                    <w:rPr>
                      <w:rFonts w:cs="Miriam"/>
                      <w:szCs w:val="18"/>
                      <w:rtl/>
                    </w:rPr>
                    <w:t>ק</w:t>
                  </w:r>
                  <w:r>
                    <w:rPr>
                      <w:rFonts w:cs="Miriam" w:hint="cs"/>
                      <w:szCs w:val="18"/>
                      <w:rtl/>
                    </w:rPr>
                    <w:t>יצבת זיקנה</w:t>
                  </w:r>
                </w:p>
              </w:txbxContent>
            </v:textbox>
            <w10:anchorlock/>
          </v:rect>
        </w:pict>
      </w:r>
      <w:r>
        <w:rPr>
          <w:rStyle w:val="big-number"/>
          <w:rFonts w:cs="Miriam"/>
          <w:rtl/>
        </w:rPr>
        <w:t>2.</w:t>
      </w:r>
      <w:r>
        <w:rPr>
          <w:rStyle w:val="big-number"/>
          <w:rFonts w:cs="Miriam"/>
          <w:rtl/>
        </w:rPr>
        <w:tab/>
      </w:r>
      <w:r>
        <w:rPr>
          <w:rStyle w:val="default"/>
          <w:rFonts w:cs="FrankRuehl"/>
          <w:rtl/>
        </w:rPr>
        <w:t>ת</w:t>
      </w:r>
      <w:r>
        <w:rPr>
          <w:rStyle w:val="default"/>
          <w:rFonts w:cs="FrankRuehl" w:hint="cs"/>
          <w:rtl/>
        </w:rPr>
        <w:t xml:space="preserve">ושב ישראל שמשתלמת לו קיצבת זקנה או קיצבה לאלמנה או ליתום לפי התוספת השניה לחוק ימשיך, על אף האמור בסעיף 67(ב) לחוק, לקבל את הקיצבה, אם העביר את מקום מגוריו למדינת הולנד. </w:t>
      </w:r>
    </w:p>
    <w:p w14:paraId="7259BFFB" w14:textId="77777777" w:rsidR="005A5ADD" w:rsidRDefault="005A5ADD">
      <w:pPr>
        <w:pStyle w:val="P00"/>
        <w:spacing w:before="72"/>
        <w:ind w:left="0" w:right="1134"/>
        <w:rPr>
          <w:rStyle w:val="default"/>
          <w:rFonts w:cs="FrankRuehl"/>
          <w:rtl/>
        </w:rPr>
      </w:pPr>
      <w:bookmarkStart w:id="2" w:name="Seif2"/>
      <w:bookmarkEnd w:id="2"/>
      <w:r>
        <w:rPr>
          <w:lang w:val="he-IL"/>
        </w:rPr>
        <w:pict w14:anchorId="76AB5CB3">
          <v:rect id="_x0000_s1028" style="position:absolute;left:0;text-align:left;margin-left:464.5pt;margin-top:8.05pt;width:75.05pt;height:10pt;z-index:251656704" o:allowincell="f" filled="f" stroked="f" strokecolor="lime" strokeweight=".25pt">
            <v:textbox inset="0,0,0,0">
              <w:txbxContent>
                <w:p w14:paraId="495976F6" w14:textId="77777777" w:rsidR="005A5ADD" w:rsidRDefault="005A5ADD">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Fonts w:cs="Miriam"/>
          <w:rtl/>
        </w:rPr>
        <w:t>3.</w:t>
      </w:r>
      <w:r>
        <w:rPr>
          <w:rStyle w:val="big-number"/>
          <w:rFonts w:cs="Miriam"/>
          <w:rtl/>
        </w:rPr>
        <w:tab/>
      </w:r>
      <w:r>
        <w:rPr>
          <w:rStyle w:val="default"/>
          <w:rFonts w:cs="FrankRuehl"/>
          <w:rtl/>
        </w:rPr>
        <w:t>כ</w:t>
      </w:r>
      <w:r>
        <w:rPr>
          <w:rStyle w:val="default"/>
          <w:rFonts w:cs="FrankRuehl" w:hint="cs"/>
          <w:rtl/>
        </w:rPr>
        <w:t>ל פטור או הפחתה ממסי</w:t>
      </w:r>
      <w:r>
        <w:rPr>
          <w:rStyle w:val="default"/>
          <w:rFonts w:cs="FrankRuehl"/>
          <w:rtl/>
        </w:rPr>
        <w:t>ם</w:t>
      </w:r>
      <w:r>
        <w:rPr>
          <w:rStyle w:val="default"/>
          <w:rFonts w:cs="FrankRuehl" w:hint="cs"/>
          <w:rtl/>
        </w:rPr>
        <w:t xml:space="preserve">, אגרות ותשלומי חובה אחרים החלים בקשר להנפקת תעודה או מסמך שחייבים בהראייתם לפי חוקי מדינת ישראל לענין ההסכם יחולו גם על תעודות ומסמכים לענין זה שחייבים בהראייתם לפי חוקי מדינת הולנד. </w:t>
      </w:r>
    </w:p>
    <w:p w14:paraId="7826FB23" w14:textId="77777777" w:rsidR="005A5ADD" w:rsidRDefault="005A5ADD">
      <w:pPr>
        <w:pStyle w:val="P00"/>
        <w:spacing w:before="72"/>
        <w:ind w:left="0" w:right="1134"/>
        <w:rPr>
          <w:rStyle w:val="default"/>
          <w:rFonts w:cs="FrankRuehl"/>
          <w:rtl/>
        </w:rPr>
      </w:pPr>
      <w:bookmarkStart w:id="3" w:name="Seif3"/>
      <w:bookmarkEnd w:id="3"/>
      <w:r>
        <w:rPr>
          <w:lang w:val="he-IL"/>
        </w:rPr>
        <w:pict w14:anchorId="27103BEF">
          <v:rect id="_x0000_s1029" style="position:absolute;left:0;text-align:left;margin-left:464.5pt;margin-top:8.05pt;width:75.05pt;height:10pt;z-index:251657728" o:allowincell="f" filled="f" stroked="f" strokecolor="lime" strokeweight=".25pt">
            <v:textbox inset="0,0,0,0">
              <w:txbxContent>
                <w:p w14:paraId="086AFDCB" w14:textId="77777777" w:rsidR="005A5ADD" w:rsidRDefault="005A5ADD">
                  <w:pPr>
                    <w:spacing w:line="160" w:lineRule="exact"/>
                    <w:jc w:val="left"/>
                    <w:rPr>
                      <w:rFonts w:cs="Miriam"/>
                      <w:noProof/>
                      <w:szCs w:val="18"/>
                      <w:rtl/>
                    </w:rPr>
                  </w:pPr>
                  <w:r>
                    <w:rPr>
                      <w:rFonts w:cs="Miriam"/>
                      <w:szCs w:val="18"/>
                      <w:rtl/>
                    </w:rPr>
                    <w:t>א</w:t>
                  </w:r>
                  <w:r>
                    <w:rPr>
                      <w:rFonts w:cs="Miriam" w:hint="cs"/>
                      <w:szCs w:val="18"/>
                      <w:rtl/>
                    </w:rPr>
                    <w:t>ימות מסמכים</w:t>
                  </w:r>
                </w:p>
              </w:txbxContent>
            </v:textbox>
            <w10:anchorlock/>
          </v:rect>
        </w:pict>
      </w:r>
      <w:r>
        <w:rPr>
          <w:rStyle w:val="big-number"/>
          <w:rFonts w:cs="Miriam"/>
          <w:rtl/>
        </w:rPr>
        <w:t>4.</w:t>
      </w:r>
      <w:r>
        <w:rPr>
          <w:rStyle w:val="big-number"/>
          <w:rFonts w:cs="Miriam"/>
          <w:rtl/>
        </w:rPr>
        <w:tab/>
      </w:r>
      <w:r>
        <w:rPr>
          <w:rStyle w:val="default"/>
          <w:rFonts w:cs="FrankRuehl"/>
          <w:rtl/>
        </w:rPr>
        <w:t>נ</w:t>
      </w:r>
      <w:r>
        <w:rPr>
          <w:rStyle w:val="default"/>
          <w:rFonts w:cs="FrankRuehl" w:hint="cs"/>
          <w:rtl/>
        </w:rPr>
        <w:t>דרש אדם להציג לענין תקנות אלה תעודה או מסמך אחר למ</w:t>
      </w:r>
      <w:r>
        <w:rPr>
          <w:rStyle w:val="default"/>
          <w:rFonts w:cs="FrankRuehl"/>
          <w:rtl/>
        </w:rPr>
        <w:t>ו</w:t>
      </w:r>
      <w:r>
        <w:rPr>
          <w:rStyle w:val="default"/>
          <w:rFonts w:cs="FrankRuehl" w:hint="cs"/>
          <w:rtl/>
        </w:rPr>
        <w:t xml:space="preserve">סד, לא ידרוש המוסד אישורם או אימותם של התעודה או המסמך על ידי רשות קונסולרית או דיפלומטית. </w:t>
      </w:r>
    </w:p>
    <w:p w14:paraId="0A7D70C5" w14:textId="77777777" w:rsidR="005A5ADD" w:rsidRDefault="005A5ADD">
      <w:pPr>
        <w:pStyle w:val="P00"/>
        <w:spacing w:before="72"/>
        <w:ind w:left="0" w:right="1134"/>
        <w:rPr>
          <w:rStyle w:val="default"/>
          <w:rFonts w:cs="FrankRuehl"/>
          <w:rtl/>
        </w:rPr>
      </w:pPr>
      <w:bookmarkStart w:id="4" w:name="Seif4"/>
      <w:bookmarkEnd w:id="4"/>
      <w:r>
        <w:rPr>
          <w:lang w:val="he-IL"/>
        </w:rPr>
        <w:pict w14:anchorId="34D811DF">
          <v:rect id="_x0000_s1030" style="position:absolute;left:0;text-align:left;margin-left:464.5pt;margin-top:8.05pt;width:75.05pt;height:20pt;z-index:251658752" o:allowincell="f" filled="f" stroked="f" strokecolor="lime" strokeweight=".25pt">
            <v:textbox inset="0,0,0,0">
              <w:txbxContent>
                <w:p w14:paraId="3EDAE515" w14:textId="77777777" w:rsidR="005A5ADD" w:rsidRDefault="005A5ADD">
                  <w:pPr>
                    <w:spacing w:line="160" w:lineRule="exact"/>
                    <w:jc w:val="left"/>
                    <w:rPr>
                      <w:rFonts w:cs="Miriam"/>
                      <w:noProof/>
                      <w:szCs w:val="18"/>
                      <w:rtl/>
                    </w:rPr>
                  </w:pPr>
                  <w:r>
                    <w:rPr>
                      <w:rFonts w:cs="Miriam"/>
                      <w:szCs w:val="18"/>
                      <w:rtl/>
                    </w:rPr>
                    <w:t>ה</w:t>
                  </w:r>
                  <w:r>
                    <w:rPr>
                      <w:rFonts w:cs="Miriam" w:hint="cs"/>
                      <w:szCs w:val="18"/>
                      <w:rtl/>
                    </w:rPr>
                    <w:t>מועד להגשת תביעות</w:t>
                  </w:r>
                </w:p>
              </w:txbxContent>
            </v:textbox>
            <w10:anchorlock/>
          </v:rect>
        </w:pict>
      </w:r>
      <w:r>
        <w:rPr>
          <w:rStyle w:val="big-number"/>
          <w:rFonts w:cs="Miriam"/>
          <w:rtl/>
        </w:rPr>
        <w:t>5.</w:t>
      </w:r>
      <w:r>
        <w:rPr>
          <w:rStyle w:val="big-number"/>
          <w:rFonts w:cs="Miriam"/>
          <w:rtl/>
        </w:rPr>
        <w:tab/>
      </w:r>
      <w:r>
        <w:rPr>
          <w:rStyle w:val="default"/>
          <w:rFonts w:cs="FrankRuehl"/>
          <w:rtl/>
        </w:rPr>
        <w:t>ח</w:t>
      </w:r>
      <w:r>
        <w:rPr>
          <w:rStyle w:val="default"/>
          <w:rFonts w:cs="FrankRuehl" w:hint="cs"/>
          <w:rtl/>
        </w:rPr>
        <w:t>ייב אדם לפי החוק להגיש הודעה או תביעה, לרבות תביעה משפטית או ערעור, תוך תקופה הקבועה בחוק ולמעשה הוגשו ההודעה או התביעה כאמור תוך אותה תק</w:t>
      </w:r>
      <w:r>
        <w:rPr>
          <w:rStyle w:val="default"/>
          <w:rFonts w:cs="FrankRuehl"/>
          <w:rtl/>
        </w:rPr>
        <w:t>ו</w:t>
      </w:r>
      <w:r>
        <w:rPr>
          <w:rStyle w:val="default"/>
          <w:rFonts w:cs="FrankRuehl" w:hint="cs"/>
          <w:rtl/>
        </w:rPr>
        <w:t xml:space="preserve">פה לרשות המוסמכת במדינת הולנד העוסקת במתן קיצבת זקנה או קיצבה לאלמנה או ליתום, ייחשבו ההודעה או התביעה כאילו הוגשו במועד בישראל לפי החוק. </w:t>
      </w:r>
    </w:p>
    <w:p w14:paraId="095BDD35" w14:textId="77777777" w:rsidR="005A5ADD" w:rsidRDefault="005A5ADD">
      <w:pPr>
        <w:pStyle w:val="P00"/>
        <w:spacing w:before="72"/>
        <w:ind w:left="0" w:right="1134"/>
        <w:rPr>
          <w:rStyle w:val="default"/>
          <w:rFonts w:cs="FrankRuehl"/>
          <w:rtl/>
        </w:rPr>
      </w:pPr>
      <w:bookmarkStart w:id="5" w:name="Seif5"/>
      <w:bookmarkEnd w:id="5"/>
      <w:r>
        <w:rPr>
          <w:lang w:val="he-IL"/>
        </w:rPr>
        <w:pict w14:anchorId="60326DE1">
          <v:rect id="_x0000_s1031" style="position:absolute;left:0;text-align:left;margin-left:464.5pt;margin-top:8.05pt;width:75.05pt;height:10pt;z-index:251659776" o:allowincell="f" filled="f" stroked="f" strokecolor="lime" strokeweight=".25pt">
            <v:textbox inset="0,0,0,0">
              <w:txbxContent>
                <w:p w14:paraId="1FABBDC9" w14:textId="77777777" w:rsidR="005A5ADD" w:rsidRDefault="005A5ADD">
                  <w:pPr>
                    <w:spacing w:line="160" w:lineRule="exact"/>
                    <w:jc w:val="left"/>
                    <w:rPr>
                      <w:rFonts w:cs="Miriam"/>
                      <w:noProof/>
                      <w:szCs w:val="18"/>
                      <w:rtl/>
                    </w:rPr>
                  </w:pPr>
                  <w:r>
                    <w:rPr>
                      <w:rFonts w:cs="Miriam"/>
                      <w:szCs w:val="18"/>
                      <w:rtl/>
                    </w:rPr>
                    <w:t>ת</w:t>
                  </w:r>
                  <w:r>
                    <w:rPr>
                      <w:rFonts w:cs="Miriam" w:hint="cs"/>
                      <w:szCs w:val="18"/>
                      <w:rtl/>
                    </w:rPr>
                    <w:t>וקף התקנות</w:t>
                  </w:r>
                </w:p>
              </w:txbxContent>
            </v:textbox>
            <w10:anchorlock/>
          </v:rect>
        </w:pict>
      </w:r>
      <w:r>
        <w:rPr>
          <w:rStyle w:val="big-number"/>
          <w:rFonts w:cs="Miriam"/>
          <w:rtl/>
        </w:rPr>
        <w:t>6.</w:t>
      </w:r>
      <w:r>
        <w:rPr>
          <w:rStyle w:val="big-number"/>
          <w:rFonts w:cs="Miriam"/>
          <w:rtl/>
        </w:rPr>
        <w:tab/>
      </w:r>
      <w:r>
        <w:rPr>
          <w:rStyle w:val="default"/>
          <w:rFonts w:cs="FrankRuehl"/>
          <w:rtl/>
        </w:rPr>
        <w:t>ת</w:t>
      </w:r>
      <w:r>
        <w:rPr>
          <w:rStyle w:val="default"/>
          <w:rFonts w:cs="FrankRuehl" w:hint="cs"/>
          <w:rtl/>
        </w:rPr>
        <w:t xml:space="preserve">קנות אלה יהיו בתוקף כל עוד ההסכם יהיה בתוקף. </w:t>
      </w:r>
    </w:p>
    <w:p w14:paraId="2441F11A" w14:textId="77777777" w:rsidR="005A5ADD" w:rsidRDefault="005A5ADD">
      <w:pPr>
        <w:pStyle w:val="P00"/>
        <w:spacing w:before="72"/>
        <w:ind w:left="0" w:right="1134"/>
        <w:rPr>
          <w:rStyle w:val="default"/>
          <w:rFonts w:cs="FrankRuehl"/>
          <w:rtl/>
        </w:rPr>
      </w:pPr>
      <w:bookmarkStart w:id="6" w:name="Seif6"/>
      <w:bookmarkEnd w:id="6"/>
      <w:r>
        <w:rPr>
          <w:lang w:val="he-IL"/>
        </w:rPr>
        <w:pict w14:anchorId="09AE30BA">
          <v:rect id="_x0000_s1032" style="position:absolute;left:0;text-align:left;margin-left:464.5pt;margin-top:8.05pt;width:75.05pt;height:10pt;z-index:251660800" o:allowincell="f" filled="f" stroked="f" strokecolor="lime" strokeweight=".25pt">
            <v:textbox inset="0,0,0,0">
              <w:txbxContent>
                <w:p w14:paraId="02A76CE1" w14:textId="77777777" w:rsidR="005A5ADD" w:rsidRDefault="005A5AD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תקנות אלה ייקרא "תקנות הביטוח הלאומי (ביצוע הסכם בין ממשלת ישראל לבין ממשלת הולנד), תשכ"ה-1965".</w:t>
      </w:r>
    </w:p>
    <w:p w14:paraId="10CB4ACA" w14:textId="77777777" w:rsidR="005A5ADD" w:rsidRDefault="005A5ADD">
      <w:pPr>
        <w:pStyle w:val="P00"/>
        <w:spacing w:before="72"/>
        <w:ind w:left="0" w:right="1134"/>
        <w:rPr>
          <w:rStyle w:val="default"/>
          <w:rFonts w:cs="FrankRuehl"/>
          <w:rtl/>
        </w:rPr>
      </w:pPr>
    </w:p>
    <w:p w14:paraId="6200E0C7" w14:textId="77777777" w:rsidR="005A5ADD" w:rsidRDefault="005A5ADD">
      <w:pPr>
        <w:pStyle w:val="sig-0"/>
        <w:ind w:left="0" w:right="1134"/>
        <w:rPr>
          <w:rtl/>
        </w:rPr>
      </w:pPr>
      <w:r>
        <w:rPr>
          <w:rtl/>
        </w:rPr>
        <w:t>כ</w:t>
      </w:r>
      <w:r>
        <w:rPr>
          <w:rFonts w:hint="cs"/>
          <w:rtl/>
        </w:rPr>
        <w:t>"ד בשבט תשכ"ה (27 בינואר 1965)</w:t>
      </w:r>
      <w:r>
        <w:rPr>
          <w:rtl/>
        </w:rPr>
        <w:tab/>
      </w:r>
      <w:r>
        <w:rPr>
          <w:rFonts w:hint="cs"/>
          <w:rtl/>
        </w:rPr>
        <w:t>יגאל אלון</w:t>
      </w:r>
    </w:p>
    <w:p w14:paraId="56BC1160" w14:textId="77777777" w:rsidR="005A5ADD" w:rsidRDefault="005A5ADD">
      <w:pPr>
        <w:pStyle w:val="sig-1"/>
        <w:widowControl/>
        <w:ind w:left="0" w:right="1134"/>
        <w:rPr>
          <w:rtl/>
        </w:rPr>
      </w:pPr>
      <w:r>
        <w:rPr>
          <w:rtl/>
        </w:rPr>
        <w:tab/>
      </w:r>
      <w:r>
        <w:rPr>
          <w:rtl/>
        </w:rPr>
        <w:tab/>
      </w:r>
      <w:r>
        <w:rPr>
          <w:rtl/>
        </w:rPr>
        <w:tab/>
      </w:r>
      <w:r>
        <w:rPr>
          <w:rFonts w:hint="cs"/>
          <w:rtl/>
        </w:rPr>
        <w:t>שר העבודה</w:t>
      </w:r>
    </w:p>
    <w:p w14:paraId="07F37CF9" w14:textId="77777777" w:rsidR="005A5ADD" w:rsidRDefault="005A5ADD">
      <w:pPr>
        <w:pStyle w:val="P00"/>
        <w:spacing w:before="72"/>
        <w:ind w:left="0" w:right="1134"/>
        <w:rPr>
          <w:rStyle w:val="default"/>
          <w:rFonts w:cs="FrankRuehl"/>
          <w:rtl/>
        </w:rPr>
      </w:pPr>
    </w:p>
    <w:p w14:paraId="230E21EB" w14:textId="77777777" w:rsidR="005A5ADD" w:rsidRDefault="005A5ADD">
      <w:pPr>
        <w:pStyle w:val="P00"/>
        <w:spacing w:before="72"/>
        <w:ind w:left="0" w:right="1134"/>
        <w:rPr>
          <w:rStyle w:val="default"/>
          <w:rFonts w:cs="FrankRuehl"/>
          <w:rtl/>
        </w:rPr>
      </w:pPr>
    </w:p>
    <w:p w14:paraId="7037F675" w14:textId="77777777" w:rsidR="005A5ADD" w:rsidRDefault="005A5ADD">
      <w:pPr>
        <w:pStyle w:val="P00"/>
        <w:spacing w:before="72"/>
        <w:ind w:left="0" w:right="1134"/>
        <w:rPr>
          <w:rStyle w:val="default"/>
          <w:rFonts w:cs="FrankRuehl"/>
          <w:rtl/>
        </w:rPr>
      </w:pPr>
      <w:bookmarkStart w:id="7" w:name="LawPartEnd"/>
    </w:p>
    <w:bookmarkEnd w:id="7"/>
    <w:p w14:paraId="2DF6C849" w14:textId="77777777" w:rsidR="005A5ADD" w:rsidRDefault="005A5ADD">
      <w:pPr>
        <w:pStyle w:val="P00"/>
        <w:spacing w:before="72"/>
        <w:ind w:left="0" w:right="1134"/>
        <w:rPr>
          <w:rStyle w:val="default"/>
          <w:rFonts w:cs="FrankRuehl"/>
          <w:rtl/>
        </w:rPr>
      </w:pPr>
    </w:p>
    <w:sectPr w:rsidR="005A5AD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C81C" w14:textId="77777777" w:rsidR="00F92E26" w:rsidRDefault="00F92E26">
      <w:r>
        <w:separator/>
      </w:r>
    </w:p>
  </w:endnote>
  <w:endnote w:type="continuationSeparator" w:id="0">
    <w:p w14:paraId="774FE2CF" w14:textId="77777777" w:rsidR="00F92E26" w:rsidRDefault="00F9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9D46" w14:textId="77777777" w:rsidR="005A5ADD" w:rsidRDefault="005A5A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DC53D5A" w14:textId="77777777" w:rsidR="005A5ADD" w:rsidRDefault="005A5A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CF8502" w14:textId="77777777" w:rsidR="005A5ADD" w:rsidRDefault="005A5A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0676" w14:textId="77777777" w:rsidR="005A5ADD" w:rsidRDefault="005A5A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F740E">
      <w:rPr>
        <w:rFonts w:hAnsi="FrankRuehl" w:cs="FrankRuehl"/>
        <w:noProof/>
        <w:sz w:val="24"/>
        <w:szCs w:val="24"/>
        <w:rtl/>
      </w:rPr>
      <w:t>2</w:t>
    </w:r>
    <w:r>
      <w:rPr>
        <w:rFonts w:hAnsi="FrankRuehl" w:cs="FrankRuehl"/>
        <w:sz w:val="24"/>
        <w:szCs w:val="24"/>
        <w:rtl/>
      </w:rPr>
      <w:fldChar w:fldCharType="end"/>
    </w:r>
  </w:p>
  <w:p w14:paraId="1A8BA015" w14:textId="77777777" w:rsidR="005A5ADD" w:rsidRDefault="005A5A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88F67B" w14:textId="77777777" w:rsidR="005A5ADD" w:rsidRDefault="005A5A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FF6D4" w14:textId="77777777" w:rsidR="00F92E26" w:rsidRDefault="00F92E26">
      <w:pPr>
        <w:spacing w:before="60" w:line="240" w:lineRule="auto"/>
        <w:ind w:right="1134"/>
      </w:pPr>
      <w:r>
        <w:separator/>
      </w:r>
    </w:p>
  </w:footnote>
  <w:footnote w:type="continuationSeparator" w:id="0">
    <w:p w14:paraId="2E456132" w14:textId="77777777" w:rsidR="00F92E26" w:rsidRDefault="00F92E26">
      <w:r>
        <w:continuationSeparator/>
      </w:r>
    </w:p>
  </w:footnote>
  <w:footnote w:id="1">
    <w:p w14:paraId="5A4C19E6" w14:textId="77777777" w:rsidR="005A5ADD" w:rsidRDefault="005A5A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תשכ"ה מס' 1688</w:t>
        </w:r>
      </w:hyperlink>
      <w:r>
        <w:rPr>
          <w:rFonts w:hint="cs"/>
          <w:sz w:val="20"/>
          <w:rtl/>
        </w:rPr>
        <w:t xml:space="preserve"> מיום 18.2.1965 עמ' 1417.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8110" w14:textId="77777777" w:rsidR="005A5ADD" w:rsidRDefault="005A5A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(ביצוע הסכם בין ממשלת ישראל לבין ממשלת הולנד), תשכ"ה- 1965</w:t>
    </w:r>
  </w:p>
  <w:p w14:paraId="0FF70CFF" w14:textId="77777777" w:rsidR="005A5ADD" w:rsidRDefault="005A5A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BA3F5F" w14:textId="77777777" w:rsidR="005A5ADD" w:rsidRDefault="005A5AD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AC87B" w14:textId="77777777" w:rsidR="005A5ADD" w:rsidRDefault="005A5A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הביטוח הלאומי (ביצוע הסכם בין ממשלת ישראל לבין ממשלת הולנד), </w:t>
    </w:r>
    <w:r>
      <w:rPr>
        <w:rFonts w:hAnsi="FrankRuehl" w:cs="FrankRuehl" w:hint="cs"/>
        <w:color w:val="000000"/>
        <w:sz w:val="28"/>
        <w:szCs w:val="28"/>
        <w:rtl/>
      </w:rPr>
      <w:br/>
    </w:r>
    <w:r>
      <w:rPr>
        <w:rFonts w:hAnsi="FrankRuehl" w:cs="FrankRuehl"/>
        <w:color w:val="000000"/>
        <w:sz w:val="28"/>
        <w:szCs w:val="28"/>
        <w:rtl/>
      </w:rPr>
      <w:t>תשכ"ה-1965</w:t>
    </w:r>
  </w:p>
  <w:p w14:paraId="3CAA0FFE" w14:textId="77777777" w:rsidR="005A5ADD" w:rsidRDefault="005A5A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34601C" w14:textId="77777777" w:rsidR="005A5ADD" w:rsidRDefault="005A5AD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C3D"/>
    <w:rsid w:val="001B5F07"/>
    <w:rsid w:val="00530BF9"/>
    <w:rsid w:val="005A5ADD"/>
    <w:rsid w:val="007C42BA"/>
    <w:rsid w:val="00AF740E"/>
    <w:rsid w:val="00F07914"/>
    <w:rsid w:val="00F67C3D"/>
    <w:rsid w:val="00F92E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FB598A"/>
  <w15:chartTrackingRefBased/>
  <w15:docId w15:val="{9127E82A-FEF2-478A-BE5B-DBA30CBB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6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2168</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7340038</vt:i4>
      </vt:variant>
      <vt:variant>
        <vt:i4>0</vt:i4>
      </vt:variant>
      <vt:variant>
        <vt:i4>0</vt:i4>
      </vt:variant>
      <vt:variant>
        <vt:i4>5</vt:i4>
      </vt:variant>
      <vt:variant>
        <vt:lpwstr>http://www.nevo.co.il/Law_word/law06/TAK-1688.pdf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(ביצוע הסכם בין ממשלת ישראל לבין ממשלת הולנד), תשכ"ה-1965</vt:lpwstr>
  </property>
  <property fmtid="{D5CDD505-2E9C-101B-9397-08002B2CF9AE}" pid="5" name="LAWNUMBER">
    <vt:lpwstr>0181</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אמנות ביטוח לאומי</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vt:lpwstr>
  </property>
  <property fmtid="{D5CDD505-2E9C-101B-9397-08002B2CF9AE}" pid="48" name="MEKOR_SAIF1">
    <vt:lpwstr>62XבX;115X</vt:lpwstr>
  </property>
</Properties>
</file>