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452" w:rsidRDefault="00A16452">
      <w:pPr>
        <w:pStyle w:val="big-header"/>
        <w:ind w:left="0" w:right="1134"/>
        <w:rPr>
          <w:rFonts w:hint="cs"/>
          <w:rtl/>
        </w:rPr>
      </w:pPr>
      <w:r>
        <w:rPr>
          <w:rtl/>
        </w:rPr>
        <w:t>תקנות הביטוח הלאומי (הענקות מטעמי צדק), תשל"ה-1975</w:t>
      </w:r>
    </w:p>
    <w:p w:rsidR="005F0DEB" w:rsidRDefault="005F0DEB" w:rsidP="005F0DEB">
      <w:pPr>
        <w:spacing w:line="320" w:lineRule="auto"/>
        <w:jc w:val="left"/>
        <w:rPr>
          <w:rFonts w:cs="FrankRuehl" w:hint="cs"/>
          <w:szCs w:val="26"/>
          <w:rtl/>
        </w:rPr>
      </w:pPr>
    </w:p>
    <w:p w:rsidR="00BB55E0" w:rsidRPr="005F0DEB" w:rsidRDefault="00BB55E0" w:rsidP="005F0DEB">
      <w:pPr>
        <w:spacing w:line="320" w:lineRule="auto"/>
        <w:jc w:val="left"/>
        <w:rPr>
          <w:rFonts w:cs="FrankRuehl" w:hint="cs"/>
          <w:szCs w:val="26"/>
          <w:rtl/>
        </w:rPr>
      </w:pPr>
    </w:p>
    <w:p w:rsidR="009F0957" w:rsidRPr="005F0DEB" w:rsidRDefault="005F0DEB" w:rsidP="005F0DEB">
      <w:pPr>
        <w:spacing w:line="320" w:lineRule="auto"/>
        <w:jc w:val="left"/>
        <w:rPr>
          <w:rFonts w:cs="Miriam"/>
          <w:szCs w:val="22"/>
          <w:rtl/>
        </w:rPr>
      </w:pPr>
      <w:r w:rsidRPr="005F0DEB">
        <w:rPr>
          <w:rFonts w:cs="Miriam"/>
          <w:szCs w:val="22"/>
          <w:rtl/>
        </w:rPr>
        <w:t>ביטוח</w:t>
      </w:r>
      <w:r w:rsidRPr="005F0DEB">
        <w:rPr>
          <w:rFonts w:cs="FrankRuehl"/>
          <w:szCs w:val="26"/>
          <w:rtl/>
        </w:rPr>
        <w:t xml:space="preserve"> – ביטוח לאומי – קיצבאות וגימלאות</w:t>
      </w:r>
    </w:p>
    <w:p w:rsidR="00A16452" w:rsidRDefault="00A1645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16452" w:rsidRDefault="00A16452">
            <w:pPr>
              <w:spacing w:line="240" w:lineRule="auto"/>
              <w:rPr>
                <w:sz w:val="24"/>
              </w:rPr>
            </w:pPr>
            <w:hyperlink w:anchor="Seif0" w:tooltip="הגדרות" w:history="1">
              <w:r>
                <w:rPr>
                  <w:rStyle w:val="Hyperlink"/>
                </w:rPr>
                <w:t>Go</w:t>
              </w:r>
            </w:hyperlink>
          </w:p>
        </w:tc>
        <w:tc>
          <w:tcPr>
            <w:tcW w:w="5669" w:type="dxa"/>
          </w:tcPr>
          <w:p w:rsidR="00A16452" w:rsidRDefault="00A16452">
            <w:pPr>
              <w:spacing w:line="240" w:lineRule="auto"/>
              <w:rPr>
                <w:sz w:val="24"/>
                <w:rtl/>
              </w:rPr>
            </w:pPr>
            <w:r>
              <w:rPr>
                <w:sz w:val="24"/>
                <w:rtl/>
              </w:rPr>
              <w:t>הגדרות</w:t>
            </w:r>
          </w:p>
        </w:tc>
        <w:tc>
          <w:tcPr>
            <w:tcW w:w="1247" w:type="dxa"/>
          </w:tcPr>
          <w:p w:rsidR="00A16452" w:rsidRDefault="00A16452">
            <w:pPr>
              <w:spacing w:line="240" w:lineRule="auto"/>
              <w:rPr>
                <w:sz w:val="24"/>
              </w:rPr>
            </w:pPr>
            <w:r>
              <w:rPr>
                <w:sz w:val="24"/>
                <w:rtl/>
              </w:rPr>
              <w:t xml:space="preserve">סעיף 1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16452" w:rsidRDefault="00A16452">
            <w:pPr>
              <w:spacing w:line="240" w:lineRule="auto"/>
              <w:rPr>
                <w:sz w:val="24"/>
              </w:rPr>
            </w:pPr>
            <w:hyperlink w:anchor="Seif1" w:tooltip="למי ניתנת ההענקה" w:history="1">
              <w:r>
                <w:rPr>
                  <w:rStyle w:val="Hyperlink"/>
                </w:rPr>
                <w:t>Go</w:t>
              </w:r>
            </w:hyperlink>
          </w:p>
        </w:tc>
        <w:tc>
          <w:tcPr>
            <w:tcW w:w="5669" w:type="dxa"/>
          </w:tcPr>
          <w:p w:rsidR="00A16452" w:rsidRDefault="00A16452">
            <w:pPr>
              <w:spacing w:line="240" w:lineRule="auto"/>
              <w:rPr>
                <w:sz w:val="24"/>
                <w:rtl/>
              </w:rPr>
            </w:pPr>
            <w:r>
              <w:rPr>
                <w:sz w:val="24"/>
                <w:rtl/>
              </w:rPr>
              <w:t>למי ניתנת ההענקה</w:t>
            </w:r>
          </w:p>
        </w:tc>
        <w:tc>
          <w:tcPr>
            <w:tcW w:w="1247" w:type="dxa"/>
          </w:tcPr>
          <w:p w:rsidR="00A16452" w:rsidRDefault="00A16452">
            <w:pPr>
              <w:spacing w:line="240" w:lineRule="auto"/>
              <w:rPr>
                <w:sz w:val="24"/>
              </w:rPr>
            </w:pPr>
            <w:r>
              <w:rPr>
                <w:sz w:val="24"/>
                <w:rtl/>
              </w:rPr>
              <w:t xml:space="preserve">סעיף 2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16452" w:rsidRDefault="00A16452">
            <w:pPr>
              <w:spacing w:line="240" w:lineRule="auto"/>
              <w:rPr>
                <w:sz w:val="24"/>
              </w:rPr>
            </w:pPr>
            <w:hyperlink w:anchor="Seif2" w:tooltip="הנסיבות  למתן הענקה" w:history="1">
              <w:r>
                <w:rPr>
                  <w:rStyle w:val="Hyperlink"/>
                </w:rPr>
                <w:t>Go</w:t>
              </w:r>
            </w:hyperlink>
          </w:p>
        </w:tc>
        <w:tc>
          <w:tcPr>
            <w:tcW w:w="5669" w:type="dxa"/>
          </w:tcPr>
          <w:p w:rsidR="00A16452" w:rsidRDefault="00A16452">
            <w:pPr>
              <w:spacing w:line="240" w:lineRule="auto"/>
              <w:rPr>
                <w:sz w:val="24"/>
                <w:rtl/>
              </w:rPr>
            </w:pPr>
            <w:r>
              <w:rPr>
                <w:sz w:val="24"/>
                <w:rtl/>
              </w:rPr>
              <w:t>הנסיבות  למתן הענקה</w:t>
            </w:r>
          </w:p>
        </w:tc>
        <w:tc>
          <w:tcPr>
            <w:tcW w:w="1247" w:type="dxa"/>
          </w:tcPr>
          <w:p w:rsidR="00A16452" w:rsidRDefault="00A16452">
            <w:pPr>
              <w:spacing w:line="240" w:lineRule="auto"/>
              <w:rPr>
                <w:sz w:val="24"/>
              </w:rPr>
            </w:pPr>
            <w:r>
              <w:rPr>
                <w:sz w:val="24"/>
                <w:rtl/>
              </w:rPr>
              <w:t xml:space="preserve">סעיף 3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3" w:tooltip="מבחן ההכנסה למתן הענקה" w:history="1">
              <w:r>
                <w:rPr>
                  <w:rStyle w:val="Hyperlink"/>
                </w:rPr>
                <w:t>Go</w:t>
              </w:r>
            </w:hyperlink>
          </w:p>
        </w:tc>
        <w:tc>
          <w:tcPr>
            <w:tcW w:w="5669" w:type="dxa"/>
          </w:tcPr>
          <w:p w:rsidR="00A16452" w:rsidRDefault="00A16452">
            <w:pPr>
              <w:spacing w:line="240" w:lineRule="auto"/>
              <w:rPr>
                <w:sz w:val="24"/>
                <w:rtl/>
              </w:rPr>
            </w:pPr>
            <w:r>
              <w:rPr>
                <w:sz w:val="24"/>
                <w:rtl/>
              </w:rPr>
              <w:t>מבחן ההכנסה למתן הענקה</w:t>
            </w:r>
          </w:p>
        </w:tc>
        <w:tc>
          <w:tcPr>
            <w:tcW w:w="1247" w:type="dxa"/>
          </w:tcPr>
          <w:p w:rsidR="00A16452" w:rsidRDefault="00A16452">
            <w:pPr>
              <w:spacing w:line="240" w:lineRule="auto"/>
              <w:rPr>
                <w:sz w:val="24"/>
              </w:rPr>
            </w:pPr>
            <w:r>
              <w:rPr>
                <w:sz w:val="24"/>
                <w:rtl/>
              </w:rPr>
              <w:t xml:space="preserve">סעיף 4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4" w:tooltip="התקופה שבה קיימות הנסיבות למתן הענקה" w:history="1">
              <w:r>
                <w:rPr>
                  <w:rStyle w:val="Hyperlink"/>
                </w:rPr>
                <w:t>Go</w:t>
              </w:r>
            </w:hyperlink>
          </w:p>
        </w:tc>
        <w:tc>
          <w:tcPr>
            <w:tcW w:w="5669" w:type="dxa"/>
          </w:tcPr>
          <w:p w:rsidR="00A16452" w:rsidRDefault="00A16452">
            <w:pPr>
              <w:spacing w:line="240" w:lineRule="auto"/>
              <w:rPr>
                <w:sz w:val="24"/>
                <w:rtl/>
              </w:rPr>
            </w:pPr>
            <w:r>
              <w:rPr>
                <w:sz w:val="24"/>
                <w:rtl/>
              </w:rPr>
              <w:t>התקופה שבה קיימות הנסיבות למתן הענקה</w:t>
            </w:r>
          </w:p>
        </w:tc>
        <w:tc>
          <w:tcPr>
            <w:tcW w:w="1247" w:type="dxa"/>
          </w:tcPr>
          <w:p w:rsidR="00A16452" w:rsidRDefault="00A16452">
            <w:pPr>
              <w:spacing w:line="240" w:lineRule="auto"/>
              <w:rPr>
                <w:sz w:val="24"/>
              </w:rPr>
            </w:pPr>
            <w:r>
              <w:rPr>
                <w:sz w:val="24"/>
                <w:rtl/>
              </w:rPr>
              <w:t xml:space="preserve">סעיף 5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5" w:tooltip="שיעור ההענקה למי שתביעתו לקיצבה לפי  פרק ב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לקיצבה לפי  פרק ב נדחתה</w:t>
            </w:r>
          </w:p>
        </w:tc>
        <w:tc>
          <w:tcPr>
            <w:tcW w:w="1247" w:type="dxa"/>
          </w:tcPr>
          <w:p w:rsidR="00A16452" w:rsidRDefault="00A16452">
            <w:pPr>
              <w:spacing w:line="240" w:lineRule="auto"/>
              <w:rPr>
                <w:sz w:val="24"/>
              </w:rPr>
            </w:pPr>
            <w:r>
              <w:rPr>
                <w:sz w:val="24"/>
                <w:rtl/>
              </w:rPr>
              <w:t xml:space="preserve">סעיף 6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6" w:tooltip="שיעור ההענקה למי שתביעתו למענק אלמנה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למענק אלמנה נדחתה</w:t>
            </w:r>
          </w:p>
        </w:tc>
        <w:tc>
          <w:tcPr>
            <w:tcW w:w="1247" w:type="dxa"/>
          </w:tcPr>
          <w:p w:rsidR="00A16452" w:rsidRDefault="00A16452">
            <w:pPr>
              <w:spacing w:line="240" w:lineRule="auto"/>
              <w:rPr>
                <w:sz w:val="24"/>
              </w:rPr>
            </w:pPr>
            <w:r>
              <w:rPr>
                <w:sz w:val="24"/>
                <w:rtl/>
              </w:rPr>
              <w:t xml:space="preserve">סעיף 7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7" w:tooltip="שיעור ההענקה למי שתביעתו לדמי פגיעה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לדמי פגיעה נדחתה</w:t>
            </w:r>
          </w:p>
        </w:tc>
        <w:tc>
          <w:tcPr>
            <w:tcW w:w="1247" w:type="dxa"/>
          </w:tcPr>
          <w:p w:rsidR="00A16452" w:rsidRDefault="00A16452">
            <w:pPr>
              <w:spacing w:line="240" w:lineRule="auto"/>
              <w:rPr>
                <w:sz w:val="24"/>
              </w:rPr>
            </w:pPr>
            <w:r>
              <w:rPr>
                <w:sz w:val="24"/>
                <w:rtl/>
              </w:rPr>
              <w:t xml:space="preserve">סעיף 8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8" w:tooltip="שיעור ההענקה למי שתביעתו לקיצבה לפי  פרק ג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לקיצבה לפי  פרק ג נדחתה</w:t>
            </w:r>
          </w:p>
        </w:tc>
        <w:tc>
          <w:tcPr>
            <w:tcW w:w="1247" w:type="dxa"/>
          </w:tcPr>
          <w:p w:rsidR="00A16452" w:rsidRDefault="00A16452">
            <w:pPr>
              <w:spacing w:line="240" w:lineRule="auto"/>
              <w:rPr>
                <w:sz w:val="24"/>
              </w:rPr>
            </w:pPr>
            <w:r>
              <w:rPr>
                <w:sz w:val="24"/>
                <w:rtl/>
              </w:rPr>
              <w:t xml:space="preserve">סעיף 9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16452" w:rsidRDefault="00A16452">
            <w:pPr>
              <w:spacing w:line="240" w:lineRule="auto"/>
              <w:rPr>
                <w:sz w:val="24"/>
              </w:rPr>
            </w:pPr>
            <w:hyperlink w:anchor="Seif9" w:tooltip="שיעור ההענקה למי שתביעתו למענק לפי  פרק ג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למענק לפי  פרק ג נדחתה</w:t>
            </w:r>
          </w:p>
        </w:tc>
        <w:tc>
          <w:tcPr>
            <w:tcW w:w="1247" w:type="dxa"/>
          </w:tcPr>
          <w:p w:rsidR="00A16452" w:rsidRDefault="00A16452">
            <w:pPr>
              <w:spacing w:line="240" w:lineRule="auto"/>
              <w:rPr>
                <w:sz w:val="24"/>
              </w:rPr>
            </w:pPr>
            <w:r>
              <w:rPr>
                <w:sz w:val="24"/>
                <w:rtl/>
              </w:rPr>
              <w:t xml:space="preserve">סעיף 10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0" w:tooltip="שיעור ההענקה למי שתביעתו למענק לידה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למענק לידה נדחתה</w:t>
            </w:r>
          </w:p>
        </w:tc>
        <w:tc>
          <w:tcPr>
            <w:tcW w:w="1247" w:type="dxa"/>
          </w:tcPr>
          <w:p w:rsidR="00A16452" w:rsidRDefault="00A16452">
            <w:pPr>
              <w:spacing w:line="240" w:lineRule="auto"/>
              <w:rPr>
                <w:sz w:val="24"/>
              </w:rPr>
            </w:pPr>
            <w:r>
              <w:rPr>
                <w:sz w:val="24"/>
                <w:rtl/>
              </w:rPr>
              <w:t xml:space="preserve">סעיף 11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1" w:tooltip="שיעור הענקה למי שתביעתו לגימלה לשמירת הריון או לדמי לידה נדחתה" w:history="1">
              <w:r>
                <w:rPr>
                  <w:rStyle w:val="Hyperlink"/>
                </w:rPr>
                <w:t>Go</w:t>
              </w:r>
            </w:hyperlink>
          </w:p>
        </w:tc>
        <w:tc>
          <w:tcPr>
            <w:tcW w:w="5669" w:type="dxa"/>
          </w:tcPr>
          <w:p w:rsidR="00A16452" w:rsidRDefault="00A16452">
            <w:pPr>
              <w:spacing w:line="240" w:lineRule="auto"/>
              <w:rPr>
                <w:sz w:val="24"/>
                <w:rtl/>
              </w:rPr>
            </w:pPr>
            <w:r>
              <w:rPr>
                <w:sz w:val="24"/>
                <w:rtl/>
              </w:rPr>
              <w:t>שיעור הענקה למי שתביעתו לגימלה לשמירת הריון או לדמי לידה נדחתה</w:t>
            </w:r>
          </w:p>
        </w:tc>
        <w:tc>
          <w:tcPr>
            <w:tcW w:w="1247" w:type="dxa"/>
          </w:tcPr>
          <w:p w:rsidR="00A16452" w:rsidRDefault="00A16452">
            <w:pPr>
              <w:spacing w:line="240" w:lineRule="auto"/>
              <w:rPr>
                <w:sz w:val="24"/>
              </w:rPr>
            </w:pPr>
            <w:r>
              <w:rPr>
                <w:sz w:val="24"/>
                <w:rtl/>
              </w:rPr>
              <w:t xml:space="preserve">סעיף 12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2" w:tooltip="שיעור ההענקה למי שתביעתו לקיצבה לפי  פרק ו2 נדחתה" w:history="1">
              <w:r>
                <w:rPr>
                  <w:rStyle w:val="Hyperlink"/>
                </w:rPr>
                <w:t>Go</w:t>
              </w:r>
            </w:hyperlink>
          </w:p>
        </w:tc>
        <w:tc>
          <w:tcPr>
            <w:tcW w:w="5669" w:type="dxa"/>
          </w:tcPr>
          <w:p w:rsidR="00A16452" w:rsidRDefault="00A16452">
            <w:pPr>
              <w:spacing w:line="240" w:lineRule="auto"/>
              <w:rPr>
                <w:sz w:val="24"/>
                <w:rtl/>
              </w:rPr>
            </w:pPr>
            <w:r>
              <w:rPr>
                <w:sz w:val="24"/>
                <w:rtl/>
              </w:rPr>
              <w:t>שיעור ההענקה למי שתביעתו לקיצבה לפי  פרק ו2 נדחתה</w:t>
            </w:r>
          </w:p>
        </w:tc>
        <w:tc>
          <w:tcPr>
            <w:tcW w:w="1247" w:type="dxa"/>
          </w:tcPr>
          <w:p w:rsidR="00A16452" w:rsidRDefault="00A16452">
            <w:pPr>
              <w:spacing w:line="240" w:lineRule="auto"/>
              <w:rPr>
                <w:sz w:val="24"/>
              </w:rPr>
            </w:pPr>
            <w:r>
              <w:rPr>
                <w:sz w:val="24"/>
                <w:rtl/>
              </w:rPr>
              <w:t xml:space="preserve">סעיף 13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3" w:tooltip="הענקה למי שנדחתה תביעתו חלקית" w:history="1">
              <w:r>
                <w:rPr>
                  <w:rStyle w:val="Hyperlink"/>
                </w:rPr>
                <w:t>Go</w:t>
              </w:r>
            </w:hyperlink>
          </w:p>
        </w:tc>
        <w:tc>
          <w:tcPr>
            <w:tcW w:w="5669" w:type="dxa"/>
          </w:tcPr>
          <w:p w:rsidR="00A16452" w:rsidRDefault="00A16452">
            <w:pPr>
              <w:spacing w:line="240" w:lineRule="auto"/>
              <w:rPr>
                <w:sz w:val="24"/>
                <w:rtl/>
              </w:rPr>
            </w:pPr>
            <w:r>
              <w:rPr>
                <w:sz w:val="24"/>
                <w:rtl/>
              </w:rPr>
              <w:t>הענקה למי שנדחתה תביעתו חלקית</w:t>
            </w:r>
          </w:p>
        </w:tc>
        <w:tc>
          <w:tcPr>
            <w:tcW w:w="1247" w:type="dxa"/>
          </w:tcPr>
          <w:p w:rsidR="00A16452" w:rsidRDefault="00A16452">
            <w:pPr>
              <w:spacing w:line="240" w:lineRule="auto"/>
              <w:rPr>
                <w:sz w:val="24"/>
              </w:rPr>
            </w:pPr>
            <w:r>
              <w:rPr>
                <w:sz w:val="24"/>
                <w:rtl/>
              </w:rPr>
              <w:t xml:space="preserve">סעיף 14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4" w:tooltip="הגבלה" w:history="1">
              <w:r>
                <w:rPr>
                  <w:rStyle w:val="Hyperlink"/>
                </w:rPr>
                <w:t>Go</w:t>
              </w:r>
            </w:hyperlink>
          </w:p>
        </w:tc>
        <w:tc>
          <w:tcPr>
            <w:tcW w:w="5669" w:type="dxa"/>
          </w:tcPr>
          <w:p w:rsidR="00A16452" w:rsidRDefault="00A16452">
            <w:pPr>
              <w:spacing w:line="240" w:lineRule="auto"/>
              <w:rPr>
                <w:sz w:val="24"/>
                <w:rtl/>
              </w:rPr>
            </w:pPr>
            <w:r>
              <w:rPr>
                <w:sz w:val="24"/>
                <w:rtl/>
              </w:rPr>
              <w:t>הגבלה</w:t>
            </w:r>
          </w:p>
        </w:tc>
        <w:tc>
          <w:tcPr>
            <w:tcW w:w="1247" w:type="dxa"/>
          </w:tcPr>
          <w:p w:rsidR="00A16452" w:rsidRDefault="00A16452">
            <w:pPr>
              <w:spacing w:line="240" w:lineRule="auto"/>
              <w:rPr>
                <w:sz w:val="24"/>
              </w:rPr>
            </w:pPr>
            <w:r>
              <w:rPr>
                <w:sz w:val="24"/>
                <w:rtl/>
              </w:rPr>
              <w:t xml:space="preserve">סעיף 15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5" w:tooltip="הגדלת סכומי ההענקה" w:history="1">
              <w:r>
                <w:rPr>
                  <w:rStyle w:val="Hyperlink"/>
                </w:rPr>
                <w:t>Go</w:t>
              </w:r>
            </w:hyperlink>
          </w:p>
        </w:tc>
        <w:tc>
          <w:tcPr>
            <w:tcW w:w="5669" w:type="dxa"/>
          </w:tcPr>
          <w:p w:rsidR="00A16452" w:rsidRDefault="00A16452">
            <w:pPr>
              <w:spacing w:line="240" w:lineRule="auto"/>
              <w:rPr>
                <w:sz w:val="24"/>
                <w:rtl/>
              </w:rPr>
            </w:pPr>
            <w:r>
              <w:rPr>
                <w:sz w:val="24"/>
                <w:rtl/>
              </w:rPr>
              <w:t>הגדלת סכומי ההענקה</w:t>
            </w:r>
          </w:p>
        </w:tc>
        <w:tc>
          <w:tcPr>
            <w:tcW w:w="1247" w:type="dxa"/>
          </w:tcPr>
          <w:p w:rsidR="00A16452" w:rsidRDefault="00A16452">
            <w:pPr>
              <w:spacing w:line="240" w:lineRule="auto"/>
              <w:rPr>
                <w:sz w:val="24"/>
              </w:rPr>
            </w:pPr>
            <w:r>
              <w:rPr>
                <w:sz w:val="24"/>
                <w:rtl/>
              </w:rPr>
              <w:t xml:space="preserve">סעיף 16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6" w:tooltip="הענקה יחסית" w:history="1">
              <w:r>
                <w:rPr>
                  <w:rStyle w:val="Hyperlink"/>
                </w:rPr>
                <w:t>Go</w:t>
              </w:r>
            </w:hyperlink>
          </w:p>
        </w:tc>
        <w:tc>
          <w:tcPr>
            <w:tcW w:w="5669" w:type="dxa"/>
          </w:tcPr>
          <w:p w:rsidR="00A16452" w:rsidRDefault="00A16452">
            <w:pPr>
              <w:spacing w:line="240" w:lineRule="auto"/>
              <w:rPr>
                <w:sz w:val="24"/>
                <w:rtl/>
              </w:rPr>
            </w:pPr>
            <w:r>
              <w:rPr>
                <w:sz w:val="24"/>
                <w:rtl/>
              </w:rPr>
              <w:t>הענקה יחסית</w:t>
            </w:r>
          </w:p>
        </w:tc>
        <w:tc>
          <w:tcPr>
            <w:tcW w:w="1247" w:type="dxa"/>
          </w:tcPr>
          <w:p w:rsidR="00A16452" w:rsidRDefault="00A16452">
            <w:pPr>
              <w:spacing w:line="240" w:lineRule="auto"/>
              <w:rPr>
                <w:sz w:val="24"/>
              </w:rPr>
            </w:pPr>
            <w:r>
              <w:rPr>
                <w:sz w:val="24"/>
                <w:rtl/>
              </w:rPr>
              <w:t xml:space="preserve">סעיף 17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7" w:tooltip="הענקה נוספת" w:history="1">
              <w:r>
                <w:rPr>
                  <w:rStyle w:val="Hyperlink"/>
                </w:rPr>
                <w:t>Go</w:t>
              </w:r>
            </w:hyperlink>
          </w:p>
        </w:tc>
        <w:tc>
          <w:tcPr>
            <w:tcW w:w="5669" w:type="dxa"/>
          </w:tcPr>
          <w:p w:rsidR="00A16452" w:rsidRDefault="00A16452">
            <w:pPr>
              <w:spacing w:line="240" w:lineRule="auto"/>
              <w:rPr>
                <w:sz w:val="24"/>
                <w:rtl/>
              </w:rPr>
            </w:pPr>
            <w:r>
              <w:rPr>
                <w:sz w:val="24"/>
                <w:rtl/>
              </w:rPr>
              <w:t>הענקה נוספת</w:t>
            </w:r>
          </w:p>
        </w:tc>
        <w:tc>
          <w:tcPr>
            <w:tcW w:w="1247" w:type="dxa"/>
          </w:tcPr>
          <w:p w:rsidR="00A16452" w:rsidRDefault="00A16452">
            <w:pPr>
              <w:spacing w:line="240" w:lineRule="auto"/>
              <w:rPr>
                <w:sz w:val="24"/>
              </w:rPr>
            </w:pPr>
            <w:r>
              <w:rPr>
                <w:sz w:val="24"/>
                <w:rtl/>
              </w:rPr>
              <w:t xml:space="preserve">סעיף 18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8" w:tooltip="מניעת  תשלומי כפל" w:history="1">
              <w:r>
                <w:rPr>
                  <w:rStyle w:val="Hyperlink"/>
                </w:rPr>
                <w:t>Go</w:t>
              </w:r>
            </w:hyperlink>
          </w:p>
        </w:tc>
        <w:tc>
          <w:tcPr>
            <w:tcW w:w="5669" w:type="dxa"/>
          </w:tcPr>
          <w:p w:rsidR="00A16452" w:rsidRDefault="00A16452">
            <w:pPr>
              <w:spacing w:line="240" w:lineRule="auto"/>
              <w:rPr>
                <w:sz w:val="24"/>
                <w:rtl/>
              </w:rPr>
            </w:pPr>
            <w:r>
              <w:rPr>
                <w:sz w:val="24"/>
                <w:rtl/>
              </w:rPr>
              <w:t>מניעת  תשלומי כפל</w:t>
            </w:r>
          </w:p>
        </w:tc>
        <w:tc>
          <w:tcPr>
            <w:tcW w:w="1247" w:type="dxa"/>
          </w:tcPr>
          <w:p w:rsidR="00A16452" w:rsidRDefault="00A16452">
            <w:pPr>
              <w:spacing w:line="240" w:lineRule="auto"/>
              <w:rPr>
                <w:sz w:val="24"/>
              </w:rPr>
            </w:pPr>
            <w:r>
              <w:rPr>
                <w:sz w:val="24"/>
                <w:rtl/>
              </w:rPr>
              <w:t xml:space="preserve">סעיף 19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16452" w:rsidRDefault="00A16452">
            <w:pPr>
              <w:spacing w:line="240" w:lineRule="auto"/>
              <w:rPr>
                <w:sz w:val="24"/>
              </w:rPr>
            </w:pPr>
            <w:hyperlink w:anchor="Seif19" w:tooltip="בדיקה חוזרת" w:history="1">
              <w:r>
                <w:rPr>
                  <w:rStyle w:val="Hyperlink"/>
                </w:rPr>
                <w:t>Go</w:t>
              </w:r>
            </w:hyperlink>
          </w:p>
        </w:tc>
        <w:tc>
          <w:tcPr>
            <w:tcW w:w="5669" w:type="dxa"/>
          </w:tcPr>
          <w:p w:rsidR="00A16452" w:rsidRDefault="00A16452">
            <w:pPr>
              <w:spacing w:line="240" w:lineRule="auto"/>
              <w:rPr>
                <w:sz w:val="24"/>
                <w:rtl/>
              </w:rPr>
            </w:pPr>
            <w:r>
              <w:rPr>
                <w:sz w:val="24"/>
                <w:rtl/>
              </w:rPr>
              <w:t>בדיקה חוזרת</w:t>
            </w:r>
          </w:p>
        </w:tc>
        <w:tc>
          <w:tcPr>
            <w:tcW w:w="1247" w:type="dxa"/>
          </w:tcPr>
          <w:p w:rsidR="00A16452" w:rsidRDefault="00A16452">
            <w:pPr>
              <w:spacing w:line="240" w:lineRule="auto"/>
              <w:rPr>
                <w:sz w:val="24"/>
              </w:rPr>
            </w:pPr>
            <w:r>
              <w:rPr>
                <w:sz w:val="24"/>
                <w:rtl/>
              </w:rPr>
              <w:t xml:space="preserve">סעיף 20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16452" w:rsidRDefault="00A16452">
            <w:pPr>
              <w:spacing w:line="240" w:lineRule="auto"/>
              <w:rPr>
                <w:sz w:val="24"/>
              </w:rPr>
            </w:pPr>
            <w:hyperlink w:anchor="Seif20" w:tooltip="מועד הגשת הבקשה" w:history="1">
              <w:r>
                <w:rPr>
                  <w:rStyle w:val="Hyperlink"/>
                </w:rPr>
                <w:t>Go</w:t>
              </w:r>
            </w:hyperlink>
          </w:p>
        </w:tc>
        <w:tc>
          <w:tcPr>
            <w:tcW w:w="5669" w:type="dxa"/>
          </w:tcPr>
          <w:p w:rsidR="00A16452" w:rsidRDefault="00A16452">
            <w:pPr>
              <w:spacing w:line="240" w:lineRule="auto"/>
              <w:rPr>
                <w:sz w:val="24"/>
                <w:rtl/>
              </w:rPr>
            </w:pPr>
            <w:r>
              <w:rPr>
                <w:sz w:val="24"/>
                <w:rtl/>
              </w:rPr>
              <w:t>מועד הגשת הבקשה</w:t>
            </w:r>
          </w:p>
        </w:tc>
        <w:tc>
          <w:tcPr>
            <w:tcW w:w="1247" w:type="dxa"/>
          </w:tcPr>
          <w:p w:rsidR="00A16452" w:rsidRDefault="00A16452">
            <w:pPr>
              <w:spacing w:line="240" w:lineRule="auto"/>
              <w:rPr>
                <w:sz w:val="24"/>
              </w:rPr>
            </w:pPr>
            <w:r>
              <w:rPr>
                <w:sz w:val="24"/>
                <w:rtl/>
              </w:rPr>
              <w:t xml:space="preserve">סעיף 21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16452" w:rsidRDefault="00A16452">
            <w:pPr>
              <w:spacing w:line="240" w:lineRule="auto"/>
              <w:rPr>
                <w:sz w:val="24"/>
              </w:rPr>
            </w:pPr>
            <w:hyperlink w:anchor="Seif21" w:tooltip="תשלום למפרע" w:history="1">
              <w:r>
                <w:rPr>
                  <w:rStyle w:val="Hyperlink"/>
                </w:rPr>
                <w:t>Go</w:t>
              </w:r>
            </w:hyperlink>
          </w:p>
        </w:tc>
        <w:tc>
          <w:tcPr>
            <w:tcW w:w="5669" w:type="dxa"/>
          </w:tcPr>
          <w:p w:rsidR="00A16452" w:rsidRDefault="00A16452">
            <w:pPr>
              <w:spacing w:line="240" w:lineRule="auto"/>
              <w:rPr>
                <w:sz w:val="24"/>
                <w:rtl/>
              </w:rPr>
            </w:pPr>
            <w:r>
              <w:rPr>
                <w:sz w:val="24"/>
                <w:rtl/>
              </w:rPr>
              <w:t>תשלום למפרע</w:t>
            </w:r>
          </w:p>
        </w:tc>
        <w:tc>
          <w:tcPr>
            <w:tcW w:w="1247" w:type="dxa"/>
          </w:tcPr>
          <w:p w:rsidR="00A16452" w:rsidRDefault="00A16452">
            <w:pPr>
              <w:spacing w:line="240" w:lineRule="auto"/>
              <w:rPr>
                <w:sz w:val="24"/>
              </w:rPr>
            </w:pPr>
            <w:r>
              <w:rPr>
                <w:sz w:val="24"/>
                <w:rtl/>
              </w:rPr>
              <w:t xml:space="preserve">סעיף 22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16452" w:rsidRDefault="00A16452">
            <w:pPr>
              <w:spacing w:line="240" w:lineRule="auto"/>
              <w:rPr>
                <w:sz w:val="24"/>
              </w:rPr>
            </w:pPr>
            <w:hyperlink w:anchor="Seif22" w:tooltip="הליכים" w:history="1">
              <w:r>
                <w:rPr>
                  <w:rStyle w:val="Hyperlink"/>
                </w:rPr>
                <w:t>Go</w:t>
              </w:r>
            </w:hyperlink>
          </w:p>
        </w:tc>
        <w:tc>
          <w:tcPr>
            <w:tcW w:w="5669" w:type="dxa"/>
          </w:tcPr>
          <w:p w:rsidR="00A16452" w:rsidRDefault="00A16452">
            <w:pPr>
              <w:spacing w:line="240" w:lineRule="auto"/>
              <w:rPr>
                <w:sz w:val="24"/>
                <w:rtl/>
              </w:rPr>
            </w:pPr>
            <w:r>
              <w:rPr>
                <w:sz w:val="24"/>
                <w:rtl/>
              </w:rPr>
              <w:t>הליכים</w:t>
            </w:r>
          </w:p>
        </w:tc>
        <w:tc>
          <w:tcPr>
            <w:tcW w:w="1247" w:type="dxa"/>
          </w:tcPr>
          <w:p w:rsidR="00A16452" w:rsidRDefault="00A16452">
            <w:pPr>
              <w:spacing w:line="240" w:lineRule="auto"/>
              <w:rPr>
                <w:sz w:val="24"/>
              </w:rPr>
            </w:pPr>
            <w:r>
              <w:rPr>
                <w:sz w:val="24"/>
                <w:rtl/>
              </w:rPr>
              <w:t xml:space="preserve">סעיף 23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16452" w:rsidRDefault="00A16452">
            <w:pPr>
              <w:spacing w:line="240" w:lineRule="auto"/>
              <w:rPr>
                <w:sz w:val="24"/>
              </w:rPr>
            </w:pPr>
            <w:hyperlink w:anchor="Seif23" w:tooltip="תחולה" w:history="1">
              <w:r>
                <w:rPr>
                  <w:rStyle w:val="Hyperlink"/>
                </w:rPr>
                <w:t>Go</w:t>
              </w:r>
            </w:hyperlink>
          </w:p>
        </w:tc>
        <w:tc>
          <w:tcPr>
            <w:tcW w:w="5669" w:type="dxa"/>
          </w:tcPr>
          <w:p w:rsidR="00A16452" w:rsidRDefault="00A16452">
            <w:pPr>
              <w:spacing w:line="240" w:lineRule="auto"/>
              <w:rPr>
                <w:sz w:val="24"/>
                <w:rtl/>
              </w:rPr>
            </w:pPr>
            <w:r>
              <w:rPr>
                <w:sz w:val="24"/>
                <w:rtl/>
              </w:rPr>
              <w:t>תחולה</w:t>
            </w:r>
          </w:p>
        </w:tc>
        <w:tc>
          <w:tcPr>
            <w:tcW w:w="1247" w:type="dxa"/>
          </w:tcPr>
          <w:p w:rsidR="00A16452" w:rsidRDefault="00A16452">
            <w:pPr>
              <w:spacing w:line="240" w:lineRule="auto"/>
              <w:rPr>
                <w:sz w:val="24"/>
              </w:rPr>
            </w:pPr>
            <w:r>
              <w:rPr>
                <w:sz w:val="24"/>
                <w:rtl/>
              </w:rPr>
              <w:t xml:space="preserve">סעיף 24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16452" w:rsidRDefault="00A16452">
            <w:pPr>
              <w:spacing w:line="240" w:lineRule="auto"/>
              <w:rPr>
                <w:sz w:val="24"/>
              </w:rPr>
            </w:pPr>
            <w:hyperlink w:anchor="Seif24" w:tooltip="הוראת מעבר" w:history="1">
              <w:r>
                <w:rPr>
                  <w:rStyle w:val="Hyperlink"/>
                </w:rPr>
                <w:t>Go</w:t>
              </w:r>
            </w:hyperlink>
          </w:p>
        </w:tc>
        <w:tc>
          <w:tcPr>
            <w:tcW w:w="5669" w:type="dxa"/>
          </w:tcPr>
          <w:p w:rsidR="00A16452" w:rsidRDefault="00A16452">
            <w:pPr>
              <w:spacing w:line="240" w:lineRule="auto"/>
              <w:rPr>
                <w:sz w:val="24"/>
                <w:rtl/>
              </w:rPr>
            </w:pPr>
            <w:r>
              <w:rPr>
                <w:sz w:val="24"/>
                <w:rtl/>
              </w:rPr>
              <w:t>הוראת מעבר</w:t>
            </w:r>
          </w:p>
        </w:tc>
        <w:tc>
          <w:tcPr>
            <w:tcW w:w="1247" w:type="dxa"/>
          </w:tcPr>
          <w:p w:rsidR="00A16452" w:rsidRDefault="00A16452">
            <w:pPr>
              <w:spacing w:line="240" w:lineRule="auto"/>
              <w:rPr>
                <w:sz w:val="24"/>
              </w:rPr>
            </w:pPr>
            <w:r>
              <w:rPr>
                <w:sz w:val="24"/>
                <w:rtl/>
              </w:rPr>
              <w:t xml:space="preserve">סעיף 25 </w:t>
            </w:r>
          </w:p>
        </w:tc>
      </w:tr>
      <w:tr w:rsidR="00A16452">
        <w:tblPrEx>
          <w:tblCellMar>
            <w:top w:w="0" w:type="dxa"/>
            <w:bottom w:w="0" w:type="dxa"/>
          </w:tblCellMar>
        </w:tblPrEx>
        <w:tc>
          <w:tcPr>
            <w:tcW w:w="850" w:type="dxa"/>
          </w:tcPr>
          <w:p w:rsidR="00A16452" w:rsidRDefault="00A16452">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16452" w:rsidRDefault="00A16452">
            <w:pPr>
              <w:spacing w:line="240" w:lineRule="auto"/>
              <w:rPr>
                <w:sz w:val="24"/>
              </w:rPr>
            </w:pPr>
            <w:hyperlink w:anchor="Seif25" w:tooltip="השם" w:history="1">
              <w:r>
                <w:rPr>
                  <w:rStyle w:val="Hyperlink"/>
                </w:rPr>
                <w:t>Go</w:t>
              </w:r>
            </w:hyperlink>
          </w:p>
        </w:tc>
        <w:tc>
          <w:tcPr>
            <w:tcW w:w="5669" w:type="dxa"/>
          </w:tcPr>
          <w:p w:rsidR="00A16452" w:rsidRDefault="00A16452">
            <w:pPr>
              <w:spacing w:line="240" w:lineRule="auto"/>
              <w:rPr>
                <w:sz w:val="24"/>
                <w:rtl/>
              </w:rPr>
            </w:pPr>
            <w:r>
              <w:rPr>
                <w:sz w:val="24"/>
                <w:rtl/>
              </w:rPr>
              <w:t>השם</w:t>
            </w:r>
          </w:p>
        </w:tc>
        <w:tc>
          <w:tcPr>
            <w:tcW w:w="1247" w:type="dxa"/>
          </w:tcPr>
          <w:p w:rsidR="00A16452" w:rsidRDefault="00A16452">
            <w:pPr>
              <w:spacing w:line="240" w:lineRule="auto"/>
              <w:rPr>
                <w:sz w:val="24"/>
              </w:rPr>
            </w:pPr>
            <w:r>
              <w:rPr>
                <w:sz w:val="24"/>
                <w:rtl/>
              </w:rPr>
              <w:t xml:space="preserve">סעיף 26 </w:t>
            </w:r>
          </w:p>
        </w:tc>
      </w:tr>
    </w:tbl>
    <w:p w:rsidR="00A16452" w:rsidRDefault="00A16452">
      <w:pPr>
        <w:pStyle w:val="big-header"/>
        <w:ind w:left="0" w:right="1134"/>
        <w:rPr>
          <w:rtl/>
        </w:rPr>
      </w:pPr>
    </w:p>
    <w:p w:rsidR="00A16452" w:rsidRDefault="00A16452" w:rsidP="009F0957">
      <w:pPr>
        <w:pStyle w:val="big-header"/>
        <w:ind w:left="0" w:right="1134"/>
        <w:rPr>
          <w:rStyle w:val="default"/>
          <w:rFonts w:cs="FrankRuehl" w:hint="cs"/>
          <w:rtl/>
        </w:rPr>
      </w:pPr>
      <w:r>
        <w:rPr>
          <w:rtl/>
        </w:rPr>
        <w:br w:type="page"/>
      </w:r>
      <w:r w:rsidR="009F0957">
        <w:rPr>
          <w:rtl/>
        </w:rPr>
        <w:lastRenderedPageBreak/>
        <w:t xml:space="preserve"> </w:t>
      </w:r>
      <w:r>
        <w:rPr>
          <w:rtl/>
        </w:rPr>
        <w:t>ת</w:t>
      </w:r>
      <w:r>
        <w:rPr>
          <w:rFonts w:hint="cs"/>
          <w:rtl/>
        </w:rPr>
        <w:t>קנות הביטוח הלאומי (הענקות מטעמי צדק), תשל"ה-1975</w:t>
      </w:r>
      <w:r>
        <w:rPr>
          <w:rStyle w:val="default"/>
          <w:rtl/>
        </w:rPr>
        <w:footnoteReference w:customMarkFollows="1" w:id="1"/>
        <w:t>*</w:t>
      </w:r>
    </w:p>
    <w:p w:rsidR="00A16452" w:rsidRDefault="00A1645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198א ו-242 לחוק הביטוח הלאומי [נוסח משולב], תשכ"ח-1968, ובאישור ועדת העבודה של הכנסת, אני מתקין תקנות אלה:</w:t>
      </w:r>
    </w:p>
    <w:p w:rsidR="00A16452" w:rsidRDefault="00A16452">
      <w:pPr>
        <w:pStyle w:val="header-2"/>
        <w:ind w:left="0" w:right="1134"/>
        <w:rPr>
          <w:rtl/>
        </w:rPr>
      </w:pPr>
      <w:r>
        <w:rPr>
          <w:rtl/>
        </w:rPr>
        <w:t>ס</w:t>
      </w:r>
      <w:r>
        <w:rPr>
          <w:rFonts w:hint="cs"/>
          <w:rtl/>
        </w:rPr>
        <w:t>ימן א': הוראות כלליות</w:t>
      </w:r>
    </w:p>
    <w:p w:rsidR="00A16452" w:rsidRDefault="00A1645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pt;z-index:251644928"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BB55E0">
        <w:rPr>
          <w:rStyle w:val="default"/>
          <w:rFonts w:cs="FrankRuehl"/>
          <w:rtl/>
        </w:rPr>
        <w:t>–</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הכנסה" </w:t>
      </w:r>
      <w:r w:rsidR="00BB55E0">
        <w:rPr>
          <w:rStyle w:val="default"/>
          <w:rFonts w:cs="FrankRuehl"/>
          <w:rtl/>
        </w:rPr>
        <w:t>–</w:t>
      </w:r>
      <w:r>
        <w:rPr>
          <w:rStyle w:val="default"/>
          <w:rFonts w:cs="FrankRuehl" w:hint="cs"/>
          <w:rtl/>
        </w:rPr>
        <w:t xml:space="preserve"> ההכנסה של מבקש הענקה, לרבות הכנסת בן הזוג הנמצא עמו, מהמקורות המפורטים בסעיף 2 לפקודת מס הכנסה, למעט הכנסה ממקורות אלה:</w:t>
      </w:r>
    </w:p>
    <w:p w:rsidR="00A16452" w:rsidRDefault="00A164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קיצבת ילדים לפי פרק ה' לחוק;</w:t>
      </w:r>
    </w:p>
    <w:p w:rsidR="00A16452" w:rsidRDefault="00A16452" w:rsidP="00BB55E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הענקות מכוח סעיף 40(ב1)(2) לחוק החיילים</w:t>
      </w:r>
      <w:r>
        <w:rPr>
          <w:rStyle w:val="default"/>
          <w:rFonts w:cs="FrankRuehl"/>
          <w:rtl/>
        </w:rPr>
        <w:t xml:space="preserve"> </w:t>
      </w:r>
      <w:r>
        <w:rPr>
          <w:rStyle w:val="default"/>
          <w:rFonts w:cs="FrankRuehl" w:hint="cs"/>
          <w:rtl/>
        </w:rPr>
        <w:t>המשוחררים (החזרה לעבודה), תש"ט-1949;</w:t>
      </w:r>
    </w:p>
    <w:p w:rsidR="00A16452" w:rsidRDefault="00A1645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w:t>
      </w:r>
      <w:r>
        <w:rPr>
          <w:rStyle w:val="default"/>
          <w:rFonts w:cs="FrankRuehl"/>
          <w:rtl/>
        </w:rPr>
        <w:t>צ</w:t>
      </w:r>
      <w:r>
        <w:rPr>
          <w:rStyle w:val="default"/>
          <w:rFonts w:cs="FrankRuehl" w:hint="cs"/>
          <w:rtl/>
        </w:rPr>
        <w:t>אות מבקש ההענקה עקב מחלתו או נכותו שלו או של התלויים בו בסכום סביר שהכיר בו המוסד ושאינן מכוסות על-ידי שירותי הסעד של המדינה או רשות מקומית;</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הענקה" </w:t>
      </w:r>
      <w:r w:rsidR="00BB55E0">
        <w:rPr>
          <w:rStyle w:val="default"/>
          <w:rFonts w:cs="FrankRuehl"/>
          <w:rtl/>
        </w:rPr>
        <w:t>–</w:t>
      </w:r>
      <w:r>
        <w:rPr>
          <w:rStyle w:val="default"/>
          <w:rFonts w:cs="FrankRuehl" w:hint="cs"/>
          <w:rtl/>
        </w:rPr>
        <w:t xml:space="preserve"> הענקה לפי פרק ט'1 לחוק;</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תלוי" ו"שאיר" </w:t>
      </w:r>
      <w:r w:rsidR="00BB55E0">
        <w:rPr>
          <w:rStyle w:val="default"/>
          <w:rFonts w:cs="FrankRuehl"/>
          <w:rtl/>
        </w:rPr>
        <w:t>–</w:t>
      </w:r>
      <w:r>
        <w:rPr>
          <w:rStyle w:val="default"/>
          <w:rFonts w:cs="FrankRuehl" w:hint="cs"/>
          <w:rtl/>
        </w:rPr>
        <w:t xml:space="preserve"> כמשמעותם בפרק ב' לחוק.</w:t>
      </w:r>
    </w:p>
    <w:p w:rsidR="00A16452" w:rsidRDefault="00A1645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45952"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ל</w:t>
                  </w:r>
                  <w:r>
                    <w:rPr>
                      <w:rFonts w:cs="Miriam" w:hint="cs"/>
                      <w:szCs w:val="18"/>
                      <w:rtl/>
                    </w:rPr>
                    <w:t>מי נית</w:t>
                  </w:r>
                  <w:r>
                    <w:rPr>
                      <w:rFonts w:cs="Miriam"/>
                      <w:szCs w:val="18"/>
                      <w:rtl/>
                    </w:rPr>
                    <w:t>נ</w:t>
                  </w:r>
                  <w:r>
                    <w:rPr>
                      <w:rFonts w:cs="Miriam" w:hint="cs"/>
                      <w:szCs w:val="18"/>
                      <w:rtl/>
                    </w:rPr>
                    <w:t>ת ההענקה</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כפוף לאמור בס</w:t>
      </w:r>
      <w:r>
        <w:rPr>
          <w:rStyle w:val="default"/>
          <w:rFonts w:cs="FrankRuehl"/>
          <w:rtl/>
        </w:rPr>
        <w:t>י</w:t>
      </w:r>
      <w:r>
        <w:rPr>
          <w:rStyle w:val="default"/>
          <w:rFonts w:cs="FrankRuehl" w:hint="cs"/>
          <w:rtl/>
        </w:rPr>
        <w:t>מן ב', יינתנו הענקות לפי סימן ג' לתקנות אלה למי שנדחתה תביעתו מסיבה כאמור בסעיף 198א לחוק.</w:t>
      </w:r>
    </w:p>
    <w:p w:rsidR="00A16452" w:rsidRDefault="00A16452">
      <w:pPr>
        <w:pStyle w:val="header-2"/>
        <w:ind w:left="0" w:right="1134"/>
        <w:rPr>
          <w:rtl/>
        </w:rPr>
      </w:pPr>
      <w:r>
        <w:rPr>
          <w:rtl/>
        </w:rPr>
        <w:t>ס</w:t>
      </w:r>
      <w:r>
        <w:rPr>
          <w:rFonts w:hint="cs"/>
          <w:rtl/>
        </w:rPr>
        <w:t>ימן ב': הצידוק למתן הענקה</w:t>
      </w:r>
    </w:p>
    <w:p w:rsidR="00A16452" w:rsidRDefault="00A16452">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pt;z-index:251646976"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 xml:space="preserve">נסיבות </w:t>
                  </w:r>
                  <w:r>
                    <w:rPr>
                      <w:rFonts w:cs="Miriam"/>
                      <w:szCs w:val="18"/>
                      <w:rtl/>
                    </w:rPr>
                    <w:t>ל</w:t>
                  </w:r>
                  <w:r>
                    <w:rPr>
                      <w:rFonts w:cs="Miriam" w:hint="cs"/>
                      <w:szCs w:val="18"/>
                      <w:rtl/>
                    </w:rPr>
                    <w:t>מתן הענקה</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כפוף לאמור בסימן ג' יתן המוסד הענקה במקרה שלא אושפזה יולדת או נבצר מהמבוטח למלא חובת רישום לפי סעיף 33 לחוק או</w:t>
      </w:r>
      <w:r>
        <w:rPr>
          <w:rStyle w:val="default"/>
          <w:rFonts w:cs="FrankRuehl"/>
          <w:rtl/>
        </w:rPr>
        <w:t xml:space="preserve"> </w:t>
      </w:r>
      <w:r>
        <w:rPr>
          <w:rStyle w:val="default"/>
          <w:rFonts w:cs="FrankRuehl" w:hint="cs"/>
          <w:rtl/>
        </w:rPr>
        <w:t>לשלם דמי ביטוח, כולם או מקצתם, ונוצר פיגור לפי סעיפים 98 או 181 לחוק מחמת אחד מאלה:</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מחלה או תאונה;</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מאסר או מעצר;</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פסלות לדין או פשיטת רגל;</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שירות בצבא-הגנה לישראל;</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הימצאות בארץ אויב או בארץ שאינה מאפשרת מגע חפשי עם ישראל;</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תנאי מלחמה או פעולות אויב;</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אסונות טבע או תנאי אקלים החורגים מהרגיל;</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רישום גיל לא נכון שתוקן על פי פסק דין, בתנאי שמבקש ההענקה נקט בהליכים משפטיים לתיקון הגיל תוך זמן סביר לאחר שעמד על הטעות;</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מסירת מידע לא נכון מאת עובד המוסד שפעל בתפקיד;</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סיבה אחרת שלפי שיקול דעת המוסד מקורה בנסיבות שלא היו תלויות במבקש הענקה ב</w:t>
      </w:r>
      <w:r>
        <w:rPr>
          <w:rStyle w:val="default"/>
          <w:rFonts w:cs="FrankRuehl"/>
          <w:rtl/>
        </w:rPr>
        <w:t>ת</w:t>
      </w:r>
      <w:r>
        <w:rPr>
          <w:rStyle w:val="default"/>
          <w:rFonts w:cs="FrankRuehl" w:hint="cs"/>
          <w:rtl/>
        </w:rPr>
        <w:t>ום לב והמוסד שוכנע ששורת הצדק מחייבת מתן הענקה.</w:t>
      </w:r>
    </w:p>
    <w:p w:rsidR="00A16452" w:rsidRDefault="00A16452" w:rsidP="00BB55E0">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0pt;z-index:251648000"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מ</w:t>
                  </w:r>
                  <w:r>
                    <w:rPr>
                      <w:rFonts w:cs="Miriam" w:hint="cs"/>
                      <w:szCs w:val="18"/>
                      <w:rtl/>
                    </w:rPr>
                    <w:t>בחן ההכנסה למתן הענקה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בסימן ג' יתן המוסד הענקה למבקש הענקה כשהכנסתו הממוצעת אינה עולה על סכום הנקוב בלוח ב' לחוק, לפי מספר התלויים, מחולק ב-12; עולה ההכנסה הממוצעת על הסכום המתקבל כאמ</w:t>
      </w:r>
      <w:r>
        <w:rPr>
          <w:rStyle w:val="default"/>
          <w:rFonts w:cs="FrankRuehl"/>
          <w:rtl/>
        </w:rPr>
        <w:t>ו</w:t>
      </w:r>
      <w:r>
        <w:rPr>
          <w:rStyle w:val="default"/>
          <w:rFonts w:cs="FrankRuehl" w:hint="cs"/>
          <w:rtl/>
        </w:rPr>
        <w:t xml:space="preserve">ר </w:t>
      </w:r>
      <w:r w:rsidR="00BB55E0">
        <w:rPr>
          <w:rStyle w:val="default"/>
          <w:rFonts w:cs="FrankRuehl"/>
          <w:rtl/>
        </w:rPr>
        <w:t>–</w:t>
      </w:r>
      <w:r>
        <w:rPr>
          <w:rStyle w:val="default"/>
          <w:rFonts w:cs="FrankRuehl" w:hint="cs"/>
          <w:rtl/>
        </w:rPr>
        <w:t xml:space="preserve"> תשולם הענקה יחסית לפי האמור בתקנה 17.</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שתביעתו לקיצבה נדחתה לפי פרק ב' או פרק ו'2 לחוק, תחול לגביו תקנה זו </w:t>
      </w:r>
      <w:r>
        <w:rPr>
          <w:rStyle w:val="default"/>
          <w:rFonts w:cs="FrankRuehl" w:hint="cs"/>
          <w:rtl/>
        </w:rPr>
        <w:lastRenderedPageBreak/>
        <w:t>בהתקיים אחד מאלה:</w:t>
      </w:r>
    </w:p>
    <w:p w:rsidR="00A16452" w:rsidRDefault="00A164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הושלמה תקופת אכשרה הנדרשת בחוק או קיים פטור לגביה בחוק;</w:t>
      </w:r>
    </w:p>
    <w:p w:rsidR="00A16452" w:rsidRDefault="00A1645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היה פטור מתקופת אכשרה אילו הוראות החוק הקובעות את ה</w:t>
      </w:r>
      <w:r>
        <w:rPr>
          <w:rStyle w:val="default"/>
          <w:rFonts w:cs="FrankRuehl"/>
          <w:rtl/>
        </w:rPr>
        <w:t>פ</w:t>
      </w:r>
      <w:r>
        <w:rPr>
          <w:rStyle w:val="default"/>
          <w:rFonts w:cs="FrankRuehl" w:hint="cs"/>
          <w:rtl/>
        </w:rPr>
        <w:t>טור היו חלות לפני תחולתן.</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"הכנסה ממוצעת", לענין תקנה זו, היא הכנסתו הממוצעת החדשית של מבקש ההענקה במחצית השנה שקדמה לחודש שבו הגיש את הבקשה להענקה כאמור בתקנה 21.</w:t>
      </w:r>
    </w:p>
    <w:p w:rsidR="00A16452" w:rsidRDefault="00A16452">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5.65pt;z-index:251649024"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תקופה שבה קיימות הנסיבות למתן הענקה</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נסיבות למתן הענקה כאמור בתקנה 3 יובאו בחשבו</w:t>
      </w:r>
      <w:r>
        <w:rPr>
          <w:rStyle w:val="default"/>
          <w:rFonts w:cs="FrankRuehl"/>
          <w:rtl/>
        </w:rPr>
        <w:t>ן</w:t>
      </w:r>
      <w:r>
        <w:rPr>
          <w:rStyle w:val="default"/>
          <w:rFonts w:cs="FrankRuehl" w:hint="cs"/>
          <w:rtl/>
        </w:rPr>
        <w:t xml:space="preserve"> לגבי התקופה שבה הן קיימות בלבד; לגבי חובת הרישום לפי סעיף 33 לחוק די אם נתקיימו נסיבות אלה תקופה של שלושה חדשים שקדמו בתכוף ליום שבו אירעה הפגיעה בעבודה.</w:t>
      </w:r>
    </w:p>
    <w:p w:rsidR="00A16452" w:rsidRDefault="00A16452">
      <w:pPr>
        <w:pStyle w:val="header-2"/>
        <w:ind w:left="0" w:right="1134"/>
        <w:rPr>
          <w:rtl/>
        </w:rPr>
      </w:pPr>
      <w:r>
        <w:rPr>
          <w:rtl/>
        </w:rPr>
        <w:t>ס</w:t>
      </w:r>
      <w:r>
        <w:rPr>
          <w:rFonts w:hint="cs"/>
          <w:rtl/>
        </w:rPr>
        <w:t>ימן ג': שיעורי ההענקה</w:t>
      </w:r>
    </w:p>
    <w:p w:rsidR="00A16452" w:rsidRDefault="00A16452">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8.9pt;z-index:251650048"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 xml:space="preserve">יעור ההענקה למי שתביעתו לקיצבה לפי </w:t>
                  </w:r>
                  <w:r>
                    <w:rPr>
                      <w:rFonts w:cs="Miriam"/>
                      <w:szCs w:val="18"/>
                      <w:rtl/>
                    </w:rPr>
                    <w:t>פ</w:t>
                  </w:r>
                  <w:r>
                    <w:rPr>
                      <w:rFonts w:cs="Miriam" w:hint="cs"/>
                      <w:szCs w:val="18"/>
                      <w:rtl/>
                    </w:rPr>
                    <w:t>רק ב' נדחתה</w:t>
                  </w:r>
                </w:p>
              </w:txbxContent>
            </v:textbox>
            <w10:anchorlock/>
          </v:rect>
        </w:pict>
      </w:r>
      <w:r>
        <w:rPr>
          <w:rStyle w:val="big-number"/>
          <w:rFonts w:cs="Miriam"/>
          <w:rtl/>
        </w:rPr>
        <w:t>6.</w:t>
      </w:r>
      <w:r>
        <w:rPr>
          <w:rStyle w:val="big-number"/>
          <w:rFonts w:cs="Miriam"/>
          <w:rtl/>
        </w:rPr>
        <w:tab/>
      </w:r>
      <w:r>
        <w:rPr>
          <w:rStyle w:val="default"/>
          <w:rFonts w:cs="FrankRuehl"/>
          <w:rtl/>
        </w:rPr>
        <w:t>ש</w:t>
      </w:r>
      <w:r>
        <w:rPr>
          <w:rStyle w:val="default"/>
          <w:rFonts w:cs="FrankRuehl" w:hint="cs"/>
          <w:rtl/>
        </w:rPr>
        <w:t>יעור ההענקה שתינתן למבקש הענקה שתביעתו לקיצבה לפי פרק ב' לחוק נדחתה יהיה תשלום חדשי השווה לשיעור כפי שנקבע בסעיף 11 או בסעיף 21 לחוק, לפי הענין.</w:t>
      </w:r>
    </w:p>
    <w:p w:rsidR="00A16452" w:rsidRDefault="00A16452">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30pt;z-index:251651072"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יעור ההענקה למי שתביעתו למענק אלמנה נדחתה</w:t>
                  </w:r>
                </w:p>
              </w:txbxContent>
            </v:textbox>
            <w10:anchorlock/>
          </v:rect>
        </w:pict>
      </w:r>
      <w:r>
        <w:rPr>
          <w:rStyle w:val="big-number"/>
          <w:rFonts w:cs="Miriam"/>
          <w:rtl/>
        </w:rPr>
        <w:t>7.</w:t>
      </w:r>
      <w:r>
        <w:rPr>
          <w:rStyle w:val="big-number"/>
          <w:rFonts w:cs="Miriam"/>
          <w:rtl/>
        </w:rPr>
        <w:tab/>
      </w:r>
      <w:r>
        <w:rPr>
          <w:rStyle w:val="default"/>
          <w:rFonts w:cs="FrankRuehl"/>
          <w:rtl/>
        </w:rPr>
        <w:t>ש</w:t>
      </w:r>
      <w:r>
        <w:rPr>
          <w:rStyle w:val="default"/>
          <w:rFonts w:cs="FrankRuehl" w:hint="cs"/>
          <w:rtl/>
        </w:rPr>
        <w:t xml:space="preserve">יעור ההענקה שתינתן למבקש הענקה שתביעתו למענק אלמנה לפי </w:t>
      </w:r>
      <w:r>
        <w:rPr>
          <w:rStyle w:val="default"/>
          <w:rFonts w:cs="FrankRuehl"/>
          <w:rtl/>
        </w:rPr>
        <w:t>ס</w:t>
      </w:r>
      <w:r>
        <w:rPr>
          <w:rStyle w:val="default"/>
          <w:rFonts w:cs="FrankRuehl" w:hint="cs"/>
          <w:rtl/>
        </w:rPr>
        <w:t>עיף 23 לחוק נדחתה ומתקיימות בו הנסיבות האמורות בתקנה 3 יהיה כמענק אלמנה שהיה משתלם אילו היתה זכאית לכך לפי סעיף 23 לחוק.</w:t>
      </w:r>
    </w:p>
    <w:p w:rsidR="00A16452" w:rsidRDefault="00A16452">
      <w:pPr>
        <w:pStyle w:val="P00"/>
        <w:spacing w:before="72"/>
        <w:ind w:left="0" w:right="1134"/>
        <w:rPr>
          <w:rStyle w:val="default"/>
          <w:rFonts w:cs="FrankRuehl" w:hint="cs"/>
          <w:rtl/>
        </w:rPr>
      </w:pPr>
      <w:bookmarkStart w:id="7" w:name="Seif7"/>
      <w:bookmarkEnd w:id="7"/>
      <w:r>
        <w:rPr>
          <w:lang w:val="he-IL"/>
        </w:rPr>
        <w:pict>
          <v:rect id="_x0000_s1033" style="position:absolute;left:0;text-align:left;margin-left:464.5pt;margin-top:8.05pt;width:75.05pt;height:30pt;z-index:251652096"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יעור ההענקה למי שתביעתו לדמי פגיעה נדחתה</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ההענקה שתינתן למבקש הענקה שתביעתו לדמי פגי</w:t>
      </w:r>
      <w:r w:rsidR="00BB55E0">
        <w:rPr>
          <w:rStyle w:val="default"/>
          <w:rFonts w:cs="FrankRuehl" w:hint="cs"/>
          <w:rtl/>
        </w:rPr>
        <w:t xml:space="preserve">עה לפי פרק ג' לחוק נדחתה יהיה </w:t>
      </w:r>
      <w:r w:rsidR="00BB55E0">
        <w:rPr>
          <w:rStyle w:val="default"/>
          <w:rFonts w:cs="FrankRuehl"/>
          <w:rtl/>
        </w:rPr>
        <w:t>–</w:t>
      </w:r>
    </w:p>
    <w:p w:rsidR="00A16452" w:rsidRDefault="00A164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כשמתקיימות הנסיבות האמורות בתקנה 3 </w:t>
      </w:r>
      <w:r w:rsidR="00BB55E0">
        <w:rPr>
          <w:rStyle w:val="default"/>
          <w:rFonts w:cs="FrankRuehl"/>
          <w:rtl/>
        </w:rPr>
        <w:t>–</w:t>
      </w:r>
      <w:r>
        <w:rPr>
          <w:rStyle w:val="default"/>
          <w:rFonts w:cs="FrankRuehl" w:hint="cs"/>
          <w:rtl/>
        </w:rPr>
        <w:t xml:space="preserve"> כדמי הפגיעה שהיו משתלמים אילו היה זכאי לכך לפי פרק ג' לחוק;</w:t>
      </w:r>
    </w:p>
    <w:p w:rsidR="00A16452" w:rsidRDefault="00A1645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כשמתקיימות הנסיבות האמורות בתקנה 4 ותקופת</w:t>
      </w:r>
      <w:r>
        <w:rPr>
          <w:rStyle w:val="default"/>
          <w:rFonts w:cs="FrankRuehl"/>
          <w:rtl/>
        </w:rPr>
        <w:t xml:space="preserve"> </w:t>
      </w:r>
      <w:r>
        <w:rPr>
          <w:rStyle w:val="default"/>
          <w:rFonts w:cs="FrankRuehl" w:hint="cs"/>
          <w:rtl/>
        </w:rPr>
        <w:t xml:space="preserve">ההיעדרות מהעבודה או ממשלח יד עקב הפגיעה בעבודה היא חודש ימים לפחות </w:t>
      </w:r>
      <w:r w:rsidR="00BB55E0">
        <w:rPr>
          <w:rStyle w:val="default"/>
          <w:rFonts w:cs="FrankRuehl"/>
          <w:rtl/>
        </w:rPr>
        <w:t>–</w:t>
      </w:r>
      <w:r>
        <w:rPr>
          <w:rStyle w:val="default"/>
          <w:rFonts w:cs="FrankRuehl" w:hint="cs"/>
          <w:rtl/>
        </w:rPr>
        <w:t xml:space="preserve"> כפי שנקבע בסעיף 11 לחוק, לפי מספר התלוי</w:t>
      </w:r>
      <w:r>
        <w:rPr>
          <w:rStyle w:val="default"/>
          <w:rFonts w:cs="FrankRuehl"/>
          <w:rtl/>
        </w:rPr>
        <w:t>י</w:t>
      </w:r>
      <w:r>
        <w:rPr>
          <w:rStyle w:val="default"/>
          <w:rFonts w:cs="FrankRuehl" w:hint="cs"/>
          <w:rtl/>
        </w:rPr>
        <w:t>ם, מחולק בשלושים וכפול במספר הימים שבעדם מבקש ההענקה היה זכאי לדמי פגיעה;</w:t>
      </w:r>
    </w:p>
    <w:p w:rsidR="00A16452" w:rsidRDefault="00A16452" w:rsidP="00BB55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ההענקה לפי תקנת משנה (א) תשולם החל מהיום הראשון שממנו היו מגיעים דמי-פגיעה לפי החוק.</w:t>
      </w:r>
    </w:p>
    <w:p w:rsidR="00A16452" w:rsidRDefault="00A16452">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31.95pt;z-index:251653120"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יעור ההענקה למי שתביעתו</w:t>
                  </w:r>
                  <w:r>
                    <w:rPr>
                      <w:rFonts w:cs="Miriam"/>
                      <w:szCs w:val="18"/>
                      <w:rtl/>
                    </w:rPr>
                    <w:t xml:space="preserve"> </w:t>
                  </w:r>
                  <w:r>
                    <w:rPr>
                      <w:rFonts w:cs="Miriam" w:hint="cs"/>
                      <w:szCs w:val="18"/>
                      <w:rtl/>
                    </w:rPr>
                    <w:t xml:space="preserve">לקיצבה לפי </w:t>
                  </w:r>
                  <w:r>
                    <w:rPr>
                      <w:rFonts w:cs="Miriam"/>
                      <w:szCs w:val="18"/>
                      <w:rtl/>
                    </w:rPr>
                    <w:t>פ</w:t>
                  </w:r>
                  <w:r>
                    <w:rPr>
                      <w:rFonts w:cs="Miriam" w:hint="cs"/>
                      <w:szCs w:val="18"/>
                      <w:rtl/>
                    </w:rPr>
                    <w:t>רק ג' נדחתה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ההענקה שתינתן למבקש הענק</w:t>
      </w:r>
      <w:r>
        <w:rPr>
          <w:rStyle w:val="default"/>
          <w:rFonts w:cs="FrankRuehl"/>
          <w:rtl/>
        </w:rPr>
        <w:t>ה</w:t>
      </w:r>
      <w:r>
        <w:rPr>
          <w:rStyle w:val="default"/>
          <w:rFonts w:cs="FrankRuehl" w:hint="cs"/>
          <w:rtl/>
        </w:rPr>
        <w:t xml:space="preserve"> שתביעתו לקיצ</w:t>
      </w:r>
      <w:r w:rsidR="00BB55E0">
        <w:rPr>
          <w:rStyle w:val="default"/>
          <w:rFonts w:cs="FrankRuehl" w:hint="cs"/>
          <w:rtl/>
        </w:rPr>
        <w:t xml:space="preserve">בה לפי פרק ג' לחוק נדחתה יהיה </w:t>
      </w:r>
      <w:r w:rsidR="00BB55E0">
        <w:rPr>
          <w:rStyle w:val="default"/>
          <w:rFonts w:cs="FrankRuehl"/>
          <w:rtl/>
        </w:rPr>
        <w:t>–</w:t>
      </w:r>
    </w:p>
    <w:p w:rsidR="00A16452" w:rsidRDefault="00A1645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כשמתקיימות הנסיבות האמורות בתקנה 3 </w:t>
      </w:r>
      <w:r w:rsidR="00BB55E0">
        <w:rPr>
          <w:rStyle w:val="default"/>
          <w:rFonts w:cs="FrankRuehl"/>
          <w:rtl/>
        </w:rPr>
        <w:t>–</w:t>
      </w:r>
      <w:r>
        <w:rPr>
          <w:rStyle w:val="default"/>
          <w:rFonts w:cs="FrankRuehl" w:hint="cs"/>
          <w:rtl/>
        </w:rPr>
        <w:t xml:space="preserve"> תשלום חדשי השווה לשיעור הקיצבה שהיתה משתלמת אילו היה זכאי על פי פרק ג' לחוק;</w:t>
      </w:r>
    </w:p>
    <w:p w:rsidR="00A16452" w:rsidRDefault="00A1645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כשמתקיימות הנסיבות האמורות בתקנה 4 </w:t>
      </w:r>
      <w:r w:rsidR="00BB55E0">
        <w:rPr>
          <w:rStyle w:val="default"/>
          <w:rFonts w:cs="FrankRuehl"/>
          <w:rtl/>
        </w:rPr>
        <w:t>–</w:t>
      </w:r>
      <w:r>
        <w:rPr>
          <w:rStyle w:val="default"/>
          <w:rFonts w:cs="FrankRuehl" w:hint="cs"/>
          <w:rtl/>
        </w:rPr>
        <w:t xml:space="preserve"> תשלום חדשי השווה לשיעור שנקבע בסעיפים 11 או 21 לחו</w:t>
      </w:r>
      <w:r>
        <w:rPr>
          <w:rStyle w:val="default"/>
          <w:rFonts w:cs="FrankRuehl"/>
          <w:rtl/>
        </w:rPr>
        <w:t>ק</w:t>
      </w:r>
      <w:r>
        <w:rPr>
          <w:rStyle w:val="default"/>
          <w:rFonts w:cs="FrankRuehl" w:hint="cs"/>
          <w:rtl/>
        </w:rPr>
        <w:t>, לפי הענין, לפי מספר התלויים או השאירים.</w:t>
      </w:r>
    </w:p>
    <w:p w:rsidR="00A16452" w:rsidRDefault="00A16452" w:rsidP="00BB55E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תלוי לפי סעיף 74(א)(3) או (4) לחוק יראוהו לענין תקנת משנה זו כשאיר לפי סעיף 21 לחוק אם אין בן-זוג או ילד שבעדו היתה משתלמת קיצבה או תוספת קיצבה (להלן בתקנת משנה זו </w:t>
      </w:r>
      <w:r w:rsidR="00BB55E0">
        <w:rPr>
          <w:rStyle w:val="default"/>
          <w:rFonts w:cs="FrankRuehl"/>
          <w:rtl/>
        </w:rPr>
        <w:t>–</w:t>
      </w:r>
      <w:r>
        <w:rPr>
          <w:rStyle w:val="default"/>
          <w:rFonts w:cs="FrankRuehl" w:hint="cs"/>
          <w:rtl/>
        </w:rPr>
        <w:t xml:space="preserve"> הילד), לפי העני</w:t>
      </w:r>
      <w:r>
        <w:rPr>
          <w:rStyle w:val="default"/>
          <w:rFonts w:cs="FrankRuehl"/>
          <w:rtl/>
        </w:rPr>
        <w:t>ן</w:t>
      </w:r>
      <w:r>
        <w:rPr>
          <w:rStyle w:val="default"/>
          <w:rFonts w:cs="FrankRuehl" w:hint="cs"/>
          <w:rtl/>
        </w:rPr>
        <w:t xml:space="preserve">, וינהגו כך: אם ישנו הורה אחד או שני הורים, יראו את ההורה או את המבוגר משני ההורים כאלמן או כאלמנה, לפי הענין, ואת התלויים האחרים אם ישנם </w:t>
      </w:r>
      <w:r w:rsidR="00BB55E0">
        <w:rPr>
          <w:rStyle w:val="default"/>
          <w:rFonts w:cs="FrankRuehl"/>
          <w:rtl/>
        </w:rPr>
        <w:t>–</w:t>
      </w:r>
      <w:r>
        <w:rPr>
          <w:rStyle w:val="default"/>
          <w:rFonts w:cs="FrankRuehl" w:hint="cs"/>
          <w:rtl/>
        </w:rPr>
        <w:t xml:space="preserve"> כילדים, וההענקה תשולם בהתאם לשיעור הקיצבה לפי סעיף 21(א) ו-(א1) לחוק; אם אין הורה </w:t>
      </w:r>
      <w:r w:rsidR="00BB55E0">
        <w:rPr>
          <w:rStyle w:val="default"/>
          <w:rFonts w:cs="FrankRuehl"/>
          <w:rtl/>
        </w:rPr>
        <w:t>–</w:t>
      </w:r>
      <w:r>
        <w:rPr>
          <w:rStyle w:val="default"/>
          <w:rFonts w:cs="FrankRuehl" w:hint="cs"/>
          <w:rtl/>
        </w:rPr>
        <w:t xml:space="preserve"> תשולם לתלויים האחרים הענקה בש</w:t>
      </w:r>
      <w:r>
        <w:rPr>
          <w:rStyle w:val="default"/>
          <w:rFonts w:cs="FrankRuehl"/>
          <w:rtl/>
        </w:rPr>
        <w:t>יע</w:t>
      </w:r>
      <w:r>
        <w:rPr>
          <w:rStyle w:val="default"/>
          <w:rFonts w:cs="FrankRuehl" w:hint="cs"/>
          <w:rtl/>
        </w:rPr>
        <w:t xml:space="preserve">ור הקיצבה לפי סעיף 21(א2)(1) לחוק; לענין זה, "הורה" </w:t>
      </w:r>
      <w:r w:rsidR="00BB55E0">
        <w:rPr>
          <w:rStyle w:val="default"/>
          <w:rFonts w:cs="FrankRuehl"/>
          <w:rtl/>
        </w:rPr>
        <w:t>–</w:t>
      </w:r>
      <w:r>
        <w:rPr>
          <w:rStyle w:val="default"/>
          <w:rFonts w:cs="FrankRuehl" w:hint="cs"/>
          <w:rtl/>
        </w:rPr>
        <w:t xml:space="preserve"> לרבות סב או סבתה.</w:t>
      </w:r>
    </w:p>
    <w:p w:rsidR="00A16452" w:rsidRDefault="00A16452">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8.6pt;z-index:251654144"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 xml:space="preserve">יעור ההענקה למי שתביעתו למענק לפי </w:t>
                  </w:r>
                </w:p>
                <w:p w:rsidR="00A16452" w:rsidRDefault="00A16452">
                  <w:pPr>
                    <w:spacing w:line="160" w:lineRule="exact"/>
                    <w:jc w:val="left"/>
                    <w:rPr>
                      <w:rFonts w:cs="Miriam"/>
                      <w:noProof/>
                      <w:szCs w:val="18"/>
                      <w:rtl/>
                    </w:rPr>
                  </w:pPr>
                  <w:r>
                    <w:rPr>
                      <w:rFonts w:cs="Miriam"/>
                      <w:szCs w:val="18"/>
                      <w:rtl/>
                    </w:rPr>
                    <w:t>פ</w:t>
                  </w:r>
                  <w:r>
                    <w:rPr>
                      <w:rFonts w:cs="Miriam" w:hint="cs"/>
                      <w:szCs w:val="18"/>
                      <w:rtl/>
                    </w:rPr>
                    <w:t>רק ג' נדחתה</w:t>
                  </w:r>
                </w:p>
              </w:txbxContent>
            </v:textbox>
            <w10:anchorlock/>
          </v:rect>
        </w:pict>
      </w:r>
      <w:r>
        <w:rPr>
          <w:rStyle w:val="big-number"/>
          <w:rFonts w:cs="Miriam"/>
          <w:rtl/>
        </w:rPr>
        <w:t>10.</w:t>
      </w:r>
      <w:r>
        <w:rPr>
          <w:rStyle w:val="big-number"/>
          <w:rFonts w:cs="Miriam"/>
          <w:rtl/>
        </w:rPr>
        <w:tab/>
      </w:r>
      <w:r>
        <w:rPr>
          <w:rStyle w:val="default"/>
          <w:rFonts w:cs="FrankRuehl"/>
          <w:rtl/>
        </w:rPr>
        <w:t>ש</w:t>
      </w:r>
      <w:r>
        <w:rPr>
          <w:rStyle w:val="default"/>
          <w:rFonts w:cs="FrankRuehl" w:hint="cs"/>
          <w:rtl/>
        </w:rPr>
        <w:t>יעור ההענקה שתינתן למבקש הענקה שתביעתו למענק לפי סעיף 66 או לפי סעיף 77 לחוק נדחתה ומתקיימות בו הנסיבות האמורות בתקנה 3 יהיה כ</w:t>
      </w:r>
      <w:r>
        <w:rPr>
          <w:rStyle w:val="default"/>
          <w:rFonts w:cs="FrankRuehl"/>
          <w:rtl/>
        </w:rPr>
        <w:t>מ</w:t>
      </w:r>
      <w:r>
        <w:rPr>
          <w:rStyle w:val="default"/>
          <w:rFonts w:cs="FrankRuehl" w:hint="cs"/>
          <w:rtl/>
        </w:rPr>
        <w:t>ענק שהיה משתלם אילו היה זכאי לפי הסעיפים האמורים.</w:t>
      </w:r>
    </w:p>
    <w:p w:rsidR="00A16452" w:rsidRDefault="00A16452">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30pt;z-index:251655168"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יעור ההענקה למי שתביעתו למענק לידה נדחתה</w:t>
                  </w:r>
                </w:p>
              </w:txbxContent>
            </v:textbox>
            <w10:anchorlock/>
          </v:rect>
        </w:pict>
      </w:r>
      <w:r>
        <w:rPr>
          <w:rStyle w:val="big-number"/>
          <w:rFonts w:cs="Miriam"/>
          <w:rtl/>
        </w:rPr>
        <w:t>11.</w:t>
      </w:r>
      <w:r>
        <w:rPr>
          <w:rStyle w:val="big-number"/>
          <w:rFonts w:cs="Miriam"/>
          <w:rtl/>
        </w:rPr>
        <w:tab/>
      </w:r>
      <w:r>
        <w:rPr>
          <w:rStyle w:val="default"/>
          <w:rFonts w:cs="FrankRuehl"/>
          <w:rtl/>
        </w:rPr>
        <w:t>ש</w:t>
      </w:r>
      <w:r>
        <w:rPr>
          <w:rStyle w:val="default"/>
          <w:rFonts w:cs="FrankRuehl" w:hint="cs"/>
          <w:rtl/>
        </w:rPr>
        <w:t>יעור ההענקה למבקש הענקה שתביעתו למענק לידה נדחתה ומתקיימות הנסיבות האמורות בתקנה 3 יהיה צירוף שני אלה:</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הסכום המיועד לפי החוק לרכישת ציוד לנולד;</w:t>
      </w:r>
    </w:p>
    <w:p w:rsidR="00A16452" w:rsidRDefault="00A16452" w:rsidP="00BB55E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לכיסוי ההוצאות הכרוכות במתן עזרה רפואית מקצועית בשעת הלידה </w:t>
      </w:r>
      <w:r w:rsidR="00BB55E0">
        <w:rPr>
          <w:rStyle w:val="default"/>
          <w:rFonts w:cs="FrankRuehl"/>
          <w:rtl/>
        </w:rPr>
        <w:t>–</w:t>
      </w:r>
      <w:r>
        <w:rPr>
          <w:rStyle w:val="default"/>
          <w:rFonts w:cs="FrankRuehl" w:hint="cs"/>
          <w:rtl/>
        </w:rPr>
        <w:t xml:space="preserve"> שאינו עולה על הסכום הניתן לאשפוז יולדת.</w:t>
      </w:r>
    </w:p>
    <w:p w:rsidR="00A16452" w:rsidRDefault="00A16452">
      <w:pPr>
        <w:pStyle w:val="P00"/>
        <w:spacing w:before="72"/>
        <w:ind w:left="0" w:right="1134"/>
        <w:rPr>
          <w:rStyle w:val="default"/>
          <w:rFonts w:cs="FrankRuehl" w:hint="cs"/>
          <w:rtl/>
        </w:rPr>
      </w:pPr>
      <w:bookmarkStart w:id="11" w:name="Seif11"/>
      <w:bookmarkEnd w:id="11"/>
      <w:r>
        <w:rPr>
          <w:lang w:val="he-IL"/>
        </w:rPr>
        <w:pict>
          <v:rect id="_x0000_s1037" style="position:absolute;left:0;text-align:left;margin-left:464.5pt;margin-top:8.05pt;width:75.05pt;height:47.7pt;z-index:251656192"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 xml:space="preserve">יעור הענקה </w:t>
                  </w:r>
                  <w:r>
                    <w:rPr>
                      <w:rFonts w:cs="Miriam"/>
                      <w:szCs w:val="18"/>
                      <w:rtl/>
                    </w:rPr>
                    <w:t>ל</w:t>
                  </w:r>
                  <w:r>
                    <w:rPr>
                      <w:rFonts w:cs="Miriam" w:hint="cs"/>
                      <w:szCs w:val="18"/>
                      <w:rtl/>
                    </w:rPr>
                    <w:t>מי שתביעתו לגימלה לשמירת הריון או לדמי לידה נדחתה</w:t>
                  </w:r>
                </w:p>
                <w:p w:rsidR="00A16452" w:rsidRDefault="00A16452">
                  <w:pPr>
                    <w:spacing w:line="160" w:lineRule="exact"/>
                    <w:jc w:val="left"/>
                    <w:rPr>
                      <w:rFonts w:cs="Miriam"/>
                      <w:noProof/>
                      <w:szCs w:val="18"/>
                      <w:rtl/>
                    </w:rPr>
                  </w:pPr>
                  <w:r>
                    <w:rPr>
                      <w:rFonts w:cs="Miriam"/>
                      <w:szCs w:val="18"/>
                      <w:rtl/>
                    </w:rPr>
                    <w:t>ת</w:t>
                  </w:r>
                  <w:r>
                    <w:rPr>
                      <w:rFonts w:cs="Miriam" w:hint="cs"/>
                      <w:szCs w:val="18"/>
                      <w:rtl/>
                    </w:rPr>
                    <w:t>ק' תשנ"ז-1996</w:t>
                  </w:r>
                </w:p>
              </w:txbxContent>
            </v:textbox>
            <w10:anchorlock/>
          </v:rect>
        </w:pict>
      </w:r>
      <w:r>
        <w:rPr>
          <w:rStyle w:val="big-number"/>
          <w:rFonts w:cs="Miriam"/>
          <w:rtl/>
        </w:rPr>
        <w:t>12.</w:t>
      </w:r>
      <w:r>
        <w:rPr>
          <w:rStyle w:val="big-number"/>
          <w:rFonts w:cs="Miriam"/>
          <w:rtl/>
        </w:rPr>
        <w:tab/>
      </w:r>
      <w:r>
        <w:rPr>
          <w:rStyle w:val="default"/>
          <w:rFonts w:cs="FrankRuehl"/>
          <w:rtl/>
        </w:rPr>
        <w:t>ש</w:t>
      </w:r>
      <w:r>
        <w:rPr>
          <w:rStyle w:val="default"/>
          <w:rFonts w:cs="FrankRuehl" w:hint="cs"/>
          <w:rtl/>
        </w:rPr>
        <w:t>יעור ההענקה למבקשת הענקה שתביעתה לגימלה לשמירת הריון או לדמי לידה</w:t>
      </w:r>
      <w:r>
        <w:rPr>
          <w:rStyle w:val="default"/>
          <w:rFonts w:cs="FrankRuehl"/>
          <w:rtl/>
        </w:rPr>
        <w:t xml:space="preserve"> </w:t>
      </w:r>
      <w:r>
        <w:rPr>
          <w:rStyle w:val="default"/>
          <w:rFonts w:cs="FrankRuehl" w:hint="cs"/>
          <w:rtl/>
        </w:rPr>
        <w:t>נדחתה ומתקיימות הנסיבות האמורות בתקנה 3, יהיה כשיעור הגימלה לשמירת הריון או כשיעור דמי הלידה שהיו משתלמים למבקשת ההענקה אילו היתה זכאית לדמי לידה או לגימלה לשמירת הריון, לפי הענין.</w:t>
      </w:r>
    </w:p>
    <w:p w:rsidR="00A16452" w:rsidRDefault="00A16452">
      <w:pPr>
        <w:pStyle w:val="P00"/>
        <w:spacing w:before="0"/>
        <w:ind w:left="0" w:right="1134"/>
        <w:rPr>
          <w:rFonts w:hint="cs"/>
          <w:b/>
          <w:bCs/>
          <w:vanish/>
          <w:szCs w:val="20"/>
          <w:shd w:val="clear" w:color="auto" w:fill="FFFF99"/>
          <w:rtl/>
        </w:rPr>
      </w:pPr>
      <w:bookmarkStart w:id="12" w:name="Rov29"/>
      <w:r>
        <w:rPr>
          <w:rFonts w:hint="cs"/>
          <w:vanish/>
          <w:color w:val="FF0000"/>
          <w:szCs w:val="20"/>
          <w:shd w:val="clear" w:color="auto" w:fill="FFFF99"/>
          <w:rtl/>
        </w:rPr>
        <w:t>מיום 1.1.1997</w:t>
      </w:r>
    </w:p>
    <w:p w:rsidR="00A16452" w:rsidRDefault="00A16452">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תשנ"ז-1996</w:t>
      </w:r>
    </w:p>
    <w:p w:rsidR="00A16452" w:rsidRDefault="00A16452">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תשנ"ז מס' 5801</w:t>
        </w:r>
      </w:hyperlink>
      <w:r>
        <w:rPr>
          <w:rFonts w:hint="cs"/>
          <w:vanish/>
          <w:szCs w:val="20"/>
          <w:shd w:val="clear" w:color="auto" w:fill="FFFF99"/>
          <w:rtl/>
        </w:rPr>
        <w:t xml:space="preserve"> מיום 24.12.1996 עמ' 280</w:t>
      </w:r>
    </w:p>
    <w:p w:rsidR="00A16452" w:rsidRDefault="00A16452">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12</w:t>
      </w:r>
    </w:p>
    <w:p w:rsidR="00A16452" w:rsidRDefault="00A16452">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A16452" w:rsidRDefault="00A16452">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שיעור ההענקה למי שתביעתו לדמי לידה נדחתה</w:t>
      </w:r>
    </w:p>
    <w:p w:rsidR="00A16452" w:rsidRDefault="00A16452">
      <w:pPr>
        <w:pStyle w:val="P00"/>
        <w:tabs>
          <w:tab w:val="clear" w:pos="6259"/>
        </w:tabs>
        <w:spacing w:before="0"/>
        <w:ind w:left="0" w:right="1134"/>
        <w:rPr>
          <w:rFonts w:hint="cs"/>
          <w:strike/>
          <w:sz w:val="2"/>
          <w:szCs w:val="2"/>
          <w:rtl/>
        </w:rPr>
      </w:pPr>
      <w:r>
        <w:rPr>
          <w:rFonts w:hint="cs"/>
          <w:strike/>
          <w:vanish/>
          <w:sz w:val="22"/>
          <w:szCs w:val="22"/>
          <w:shd w:val="clear" w:color="auto" w:fill="FFFF99"/>
          <w:rtl/>
        </w:rPr>
        <w:t>12.</w:t>
      </w:r>
      <w:r>
        <w:rPr>
          <w:rFonts w:hint="cs"/>
          <w:strike/>
          <w:vanish/>
          <w:sz w:val="22"/>
          <w:szCs w:val="22"/>
          <w:shd w:val="clear" w:color="auto" w:fill="FFFF99"/>
          <w:rtl/>
        </w:rPr>
        <w:tab/>
        <w:t>שיעור ההענקה למבקש הענקה שתביעתו לדמי לידה נדחתה ומתקיימות הנסיבות האמורות בתקנה 3 יהיה כדמי הלידה שהיו משתלמים למבקשת ההענקה אילו היתה זכאית לפי פרק ד' לחוק.</w:t>
      </w:r>
      <w:bookmarkEnd w:id="12"/>
    </w:p>
    <w:p w:rsidR="00A16452" w:rsidRDefault="00A16452">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27.8pt;z-index:251657216"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ש</w:t>
                  </w:r>
                  <w:r>
                    <w:rPr>
                      <w:rFonts w:cs="Miriam" w:hint="cs"/>
                      <w:szCs w:val="18"/>
                      <w:rtl/>
                    </w:rPr>
                    <w:t xml:space="preserve">יעור ההענקה למי שתביעתו לקיצבה לפי </w:t>
                  </w:r>
                  <w:r>
                    <w:rPr>
                      <w:rFonts w:cs="Miriam"/>
                      <w:szCs w:val="18"/>
                      <w:rtl/>
                    </w:rPr>
                    <w:t>פ</w:t>
                  </w:r>
                  <w:r>
                    <w:rPr>
                      <w:rFonts w:cs="Miriam" w:hint="cs"/>
                      <w:szCs w:val="18"/>
                      <w:rtl/>
                    </w:rPr>
                    <w:t>רק ו'2 נדחתה</w:t>
                  </w:r>
                </w:p>
              </w:txbxContent>
            </v:textbox>
            <w10:anchorlock/>
          </v:rect>
        </w:pict>
      </w:r>
      <w:r>
        <w:rPr>
          <w:rStyle w:val="big-number"/>
          <w:rFonts w:cs="Miriam"/>
          <w:rtl/>
        </w:rPr>
        <w:t>13.</w:t>
      </w:r>
      <w:r>
        <w:rPr>
          <w:rStyle w:val="big-number"/>
          <w:rFonts w:cs="Miriam"/>
          <w:rtl/>
        </w:rPr>
        <w:tab/>
      </w:r>
      <w:r>
        <w:rPr>
          <w:rStyle w:val="default"/>
          <w:rFonts w:cs="FrankRuehl"/>
          <w:rtl/>
        </w:rPr>
        <w:t>ש</w:t>
      </w:r>
      <w:r>
        <w:rPr>
          <w:rStyle w:val="default"/>
          <w:rFonts w:cs="FrankRuehl" w:hint="cs"/>
          <w:rtl/>
        </w:rPr>
        <w:t>יעור ההענקה למב</w:t>
      </w:r>
      <w:r>
        <w:rPr>
          <w:rStyle w:val="default"/>
          <w:rFonts w:cs="FrankRuehl"/>
          <w:rtl/>
        </w:rPr>
        <w:t>ק</w:t>
      </w:r>
      <w:r>
        <w:rPr>
          <w:rStyle w:val="default"/>
          <w:rFonts w:cs="FrankRuehl" w:hint="cs"/>
          <w:rtl/>
        </w:rPr>
        <w:t>ש הענקה שתביעתו לקיצבה לפי פרק ו'2 לחוק נדחתה יהיה כתשלום חדשי השווה לשיעור הקיצבה כאמור בסעיפים 127לו עד 127לט לחוק, לפי הענין.</w:t>
      </w:r>
    </w:p>
    <w:p w:rsidR="00A16452" w:rsidRDefault="00A16452">
      <w:pPr>
        <w:pStyle w:val="P00"/>
        <w:spacing w:before="72"/>
        <w:ind w:left="0" w:right="1134"/>
        <w:rPr>
          <w:rStyle w:val="default"/>
          <w:rFonts w:cs="FrankRuehl"/>
          <w:rtl/>
        </w:rPr>
      </w:pPr>
      <w:bookmarkStart w:id="14" w:name="Seif13"/>
      <w:bookmarkEnd w:id="14"/>
      <w:r>
        <w:rPr>
          <w:lang w:val="he-IL"/>
        </w:rPr>
        <w:pict>
          <v:rect id="_x0000_s1039" style="position:absolute;left:0;text-align:left;margin-left:464.5pt;margin-top:8.05pt;width:75.05pt;height:20pt;z-index:251658240"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ענ</w:t>
                  </w:r>
                  <w:r>
                    <w:rPr>
                      <w:rFonts w:cs="Miriam"/>
                      <w:szCs w:val="18"/>
                      <w:rtl/>
                    </w:rPr>
                    <w:t>ק</w:t>
                  </w:r>
                  <w:r>
                    <w:rPr>
                      <w:rFonts w:cs="Miriam" w:hint="cs"/>
                      <w:szCs w:val="18"/>
                      <w:rtl/>
                    </w:rPr>
                    <w:t>ה למי שנדחתה תביעתו חלקית</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 xml:space="preserve">הענקה למבקש הענקה שתביעתו לגימלה נדחתה חלקית על-פי סעיף 181 לחוק תהיה בסכום ההפרש שבין </w:t>
      </w:r>
      <w:r>
        <w:rPr>
          <w:rStyle w:val="default"/>
          <w:rFonts w:cs="FrankRuehl"/>
          <w:rtl/>
        </w:rPr>
        <w:t>ה</w:t>
      </w:r>
      <w:r>
        <w:rPr>
          <w:rStyle w:val="default"/>
          <w:rFonts w:cs="FrankRuehl" w:hint="cs"/>
          <w:rtl/>
        </w:rPr>
        <w:t>הענקה לפי תקנות 6 עד 13, לפי הענין, לבין הגימלה החלקית המשתלמת לו.</w:t>
      </w:r>
    </w:p>
    <w:p w:rsidR="00A16452" w:rsidRDefault="00A16452">
      <w:pPr>
        <w:pStyle w:val="P00"/>
        <w:spacing w:before="72"/>
        <w:ind w:left="0" w:right="1134"/>
        <w:rPr>
          <w:rStyle w:val="default"/>
          <w:rFonts w:cs="FrankRuehl" w:hint="cs"/>
          <w:rtl/>
        </w:rPr>
      </w:pPr>
      <w:bookmarkStart w:id="15" w:name="Seif14"/>
      <w:bookmarkEnd w:id="15"/>
      <w:r>
        <w:rPr>
          <w:lang w:val="he-IL"/>
        </w:rPr>
        <w:pict>
          <v:rect id="_x0000_s1040" style="position:absolute;left:0;text-align:left;margin-left:464.5pt;margin-top:8.05pt;width:75.05pt;height:16.15pt;z-index:251659264"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גבלה</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הענקה לא תעלה על הגימלה שהיתה משתלמת אילולא נדחתה התביעה במסגרת ענפי הביטוח כאמור בסעיף 198א לחוק.</w:t>
      </w:r>
    </w:p>
    <w:p w:rsidR="00A16452" w:rsidRDefault="00A16452">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20pt;z-index:251660288"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גדלת סכומי ההענקה</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וגדלו סכומי הגימלאות לפי סעיף 11(ג) לחוק, תגדל ההענקה החדשית באותו שיעור.</w:t>
      </w:r>
    </w:p>
    <w:p w:rsidR="00A16452" w:rsidRDefault="00A16452">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64.5pt;margin-top:8.05pt;width:75.05pt;height:10pt;z-index:251661312"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ענקה יחסית</w:t>
                  </w:r>
                </w:p>
              </w:txbxContent>
            </v:textbox>
            <w10:anchorlock/>
          </v:rect>
        </w:pict>
      </w:r>
      <w:r>
        <w:rPr>
          <w:rStyle w:val="big-number"/>
          <w:rFonts w:cs="Miriam"/>
          <w:rtl/>
        </w:rPr>
        <w:t>17.</w:t>
      </w:r>
      <w:r>
        <w:rPr>
          <w:rStyle w:val="big-number"/>
          <w:rFonts w:cs="Miriam"/>
          <w:rtl/>
        </w:rPr>
        <w:tab/>
      </w:r>
      <w:r>
        <w:rPr>
          <w:rStyle w:val="default"/>
          <w:rFonts w:cs="FrankRuehl"/>
          <w:rtl/>
        </w:rPr>
        <w:t>ל</w:t>
      </w:r>
      <w:r>
        <w:rPr>
          <w:rStyle w:val="default"/>
          <w:rFonts w:cs="FrankRuehl" w:hint="cs"/>
          <w:rtl/>
        </w:rPr>
        <w:t>מבקש הענקה לפי תקנה 4 שהכנסתו הממוצעת עול</w:t>
      </w:r>
      <w:r>
        <w:rPr>
          <w:rStyle w:val="default"/>
          <w:rFonts w:cs="FrankRuehl"/>
          <w:rtl/>
        </w:rPr>
        <w:t>ה</w:t>
      </w:r>
      <w:r>
        <w:rPr>
          <w:rStyle w:val="default"/>
          <w:rFonts w:cs="FrankRuehl" w:hint="cs"/>
          <w:rtl/>
        </w:rPr>
        <w:t xml:space="preserve"> על הסכום הנקוב בלוח ב' לחוק, לפי הענין, תשולם ההענקה בניכוי הסכום העולה כאמור ובלבד שסכום ההענקה שנותר לאחר הניכוי עולה על 10% ממנה.</w:t>
      </w:r>
    </w:p>
    <w:p w:rsidR="00A16452" w:rsidRDefault="00A16452">
      <w:pPr>
        <w:pStyle w:val="header-2"/>
        <w:ind w:left="0" w:right="1134"/>
        <w:rPr>
          <w:rtl/>
        </w:rPr>
      </w:pPr>
      <w:r>
        <w:rPr>
          <w:rtl/>
        </w:rPr>
        <w:t>ס</w:t>
      </w:r>
      <w:r>
        <w:rPr>
          <w:rFonts w:hint="cs"/>
          <w:rtl/>
        </w:rPr>
        <w:t>ימן ד': שונות</w:t>
      </w:r>
    </w:p>
    <w:p w:rsidR="00A16452" w:rsidRDefault="00A16452">
      <w:pPr>
        <w:pStyle w:val="P00"/>
        <w:spacing w:before="72"/>
        <w:ind w:left="0" w:right="1134"/>
        <w:rPr>
          <w:rStyle w:val="default"/>
          <w:rFonts w:cs="FrankRuehl"/>
          <w:rtl/>
        </w:rPr>
      </w:pPr>
      <w:bookmarkStart w:id="18" w:name="Seif17"/>
      <w:bookmarkEnd w:id="18"/>
      <w:r>
        <w:rPr>
          <w:lang w:val="he-IL"/>
        </w:rPr>
        <w:pict>
          <v:rect id="_x0000_s1043" style="position:absolute;left:0;text-align:left;margin-left:464.5pt;margin-top:8.05pt;width:75.05pt;height:10pt;z-index:251662336"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ענקה נוספת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ושרה בקשה להענקה, יינתנו לזכאי גם כל הגימלאות בעין שהיה זכאי להן אילו לא נדחתה תביעתו.</w:t>
      </w:r>
    </w:p>
    <w:p w:rsidR="00A16452" w:rsidRDefault="00A16452">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64.5pt;margin-top:8.05pt;width:75.05pt;height:20pt;z-index:251663360"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מ</w:t>
                  </w:r>
                  <w:r>
                    <w:rPr>
                      <w:rFonts w:cs="Miriam" w:hint="cs"/>
                      <w:szCs w:val="18"/>
                      <w:rtl/>
                    </w:rPr>
                    <w:t xml:space="preserve">ניעת </w:t>
                  </w:r>
                  <w:r>
                    <w:rPr>
                      <w:rFonts w:cs="Miriam"/>
                      <w:szCs w:val="18"/>
                      <w:rtl/>
                    </w:rPr>
                    <w:t>ת</w:t>
                  </w:r>
                  <w:r>
                    <w:rPr>
                      <w:rFonts w:cs="Miriam" w:hint="cs"/>
                      <w:szCs w:val="18"/>
                      <w:rtl/>
                    </w:rPr>
                    <w:t>שלומי כפל</w:t>
                  </w:r>
                </w:p>
              </w:txbxContent>
            </v:textbox>
            <w10:anchorlock/>
          </v:rect>
        </w:pict>
      </w:r>
      <w:r>
        <w:rPr>
          <w:rStyle w:val="big-number"/>
          <w:rFonts w:cs="Miriam"/>
          <w:rtl/>
        </w:rPr>
        <w:t>19.</w:t>
      </w:r>
      <w:r>
        <w:rPr>
          <w:rStyle w:val="big-number"/>
          <w:rFonts w:cs="Miriam"/>
          <w:rtl/>
        </w:rPr>
        <w:tab/>
      </w:r>
      <w:r>
        <w:rPr>
          <w:rStyle w:val="default"/>
          <w:rFonts w:cs="FrankRuehl"/>
          <w:rtl/>
        </w:rPr>
        <w:t>ב</w:t>
      </w:r>
      <w:r>
        <w:rPr>
          <w:rStyle w:val="default"/>
          <w:rFonts w:cs="FrankRuehl" w:hint="cs"/>
          <w:rtl/>
        </w:rPr>
        <w:t>כפוף לאמור בתקנה 14, לא תשולם הענקה בעד פרק הזמן שמשתלמת בעדו גימלה לפי פרקים ב', ג', ו'1 או ו'2 לחוק או הענקה חדשית מכוח סעיף 198א לחוק או תמיכה חדשית לצרכי מחייתו מאת אוצר המדינה או רשות מקומית, זולת תמיכה כאמור הניתנת כהשלמה ב</w:t>
      </w:r>
      <w:r>
        <w:rPr>
          <w:rStyle w:val="default"/>
          <w:rFonts w:cs="FrankRuehl"/>
          <w:rtl/>
        </w:rPr>
        <w:t>נ</w:t>
      </w:r>
      <w:r>
        <w:rPr>
          <w:rStyle w:val="default"/>
          <w:rFonts w:cs="FrankRuehl" w:hint="cs"/>
          <w:rtl/>
        </w:rPr>
        <w:t>וסף להענקה.</w:t>
      </w:r>
    </w:p>
    <w:p w:rsidR="00A16452" w:rsidRDefault="00A16452">
      <w:pPr>
        <w:pStyle w:val="P00"/>
        <w:spacing w:before="72"/>
        <w:ind w:left="0" w:right="1134"/>
        <w:rPr>
          <w:rStyle w:val="default"/>
          <w:rFonts w:cs="FrankRuehl"/>
          <w:rtl/>
        </w:rPr>
      </w:pPr>
      <w:bookmarkStart w:id="20" w:name="Seif19"/>
      <w:bookmarkEnd w:id="20"/>
      <w:r>
        <w:rPr>
          <w:lang w:val="he-IL"/>
        </w:rPr>
        <w:pict>
          <v:rect id="_x0000_s1045" style="position:absolute;left:0;text-align:left;margin-left:464.5pt;margin-top:8.05pt;width:75.05pt;height:10pt;z-index:251664384"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ב</w:t>
                  </w:r>
                  <w:r>
                    <w:rPr>
                      <w:rFonts w:cs="Miriam" w:hint="cs"/>
                      <w:szCs w:val="18"/>
                      <w:rtl/>
                    </w:rPr>
                    <w:t>דיקה חוזרת</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אושרה הענקה לפי תקנה 4, רשאי מקבל ההענקה לבקש בדיקה חוזרת של הכנסתו הממוצעת על סמך הטענה כי הכנסתו החדשית הממוצעת הופחתה בששת החדשים שקדמו לבקשתו; בקשה לבדיקה חוזרת לא תוגש אלא כתום ששה חדשים מתאריך הגשת הבקשה למתן ההענק</w:t>
      </w:r>
      <w:r>
        <w:rPr>
          <w:rStyle w:val="default"/>
          <w:rFonts w:cs="FrankRuehl"/>
          <w:rtl/>
        </w:rPr>
        <w:t>ה</w:t>
      </w:r>
      <w:r>
        <w:rPr>
          <w:rStyle w:val="default"/>
          <w:rFonts w:cs="FrankRuehl" w:hint="cs"/>
          <w:rtl/>
        </w:rPr>
        <w:t xml:space="preserve"> או בקשה קודמת לבדיקה חוזרת.</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לערוך בדיקה חוזרת בהתחשב בהכנסה החדשית הממוצעת של מקבל ההענקה בתקופה של ששת החדשים שקדמו לחודש שבו נערכה הבדיקה החוזרת.</w:t>
      </w:r>
    </w:p>
    <w:p w:rsidR="00A16452" w:rsidRDefault="00A16452">
      <w:pPr>
        <w:pStyle w:val="P00"/>
        <w:spacing w:before="72"/>
        <w:ind w:left="0" w:right="1134"/>
        <w:rPr>
          <w:rStyle w:val="default"/>
          <w:rFonts w:cs="FrankRuehl"/>
          <w:rtl/>
        </w:rPr>
      </w:pPr>
      <w:bookmarkStart w:id="21" w:name="Seif20"/>
      <w:bookmarkEnd w:id="21"/>
      <w:r>
        <w:rPr>
          <w:lang w:val="he-IL"/>
        </w:rPr>
        <w:pict>
          <v:rect id="_x0000_s1046" style="position:absolute;left:0;text-align:left;margin-left:464.5pt;margin-top:8.05pt;width:75.05pt;height:10pt;z-index:251665408"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מ</w:t>
                  </w:r>
                  <w:r>
                    <w:rPr>
                      <w:rFonts w:cs="Miriam" w:hint="cs"/>
                      <w:szCs w:val="18"/>
                      <w:rtl/>
                    </w:rPr>
                    <w:t>ועד הגשת הבקשה</w:t>
                  </w:r>
                </w:p>
              </w:txbxContent>
            </v:textbox>
            <w10:anchorlock/>
          </v:rect>
        </w:pict>
      </w:r>
      <w:r>
        <w:rPr>
          <w:rStyle w:val="big-number"/>
          <w:rFonts w:cs="Miriam"/>
          <w:rtl/>
        </w:rPr>
        <w:t>21.</w:t>
      </w:r>
      <w:r>
        <w:rPr>
          <w:rStyle w:val="big-number"/>
          <w:rFonts w:cs="Miriam"/>
          <w:rtl/>
        </w:rPr>
        <w:tab/>
      </w:r>
      <w:r>
        <w:rPr>
          <w:rStyle w:val="default"/>
          <w:rFonts w:cs="FrankRuehl"/>
          <w:rtl/>
        </w:rPr>
        <w:t>ה</w:t>
      </w:r>
      <w:r>
        <w:rPr>
          <w:rStyle w:val="default"/>
          <w:rFonts w:cs="FrankRuehl" w:hint="cs"/>
          <w:rtl/>
        </w:rPr>
        <w:t>ענקה תינתן אם הוגש</w:t>
      </w:r>
      <w:r>
        <w:rPr>
          <w:rStyle w:val="default"/>
          <w:rFonts w:cs="FrankRuehl"/>
          <w:rtl/>
        </w:rPr>
        <w:t>ה</w:t>
      </w:r>
      <w:r>
        <w:rPr>
          <w:rStyle w:val="default"/>
          <w:rFonts w:cs="FrankRuehl" w:hint="cs"/>
          <w:rtl/>
        </w:rPr>
        <w:t xml:space="preserve"> בקשה להענקה תוך שנים עשר חדשים מהיום שבו נוצרה עילת התביעה לגימלה או מהיום שבו דחה המוסד את התביעה לגימלה.</w:t>
      </w:r>
    </w:p>
    <w:p w:rsidR="00A16452" w:rsidRDefault="00A16452">
      <w:pPr>
        <w:pStyle w:val="P00"/>
        <w:spacing w:before="72"/>
        <w:ind w:left="0" w:right="1134"/>
        <w:rPr>
          <w:rStyle w:val="default"/>
          <w:rFonts w:cs="FrankRuehl"/>
          <w:rtl/>
        </w:rPr>
      </w:pPr>
      <w:bookmarkStart w:id="22" w:name="Seif21"/>
      <w:bookmarkEnd w:id="22"/>
      <w:r>
        <w:rPr>
          <w:lang w:val="he-IL"/>
        </w:rPr>
        <w:pict>
          <v:rect id="_x0000_s1047" style="position:absolute;left:0;text-align:left;margin-left:464.5pt;margin-top:8.05pt;width:75.05pt;height:10pt;z-index:251666432"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ת</w:t>
                  </w:r>
                  <w:r>
                    <w:rPr>
                      <w:rFonts w:cs="Miriam" w:hint="cs"/>
                      <w:szCs w:val="18"/>
                      <w:rtl/>
                    </w:rPr>
                    <w:t>שלום למפרע</w:t>
                  </w:r>
                </w:p>
              </w:txbxContent>
            </v:textbox>
            <w10:anchorlock/>
          </v:rect>
        </w:pict>
      </w:r>
      <w:r>
        <w:rPr>
          <w:rStyle w:val="big-number"/>
          <w:rFonts w:cs="Miriam"/>
          <w:rtl/>
        </w:rPr>
        <w:t>22.</w:t>
      </w:r>
      <w:r>
        <w:rPr>
          <w:rStyle w:val="big-number"/>
          <w:rFonts w:cs="Miriam"/>
          <w:rtl/>
        </w:rPr>
        <w:tab/>
      </w:r>
      <w:r>
        <w:rPr>
          <w:rStyle w:val="default"/>
          <w:rFonts w:cs="FrankRuehl"/>
          <w:rtl/>
        </w:rPr>
        <w:t>ל</w:t>
      </w:r>
      <w:r>
        <w:rPr>
          <w:rStyle w:val="default"/>
          <w:rFonts w:cs="FrankRuehl" w:hint="cs"/>
          <w:rtl/>
        </w:rPr>
        <w:t>א תשולם הענקה מעבר לתקופה העולה על שנים עשר חדשים מהאחד בחודש שבו הוגשה הבקשה להענקה.</w:t>
      </w:r>
    </w:p>
    <w:p w:rsidR="00A16452" w:rsidRDefault="00A16452">
      <w:pPr>
        <w:pStyle w:val="P00"/>
        <w:spacing w:before="72"/>
        <w:ind w:left="0" w:right="1134"/>
        <w:rPr>
          <w:rStyle w:val="default"/>
          <w:rFonts w:cs="FrankRuehl"/>
          <w:rtl/>
        </w:rPr>
      </w:pPr>
      <w:bookmarkStart w:id="23" w:name="Seif22"/>
      <w:bookmarkEnd w:id="23"/>
      <w:r>
        <w:rPr>
          <w:lang w:val="he-IL"/>
        </w:rPr>
        <w:pict>
          <v:rect id="_x0000_s1048" style="position:absolute;left:0;text-align:left;margin-left:464.5pt;margin-top:8.05pt;width:75.05pt;height:10pt;z-index:251667456"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ליכים</w:t>
                  </w:r>
                </w:p>
              </w:txbxContent>
            </v:textbox>
            <w10:anchorlock/>
          </v:rect>
        </w:pict>
      </w:r>
      <w:r>
        <w:rPr>
          <w:rStyle w:val="big-number"/>
          <w:rFonts w:cs="Miriam"/>
          <w:rtl/>
        </w:rPr>
        <w:t>23.</w:t>
      </w:r>
      <w:r>
        <w:rPr>
          <w:rStyle w:val="big-number"/>
          <w:rFonts w:cs="Miriam"/>
          <w:rtl/>
        </w:rPr>
        <w:tab/>
      </w:r>
      <w:r>
        <w:rPr>
          <w:rStyle w:val="default"/>
          <w:rFonts w:cs="FrankRuehl"/>
          <w:rtl/>
        </w:rPr>
        <w:t>מ</w:t>
      </w:r>
      <w:r>
        <w:rPr>
          <w:rStyle w:val="default"/>
          <w:rFonts w:cs="FrankRuehl" w:hint="cs"/>
          <w:rtl/>
        </w:rPr>
        <w:t>בקש הענקה חייב לעבור כל הה</w:t>
      </w:r>
      <w:r>
        <w:rPr>
          <w:rStyle w:val="default"/>
          <w:rFonts w:cs="FrankRuehl"/>
          <w:rtl/>
        </w:rPr>
        <w:t>ל</w:t>
      </w:r>
      <w:r>
        <w:rPr>
          <w:rStyle w:val="default"/>
          <w:rFonts w:cs="FrankRuehl" w:hint="cs"/>
          <w:rtl/>
        </w:rPr>
        <w:t>יכים הדרושים לפי החוק והתקנות לקביעת דרגת נכות מעבודה או דרגת נכות, לפי הענין.</w:t>
      </w:r>
    </w:p>
    <w:p w:rsidR="00A16452" w:rsidRDefault="00A16452">
      <w:pPr>
        <w:pStyle w:val="P00"/>
        <w:spacing w:before="72"/>
        <w:ind w:left="0" w:right="1134"/>
        <w:rPr>
          <w:rStyle w:val="default"/>
          <w:rFonts w:cs="FrankRuehl"/>
          <w:rtl/>
        </w:rPr>
      </w:pPr>
      <w:bookmarkStart w:id="24" w:name="Seif23"/>
      <w:bookmarkEnd w:id="24"/>
      <w:r>
        <w:rPr>
          <w:lang w:val="he-IL"/>
        </w:rPr>
        <w:pict>
          <v:rect id="_x0000_s1049" style="position:absolute;left:0;text-align:left;margin-left:464.5pt;margin-top:8.05pt;width:75.05pt;height:10pt;z-index:251668480"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סעיפים 17א, 23(ב) ו-(ג), 23א, 26, 26ד, 27, 28, 52, 71, 72, 73, 76, 77(ב), 78, 80, 81, 82, 82ג, 90א, 103, 127כה, 137א, 145, 146 ו-147 לחוק והתקנות שהות</w:t>
      </w:r>
      <w:r>
        <w:rPr>
          <w:rStyle w:val="default"/>
          <w:rFonts w:cs="FrankRuehl"/>
          <w:rtl/>
        </w:rPr>
        <w:t>ק</w:t>
      </w:r>
      <w:r>
        <w:rPr>
          <w:rStyle w:val="default"/>
          <w:rFonts w:cs="FrankRuehl" w:hint="cs"/>
          <w:rtl/>
        </w:rPr>
        <w:t>נו מכוח סעיפי החוק האמורים יחולו על מתן הענקות, בשינויים המחוייבים.</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69 לחוק יחולו לגבי מקבלי הענקה לפי תקנה 3, בשינויים המחוייבים.</w:t>
      </w:r>
    </w:p>
    <w:p w:rsidR="00A16452" w:rsidRDefault="00A1645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נוצרה זכאות להענקה חדשית לפי תקנות אלה לאחר האחד ב</w:t>
      </w:r>
      <w:r>
        <w:rPr>
          <w:rStyle w:val="default"/>
          <w:rFonts w:cs="FrankRuehl"/>
          <w:rtl/>
        </w:rPr>
        <w:t>ח</w:t>
      </w:r>
      <w:r>
        <w:rPr>
          <w:rStyle w:val="default"/>
          <w:rFonts w:cs="FrankRuehl" w:hint="cs"/>
          <w:rtl/>
        </w:rPr>
        <w:t>ודש, תשולם ההענקה החל מאחד באותו חודש.</w:t>
      </w:r>
    </w:p>
    <w:p w:rsidR="00A16452" w:rsidRDefault="00A16452">
      <w:pPr>
        <w:pStyle w:val="P00"/>
        <w:spacing w:before="72"/>
        <w:ind w:left="0" w:right="1134"/>
        <w:rPr>
          <w:rStyle w:val="default"/>
          <w:rFonts w:cs="FrankRuehl"/>
          <w:rtl/>
        </w:rPr>
      </w:pPr>
      <w:bookmarkStart w:id="25" w:name="Seif24"/>
      <w:bookmarkEnd w:id="25"/>
      <w:r>
        <w:rPr>
          <w:lang w:val="he-IL"/>
        </w:rPr>
        <w:pict>
          <v:rect id="_x0000_s1050" style="position:absolute;left:0;text-align:left;margin-left:464.5pt;margin-top:8.05pt;width:75.05pt;height:10pt;z-index:251669504"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כפוף לאמור בתקנה 22 לא תידחה בקשה להענקה מסיבה זו בלבד שהתביעה לגימלה בענפי הביטוח השונים נדחתה כאמור בסעיף 198א לחוק לפני תחילתן של תקנות אלה, ובלבד שהבקשה להענקה הוגשה תוך 12 חדשים מיום הפרסום של</w:t>
      </w:r>
      <w:r>
        <w:rPr>
          <w:rStyle w:val="default"/>
          <w:rFonts w:cs="FrankRuehl"/>
          <w:rtl/>
        </w:rPr>
        <w:t xml:space="preserve"> </w:t>
      </w:r>
      <w:r>
        <w:rPr>
          <w:rStyle w:val="default"/>
          <w:rFonts w:cs="FrankRuehl" w:hint="cs"/>
          <w:rtl/>
        </w:rPr>
        <w:t>תקנות אלה.</w:t>
      </w:r>
    </w:p>
    <w:p w:rsidR="00A16452" w:rsidRDefault="00A16452">
      <w:pPr>
        <w:pStyle w:val="P00"/>
        <w:spacing w:before="72"/>
        <w:ind w:left="0" w:right="1134"/>
        <w:rPr>
          <w:rStyle w:val="default"/>
          <w:rFonts w:cs="FrankRuehl"/>
          <w:rtl/>
        </w:rPr>
      </w:pPr>
      <w:bookmarkStart w:id="26" w:name="Seif25"/>
      <w:bookmarkEnd w:id="26"/>
      <w:r>
        <w:rPr>
          <w:lang w:val="he-IL"/>
        </w:rPr>
        <w:pict>
          <v:rect id="_x0000_s1051" style="position:absolute;left:0;text-align:left;margin-left:464.5pt;margin-top:8.05pt;width:75.05pt;height:10pt;z-index:251670528" o:allowincell="f" filled="f" stroked="f" strokecolor="lime" strokeweight=".25pt">
            <v:textbox inset="0,0,0,0">
              <w:txbxContent>
                <w:p w:rsidR="00A16452" w:rsidRDefault="00A1645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26.</w:t>
      </w:r>
      <w:r>
        <w:rPr>
          <w:rStyle w:val="big-number"/>
          <w:rFonts w:cs="Miriam"/>
          <w:rtl/>
        </w:rPr>
        <w:tab/>
      </w:r>
      <w:r>
        <w:rPr>
          <w:rStyle w:val="default"/>
          <w:rFonts w:cs="FrankRuehl"/>
          <w:rtl/>
        </w:rPr>
        <w:t>ל</w:t>
      </w:r>
      <w:r>
        <w:rPr>
          <w:rStyle w:val="default"/>
          <w:rFonts w:cs="FrankRuehl" w:hint="cs"/>
          <w:rtl/>
        </w:rPr>
        <w:t>תקנות אלה ייקרא "תקנות הביטוח הלאומי (הענקות מטעמי צדק), תשל"ה-1975".</w:t>
      </w:r>
    </w:p>
    <w:p w:rsidR="00A16452" w:rsidRDefault="00A16452">
      <w:pPr>
        <w:pStyle w:val="P00"/>
        <w:spacing w:before="72"/>
        <w:ind w:left="0" w:right="1134"/>
        <w:rPr>
          <w:rStyle w:val="default"/>
          <w:rFonts w:cs="FrankRuehl"/>
          <w:rtl/>
        </w:rPr>
      </w:pPr>
    </w:p>
    <w:p w:rsidR="00A16452" w:rsidRDefault="00A16452">
      <w:pPr>
        <w:pStyle w:val="P00"/>
        <w:spacing w:before="72"/>
        <w:ind w:left="0" w:right="1134"/>
        <w:rPr>
          <w:rStyle w:val="default"/>
          <w:rFonts w:cs="FrankRuehl"/>
          <w:rtl/>
        </w:rPr>
      </w:pPr>
    </w:p>
    <w:p w:rsidR="00A16452" w:rsidRDefault="00A16452" w:rsidP="00BB55E0">
      <w:pPr>
        <w:pStyle w:val="sig-0"/>
        <w:tabs>
          <w:tab w:val="clear" w:pos="4820"/>
          <w:tab w:val="center" w:pos="5670"/>
        </w:tabs>
        <w:spacing w:before="72"/>
        <w:ind w:left="0" w:right="1134"/>
        <w:rPr>
          <w:rtl/>
        </w:rPr>
      </w:pPr>
      <w:r>
        <w:rPr>
          <w:rtl/>
        </w:rPr>
        <w:t>י</w:t>
      </w:r>
      <w:r>
        <w:rPr>
          <w:rFonts w:hint="cs"/>
          <w:rtl/>
        </w:rPr>
        <w:t>"ז באלול תשל"ה (24 באוגוסט 1975)</w:t>
      </w:r>
      <w:r>
        <w:rPr>
          <w:rtl/>
        </w:rPr>
        <w:tab/>
      </w:r>
      <w:r>
        <w:rPr>
          <w:rFonts w:hint="cs"/>
          <w:rtl/>
        </w:rPr>
        <w:t>משה ברעם</w:t>
      </w:r>
    </w:p>
    <w:p w:rsidR="00A16452" w:rsidRDefault="00A16452" w:rsidP="00BB55E0">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rsidR="00A16452" w:rsidRDefault="00A16452">
      <w:pPr>
        <w:pStyle w:val="P00"/>
        <w:spacing w:before="72"/>
        <w:ind w:left="0" w:right="1134"/>
        <w:rPr>
          <w:rStyle w:val="default"/>
          <w:rFonts w:cs="FrankRuehl" w:hint="cs"/>
          <w:rtl/>
        </w:rPr>
      </w:pPr>
    </w:p>
    <w:p w:rsidR="00A16452" w:rsidRDefault="00A16452">
      <w:pPr>
        <w:pStyle w:val="P00"/>
        <w:spacing w:before="72"/>
        <w:ind w:left="0" w:right="1134"/>
        <w:rPr>
          <w:rStyle w:val="default"/>
          <w:rFonts w:cs="FrankRuehl"/>
          <w:rtl/>
        </w:rPr>
      </w:pPr>
    </w:p>
    <w:p w:rsidR="00A16452" w:rsidRDefault="00A16452">
      <w:pPr>
        <w:pStyle w:val="P00"/>
        <w:spacing w:before="72"/>
        <w:ind w:left="0" w:right="1134"/>
        <w:rPr>
          <w:rStyle w:val="default"/>
          <w:rFonts w:cs="FrankRuehl"/>
          <w:rtl/>
        </w:rPr>
      </w:pPr>
      <w:bookmarkStart w:id="27" w:name="LawPartEnd"/>
    </w:p>
    <w:bookmarkEnd w:id="27"/>
    <w:p w:rsidR="00A16452" w:rsidRDefault="00A16452">
      <w:pPr>
        <w:pStyle w:val="P00"/>
        <w:spacing w:before="72"/>
        <w:ind w:left="0" w:right="1134"/>
        <w:rPr>
          <w:rStyle w:val="default"/>
          <w:rFonts w:cs="FrankRuehl"/>
          <w:rtl/>
        </w:rPr>
      </w:pPr>
    </w:p>
    <w:sectPr w:rsidR="00A1645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414" w:rsidRDefault="00556414">
      <w:r>
        <w:separator/>
      </w:r>
    </w:p>
  </w:endnote>
  <w:endnote w:type="continuationSeparator" w:id="0">
    <w:p w:rsidR="00556414" w:rsidRDefault="0055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452" w:rsidRDefault="00A164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16452" w:rsidRDefault="00A164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16452" w:rsidRDefault="00A164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452" w:rsidRDefault="00A164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55E0">
      <w:rPr>
        <w:rFonts w:hAnsi="FrankRuehl" w:cs="FrankRuehl"/>
        <w:noProof/>
        <w:sz w:val="24"/>
        <w:szCs w:val="24"/>
        <w:rtl/>
      </w:rPr>
      <w:t>2</w:t>
    </w:r>
    <w:r>
      <w:rPr>
        <w:rFonts w:hAnsi="FrankRuehl" w:cs="FrankRuehl"/>
        <w:sz w:val="24"/>
        <w:szCs w:val="24"/>
        <w:rtl/>
      </w:rPr>
      <w:fldChar w:fldCharType="end"/>
    </w:r>
  </w:p>
  <w:p w:rsidR="00A16452" w:rsidRDefault="00A164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16452" w:rsidRDefault="00A164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414" w:rsidRDefault="00556414">
      <w:pPr>
        <w:spacing w:before="60" w:line="240" w:lineRule="auto"/>
        <w:ind w:right="1134"/>
      </w:pPr>
      <w:r>
        <w:separator/>
      </w:r>
    </w:p>
  </w:footnote>
  <w:footnote w:type="continuationSeparator" w:id="0">
    <w:p w:rsidR="00556414" w:rsidRDefault="00556414">
      <w:r>
        <w:continuationSeparator/>
      </w:r>
    </w:p>
  </w:footnote>
  <w:footnote w:id="1">
    <w:p w:rsidR="00A16452" w:rsidRDefault="00A164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תשל"ה מ</w:t>
        </w:r>
        <w:r>
          <w:rPr>
            <w:rStyle w:val="Hyperlink"/>
            <w:rFonts w:hint="cs"/>
            <w:sz w:val="20"/>
            <w:rtl/>
          </w:rPr>
          <w:t>ס</w:t>
        </w:r>
        <w:r>
          <w:rPr>
            <w:rStyle w:val="Hyperlink"/>
            <w:rFonts w:hint="cs"/>
            <w:sz w:val="20"/>
            <w:rtl/>
          </w:rPr>
          <w:t>' 3392</w:t>
        </w:r>
      </w:hyperlink>
      <w:r>
        <w:rPr>
          <w:rFonts w:hint="cs"/>
          <w:sz w:val="20"/>
          <w:rtl/>
        </w:rPr>
        <w:t xml:space="preserve"> מיום 4.9.1975 עמ' 2550.</w:t>
      </w:r>
    </w:p>
    <w:p w:rsidR="00A16452" w:rsidRDefault="00A164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תשנ"ז מס' 5801</w:t>
        </w:r>
      </w:hyperlink>
      <w:r>
        <w:rPr>
          <w:rFonts w:hint="cs"/>
          <w:sz w:val="20"/>
          <w:rtl/>
        </w:rPr>
        <w:t xml:space="preserve"> מיום 24.12.1996 עמ' 280 </w:t>
      </w:r>
      <w:r>
        <w:rPr>
          <w:sz w:val="20"/>
          <w:rtl/>
        </w:rPr>
        <w:t>–</w:t>
      </w:r>
      <w:r>
        <w:rPr>
          <w:rFonts w:hint="cs"/>
          <w:sz w:val="20"/>
          <w:rtl/>
        </w:rPr>
        <w:t xml:space="preserve"> תק' תשנ"ז-1996; תחילתן ביום 1.1.1997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452" w:rsidRDefault="00A164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(הענקות מטעמי צדק), תשל"ה- 1975</w:t>
    </w:r>
  </w:p>
  <w:p w:rsidR="00A16452" w:rsidRDefault="00A164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6452" w:rsidRDefault="00A164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452" w:rsidRDefault="00A164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(הענקות מטעמי צדק), תשל"ה-1975</w:t>
    </w:r>
  </w:p>
  <w:p w:rsidR="00A16452" w:rsidRDefault="00A164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6452" w:rsidRDefault="00A164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957"/>
    <w:rsid w:val="0026623C"/>
    <w:rsid w:val="00546715"/>
    <w:rsid w:val="00556414"/>
    <w:rsid w:val="005F0DEB"/>
    <w:rsid w:val="00934C60"/>
    <w:rsid w:val="009F0957"/>
    <w:rsid w:val="00A1108A"/>
    <w:rsid w:val="00A16452"/>
    <w:rsid w:val="00BB55E0"/>
    <w:rsid w:val="00FD47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6E9D56-E215-43F3-92FC-F3CB46CC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80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801.pdf" TargetMode="External"/><Relationship Id="rId1" Type="http://schemas.openxmlformats.org/officeDocument/2006/relationships/hyperlink" Target="http://www.nevo.co.il/Law_word/law06/TAK-33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10797</CharactersWithSpaces>
  <SharedDoc>false</SharedDoc>
  <HLinks>
    <vt:vector size="174" baseType="variant">
      <vt:variant>
        <vt:i4>8126465</vt:i4>
      </vt:variant>
      <vt:variant>
        <vt:i4>156</vt:i4>
      </vt:variant>
      <vt:variant>
        <vt:i4>0</vt:i4>
      </vt:variant>
      <vt:variant>
        <vt:i4>5</vt:i4>
      </vt:variant>
      <vt:variant>
        <vt:lpwstr>http://www.nevo.co.il/Law_word/law06/TAK-5801.pdf</vt:lpwstr>
      </vt:variant>
      <vt:variant>
        <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8126465</vt:i4>
      </vt:variant>
      <vt:variant>
        <vt:i4>3</vt:i4>
      </vt:variant>
      <vt:variant>
        <vt:i4>0</vt:i4>
      </vt:variant>
      <vt:variant>
        <vt:i4>5</vt:i4>
      </vt:variant>
      <vt:variant>
        <vt:lpwstr>http://www.nevo.co.il/Law_word/law06/TAK-5801.pdf</vt:lpwstr>
      </vt:variant>
      <vt:variant>
        <vt:lpwstr/>
      </vt:variant>
      <vt:variant>
        <vt:i4>7536649</vt:i4>
      </vt:variant>
      <vt:variant>
        <vt:i4>0</vt:i4>
      </vt:variant>
      <vt:variant>
        <vt:i4>0</vt:i4>
      </vt:variant>
      <vt:variant>
        <vt:i4>5</vt:i4>
      </vt:variant>
      <vt:variant>
        <vt:lpwstr>http://www.nevo.co.il/Law_word/law06/TAK-3392.pdf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(הענקות מטעמי צדק), תשל"ה-1975</vt:lpwstr>
  </property>
  <property fmtid="{D5CDD505-2E9C-101B-9397-08002B2CF9AE}" pid="5" name="LAWNUMBER">
    <vt:lpwstr>0173</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198אX;242X</vt:lpwstr>
  </property>
</Properties>
</file>