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231" w:rsidRDefault="00750231">
      <w:pPr>
        <w:pStyle w:val="big-header"/>
        <w:ind w:left="0" w:right="1134"/>
        <w:rPr>
          <w:rFonts w:hint="cs"/>
          <w:rtl/>
        </w:rPr>
      </w:pPr>
      <w:r>
        <w:rPr>
          <w:rtl/>
        </w:rPr>
        <w:t>תקנות הביטוח הלאומי (כללים ותנאים לתשלום גמול והחזר הוצאות לחברי מועצה או לחברי ועדה), תשס"ב-2001</w:t>
      </w:r>
    </w:p>
    <w:p w:rsidR="00F514BD" w:rsidRPr="00F514BD" w:rsidRDefault="00F514BD" w:rsidP="00F514BD">
      <w:pPr>
        <w:spacing w:line="320" w:lineRule="auto"/>
        <w:jc w:val="left"/>
        <w:rPr>
          <w:rFonts w:cs="FrankRuehl"/>
          <w:szCs w:val="26"/>
          <w:rtl/>
        </w:rPr>
      </w:pPr>
    </w:p>
    <w:p w:rsidR="00F514BD" w:rsidRPr="00F514BD" w:rsidRDefault="00F514BD" w:rsidP="00F514BD">
      <w:pPr>
        <w:spacing w:line="320" w:lineRule="auto"/>
        <w:jc w:val="left"/>
        <w:rPr>
          <w:rFonts w:cs="Miriam" w:hint="cs"/>
          <w:szCs w:val="22"/>
          <w:rtl/>
        </w:rPr>
      </w:pPr>
      <w:r w:rsidRPr="00F514BD">
        <w:rPr>
          <w:rFonts w:cs="Miriam"/>
          <w:szCs w:val="22"/>
          <w:rtl/>
        </w:rPr>
        <w:t>ביטוח</w:t>
      </w:r>
      <w:r w:rsidRPr="00F514BD">
        <w:rPr>
          <w:rFonts w:cs="FrankRuehl"/>
          <w:szCs w:val="26"/>
          <w:rtl/>
        </w:rPr>
        <w:t xml:space="preserve"> – ביטוח לאומי – מוסדות המוסד</w:t>
      </w:r>
    </w:p>
    <w:p w:rsidR="00750231" w:rsidRDefault="00750231">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0" w:tooltip="הגדרות" w:history="1">
              <w:r>
                <w:rPr>
                  <w:rStyle w:val="Hyperlink"/>
                </w:rPr>
                <w:t>Go</w:t>
              </w:r>
            </w:hyperlink>
          </w:p>
        </w:tc>
        <w:tc>
          <w:tcPr>
            <w:tcW w:w="5669" w:type="dxa"/>
          </w:tcPr>
          <w:p w:rsidR="00750231" w:rsidRDefault="00750231">
            <w:pPr>
              <w:spacing w:line="240" w:lineRule="auto"/>
              <w:rPr>
                <w:sz w:val="24"/>
                <w:rtl/>
              </w:rPr>
            </w:pPr>
            <w:r>
              <w:rPr>
                <w:sz w:val="24"/>
                <w:rtl/>
              </w:rPr>
              <w:t>הגדרות</w:t>
            </w:r>
          </w:p>
        </w:tc>
        <w:tc>
          <w:tcPr>
            <w:tcW w:w="1247" w:type="dxa"/>
          </w:tcPr>
          <w:p w:rsidR="00750231" w:rsidRDefault="00750231">
            <w:pPr>
              <w:spacing w:line="240" w:lineRule="auto"/>
              <w:rPr>
                <w:sz w:val="24"/>
              </w:rPr>
            </w:pPr>
            <w:r>
              <w:rPr>
                <w:sz w:val="24"/>
                <w:rtl/>
              </w:rPr>
              <w:t xml:space="preserve">סעיף 1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1" w:tooltip="גמול לחבר וליושב ראש" w:history="1">
              <w:r>
                <w:rPr>
                  <w:rStyle w:val="Hyperlink"/>
                </w:rPr>
                <w:t>Go</w:t>
              </w:r>
            </w:hyperlink>
          </w:p>
        </w:tc>
        <w:tc>
          <w:tcPr>
            <w:tcW w:w="5669" w:type="dxa"/>
          </w:tcPr>
          <w:p w:rsidR="00750231" w:rsidRDefault="00750231">
            <w:pPr>
              <w:spacing w:line="240" w:lineRule="auto"/>
              <w:rPr>
                <w:sz w:val="24"/>
                <w:rtl/>
              </w:rPr>
            </w:pPr>
            <w:r>
              <w:rPr>
                <w:sz w:val="24"/>
                <w:rtl/>
              </w:rPr>
              <w:t>גמול לחבר וליושב ראש</w:t>
            </w:r>
          </w:p>
        </w:tc>
        <w:tc>
          <w:tcPr>
            <w:tcW w:w="1247" w:type="dxa"/>
          </w:tcPr>
          <w:p w:rsidR="00750231" w:rsidRDefault="00750231">
            <w:pPr>
              <w:spacing w:line="240" w:lineRule="auto"/>
              <w:rPr>
                <w:sz w:val="24"/>
              </w:rPr>
            </w:pPr>
            <w:r>
              <w:rPr>
                <w:sz w:val="24"/>
                <w:rtl/>
              </w:rPr>
              <w:t xml:space="preserve">סעיף 2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2" w:tooltip="החזר הוצאות" w:history="1">
              <w:r>
                <w:rPr>
                  <w:rStyle w:val="Hyperlink"/>
                </w:rPr>
                <w:t>Go</w:t>
              </w:r>
            </w:hyperlink>
          </w:p>
        </w:tc>
        <w:tc>
          <w:tcPr>
            <w:tcW w:w="5669" w:type="dxa"/>
          </w:tcPr>
          <w:p w:rsidR="00750231" w:rsidRDefault="00750231">
            <w:pPr>
              <w:spacing w:line="240" w:lineRule="auto"/>
              <w:rPr>
                <w:sz w:val="24"/>
                <w:rtl/>
              </w:rPr>
            </w:pPr>
            <w:r>
              <w:rPr>
                <w:sz w:val="24"/>
                <w:rtl/>
              </w:rPr>
              <w:t>החזר הוצאות</w:t>
            </w:r>
          </w:p>
        </w:tc>
        <w:tc>
          <w:tcPr>
            <w:tcW w:w="1247" w:type="dxa"/>
          </w:tcPr>
          <w:p w:rsidR="00750231" w:rsidRDefault="00750231">
            <w:pPr>
              <w:spacing w:line="240" w:lineRule="auto"/>
              <w:rPr>
                <w:sz w:val="24"/>
              </w:rPr>
            </w:pPr>
            <w:r>
              <w:rPr>
                <w:sz w:val="24"/>
                <w:rtl/>
              </w:rPr>
              <w:t xml:space="preserve">סעיף 3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3" w:tooltip="מספר ישיבות מרבי" w:history="1">
              <w:r>
                <w:rPr>
                  <w:rStyle w:val="Hyperlink"/>
                </w:rPr>
                <w:t>Go</w:t>
              </w:r>
            </w:hyperlink>
          </w:p>
        </w:tc>
        <w:tc>
          <w:tcPr>
            <w:tcW w:w="5669" w:type="dxa"/>
          </w:tcPr>
          <w:p w:rsidR="00750231" w:rsidRDefault="00750231">
            <w:pPr>
              <w:spacing w:line="240" w:lineRule="auto"/>
              <w:rPr>
                <w:sz w:val="24"/>
                <w:rtl/>
              </w:rPr>
            </w:pPr>
            <w:r>
              <w:rPr>
                <w:sz w:val="24"/>
                <w:rtl/>
              </w:rPr>
              <w:t>מספר ישיבות מרבי</w:t>
            </w:r>
          </w:p>
        </w:tc>
        <w:tc>
          <w:tcPr>
            <w:tcW w:w="1247" w:type="dxa"/>
          </w:tcPr>
          <w:p w:rsidR="00750231" w:rsidRDefault="00750231">
            <w:pPr>
              <w:spacing w:line="240" w:lineRule="auto"/>
              <w:rPr>
                <w:sz w:val="24"/>
              </w:rPr>
            </w:pPr>
            <w:r>
              <w:rPr>
                <w:sz w:val="24"/>
                <w:rtl/>
              </w:rPr>
              <w:t xml:space="preserve">סעיף 4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4" w:tooltip="מועד התשלום" w:history="1">
              <w:r>
                <w:rPr>
                  <w:rStyle w:val="Hyperlink"/>
                </w:rPr>
                <w:t>Go</w:t>
              </w:r>
            </w:hyperlink>
          </w:p>
        </w:tc>
        <w:tc>
          <w:tcPr>
            <w:tcW w:w="5669" w:type="dxa"/>
          </w:tcPr>
          <w:p w:rsidR="00750231" w:rsidRDefault="00750231">
            <w:pPr>
              <w:spacing w:line="240" w:lineRule="auto"/>
              <w:rPr>
                <w:sz w:val="24"/>
                <w:rtl/>
              </w:rPr>
            </w:pPr>
            <w:r>
              <w:rPr>
                <w:sz w:val="24"/>
                <w:rtl/>
              </w:rPr>
              <w:t>מועד התשלום</w:t>
            </w:r>
          </w:p>
        </w:tc>
        <w:tc>
          <w:tcPr>
            <w:tcW w:w="1247" w:type="dxa"/>
          </w:tcPr>
          <w:p w:rsidR="00750231" w:rsidRDefault="00750231">
            <w:pPr>
              <w:spacing w:line="240" w:lineRule="auto"/>
              <w:rPr>
                <w:sz w:val="24"/>
              </w:rPr>
            </w:pPr>
            <w:r>
              <w:rPr>
                <w:sz w:val="24"/>
                <w:rtl/>
              </w:rPr>
              <w:t xml:space="preserve">סעיף 5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5" w:tooltip="סייגים" w:history="1">
              <w:r>
                <w:rPr>
                  <w:rStyle w:val="Hyperlink"/>
                </w:rPr>
                <w:t>Go</w:t>
              </w:r>
            </w:hyperlink>
          </w:p>
        </w:tc>
        <w:tc>
          <w:tcPr>
            <w:tcW w:w="5669" w:type="dxa"/>
          </w:tcPr>
          <w:p w:rsidR="00750231" w:rsidRDefault="00750231">
            <w:pPr>
              <w:spacing w:line="240" w:lineRule="auto"/>
              <w:rPr>
                <w:sz w:val="24"/>
                <w:rtl/>
              </w:rPr>
            </w:pPr>
            <w:r>
              <w:rPr>
                <w:sz w:val="24"/>
                <w:rtl/>
              </w:rPr>
              <w:t>סייגים</w:t>
            </w:r>
          </w:p>
        </w:tc>
        <w:tc>
          <w:tcPr>
            <w:tcW w:w="1247" w:type="dxa"/>
          </w:tcPr>
          <w:p w:rsidR="00750231" w:rsidRDefault="00750231">
            <w:pPr>
              <w:spacing w:line="240" w:lineRule="auto"/>
              <w:rPr>
                <w:sz w:val="24"/>
              </w:rPr>
            </w:pPr>
            <w:r>
              <w:rPr>
                <w:sz w:val="24"/>
                <w:rtl/>
              </w:rPr>
              <w:t xml:space="preserve">סעיף 6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6" w:tooltip="הצמדה למדד" w:history="1">
              <w:r>
                <w:rPr>
                  <w:rStyle w:val="Hyperlink"/>
                </w:rPr>
                <w:t>Go</w:t>
              </w:r>
            </w:hyperlink>
          </w:p>
        </w:tc>
        <w:tc>
          <w:tcPr>
            <w:tcW w:w="5669" w:type="dxa"/>
          </w:tcPr>
          <w:p w:rsidR="00750231" w:rsidRDefault="00750231">
            <w:pPr>
              <w:spacing w:line="240" w:lineRule="auto"/>
              <w:rPr>
                <w:sz w:val="24"/>
                <w:rtl/>
              </w:rPr>
            </w:pPr>
            <w:r>
              <w:rPr>
                <w:sz w:val="24"/>
                <w:rtl/>
              </w:rPr>
              <w:t>הצמדה למדד</w:t>
            </w:r>
          </w:p>
        </w:tc>
        <w:tc>
          <w:tcPr>
            <w:tcW w:w="1247" w:type="dxa"/>
          </w:tcPr>
          <w:p w:rsidR="00750231" w:rsidRDefault="00750231">
            <w:pPr>
              <w:spacing w:line="240" w:lineRule="auto"/>
              <w:rPr>
                <w:sz w:val="24"/>
              </w:rPr>
            </w:pPr>
            <w:r>
              <w:rPr>
                <w:sz w:val="24"/>
                <w:rtl/>
              </w:rPr>
              <w:t xml:space="preserve">סעיף 7 </w:t>
            </w:r>
          </w:p>
        </w:tc>
      </w:tr>
      <w:tr w:rsidR="00750231">
        <w:tblPrEx>
          <w:tblCellMar>
            <w:top w:w="0" w:type="dxa"/>
            <w:bottom w:w="0" w:type="dxa"/>
          </w:tblCellMar>
        </w:tblPrEx>
        <w:tc>
          <w:tcPr>
            <w:tcW w:w="850" w:type="dxa"/>
          </w:tcPr>
          <w:p w:rsidR="00750231" w:rsidRDefault="0075023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50231" w:rsidRDefault="00750231">
            <w:pPr>
              <w:spacing w:line="240" w:lineRule="auto"/>
              <w:rPr>
                <w:sz w:val="24"/>
              </w:rPr>
            </w:pPr>
            <w:hyperlink w:anchor="Seif7" w:tooltip="תחילה ותחולה" w:history="1">
              <w:r>
                <w:rPr>
                  <w:rStyle w:val="Hyperlink"/>
                </w:rPr>
                <w:t>Go</w:t>
              </w:r>
            </w:hyperlink>
          </w:p>
        </w:tc>
        <w:tc>
          <w:tcPr>
            <w:tcW w:w="5669" w:type="dxa"/>
          </w:tcPr>
          <w:p w:rsidR="00750231" w:rsidRDefault="00750231">
            <w:pPr>
              <w:spacing w:line="240" w:lineRule="auto"/>
              <w:rPr>
                <w:sz w:val="24"/>
                <w:rtl/>
              </w:rPr>
            </w:pPr>
            <w:r>
              <w:rPr>
                <w:sz w:val="24"/>
                <w:rtl/>
              </w:rPr>
              <w:t>תחילה ותחולה</w:t>
            </w:r>
          </w:p>
        </w:tc>
        <w:tc>
          <w:tcPr>
            <w:tcW w:w="1247" w:type="dxa"/>
          </w:tcPr>
          <w:p w:rsidR="00750231" w:rsidRDefault="00750231">
            <w:pPr>
              <w:spacing w:line="240" w:lineRule="auto"/>
              <w:rPr>
                <w:sz w:val="24"/>
              </w:rPr>
            </w:pPr>
            <w:r>
              <w:rPr>
                <w:sz w:val="24"/>
                <w:rtl/>
              </w:rPr>
              <w:t xml:space="preserve">סעיף 8 </w:t>
            </w:r>
          </w:p>
        </w:tc>
      </w:tr>
    </w:tbl>
    <w:p w:rsidR="00750231" w:rsidRDefault="00750231">
      <w:pPr>
        <w:pStyle w:val="big-header"/>
        <w:ind w:left="0" w:right="1134"/>
        <w:rPr>
          <w:rtl/>
        </w:rPr>
      </w:pPr>
    </w:p>
    <w:p w:rsidR="00750231" w:rsidRDefault="00750231" w:rsidP="00F514BD">
      <w:pPr>
        <w:pStyle w:val="big-header"/>
        <w:ind w:left="0" w:right="1134"/>
        <w:rPr>
          <w:rStyle w:val="default"/>
          <w:rFonts w:cs="FrankRuehl" w:hint="cs"/>
          <w:rtl/>
        </w:rPr>
      </w:pPr>
      <w:r>
        <w:rPr>
          <w:rtl/>
        </w:rPr>
        <w:br w:type="page"/>
      </w:r>
      <w:r w:rsidR="00F514BD">
        <w:rPr>
          <w:rtl/>
        </w:rPr>
        <w:lastRenderedPageBreak/>
        <w:t xml:space="preserve"> </w:t>
      </w:r>
      <w:r>
        <w:rPr>
          <w:rtl/>
        </w:rPr>
        <w:t>ת</w:t>
      </w:r>
      <w:r>
        <w:rPr>
          <w:rFonts w:hint="cs"/>
          <w:rtl/>
        </w:rPr>
        <w:t>קנות הביטוח הלאומי (כללים ותנאים לתשלום גמול והחזר הוצאות לחברי מועצה או לחברי ועדה), תשס"</w:t>
      </w:r>
      <w:r>
        <w:rPr>
          <w:rtl/>
        </w:rPr>
        <w:t>ב</w:t>
      </w:r>
      <w:r>
        <w:rPr>
          <w:rFonts w:hint="cs"/>
          <w:rtl/>
        </w:rPr>
        <w:t>-2001</w:t>
      </w:r>
      <w:r>
        <w:rPr>
          <w:rStyle w:val="default"/>
          <w:rtl/>
        </w:rPr>
        <w:footnoteReference w:customMarkFollows="1" w:id="1"/>
        <w:t>*</w:t>
      </w:r>
    </w:p>
    <w:p w:rsidR="00750231" w:rsidRDefault="0075023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17א(ג) ו-400(ב) לחוק הביטוח הלאומי [נוסח משולב], תשנ"ה-1995 (להלן - החוק), בהסכמת שר האוצר ובאישור ועדת העבודה הרווחה והבריאות של הכנסת, אני מתקין תקנות אלה:</w:t>
      </w:r>
    </w:p>
    <w:p w:rsidR="00750231" w:rsidRDefault="00750231">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4144"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חבר" - חבר המועצה או חבר ועדה כ</w:t>
      </w:r>
      <w:r>
        <w:rPr>
          <w:rStyle w:val="default"/>
          <w:rFonts w:cs="FrankRuehl"/>
          <w:rtl/>
        </w:rPr>
        <w:t>ה</w:t>
      </w:r>
      <w:r>
        <w:rPr>
          <w:rStyle w:val="default"/>
          <w:rFonts w:cs="FrankRuehl" w:hint="cs"/>
          <w:rtl/>
        </w:rPr>
        <w:t>גדרתה בסעיף 17א(ד) לחוק;</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יושב ראש" - יושב ראש ועדה כהגדרתה בסעיף 17א(ד) לחוק;</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ישיבה" - ישיבת מועצה או ישיבת ועדה.</w:t>
      </w:r>
    </w:p>
    <w:p w:rsidR="00750231" w:rsidRDefault="0075023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5168"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ג</w:t>
                  </w:r>
                  <w:r>
                    <w:rPr>
                      <w:rFonts w:cs="Miriam" w:hint="cs"/>
                      <w:szCs w:val="18"/>
                      <w:rtl/>
                    </w:rPr>
                    <w:t>מול לחבר וליושב ראש</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השתתפות בישיבות ישלם המוסד למי שלא נתקיימו בו הסייגים שבסעיף 17א(א) לחוק, גמול בסך של 600 שקלים חדשים </w:t>
      </w:r>
      <w:r>
        <w:rPr>
          <w:rStyle w:val="default"/>
          <w:rFonts w:cs="FrankRuehl"/>
          <w:rtl/>
        </w:rPr>
        <w:t>ל</w:t>
      </w:r>
      <w:r>
        <w:rPr>
          <w:rStyle w:val="default"/>
          <w:rFonts w:cs="FrankRuehl" w:hint="cs"/>
          <w:rtl/>
        </w:rPr>
        <w:t>חבר ו-720 שקלים חדשים ליושב הראש, בעד כל ישיבה (להלן - גמול).</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זכאי לגמול אם אישר יושב ראש, או ממלא מקומו, כי החבר השתתף בישיבה, כולה או רובה.</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הגמול הקבוע בתקנת משנה (א) כולל כיסוי כל הוצאה שהוציא החבר או יושב הראש בקשר עם הישיבה, וכולל מס ע</w:t>
      </w:r>
      <w:r>
        <w:rPr>
          <w:rStyle w:val="default"/>
          <w:rFonts w:cs="FrankRuehl"/>
          <w:rtl/>
        </w:rPr>
        <w:t>ר</w:t>
      </w:r>
      <w:r>
        <w:rPr>
          <w:rStyle w:val="default"/>
          <w:rFonts w:cs="FrankRuehl" w:hint="cs"/>
          <w:rtl/>
        </w:rPr>
        <w:t>ך מוסף.</w:t>
      </w:r>
    </w:p>
    <w:p w:rsidR="00750231" w:rsidRDefault="0075023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6192"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ה</w:t>
                  </w:r>
                  <w:r>
                    <w:rPr>
                      <w:rFonts w:cs="Miriam" w:hint="cs"/>
                      <w:szCs w:val="18"/>
                      <w:rtl/>
                    </w:rPr>
                    <w:t>חזר הוצאות</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בר או יושב ראש שאינו זכאי לגמול ואינו מקבל החזר הוצאות ממקור אחר, יהיה זכאי להחזר הוצאות הנסיעה אל הישיבה ובחזרה ממנה, לפי התעריפים שנקבעו בחוזר החשב הכללי מספר 21 לשנת 2000, כפי שיעודכנו מזמן לזמן (להלן - החזר הוצאות).</w:t>
      </w:r>
    </w:p>
    <w:p w:rsidR="00750231" w:rsidRDefault="00750231">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7216"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מ</w:t>
                  </w:r>
                  <w:r>
                    <w:rPr>
                      <w:rFonts w:cs="Miriam" w:hint="cs"/>
                      <w:szCs w:val="18"/>
                      <w:rtl/>
                    </w:rPr>
                    <w:t>ספ</w:t>
                  </w:r>
                  <w:r>
                    <w:rPr>
                      <w:rFonts w:cs="Miriam"/>
                      <w:szCs w:val="18"/>
                      <w:rtl/>
                    </w:rPr>
                    <w:t>ר</w:t>
                  </w:r>
                  <w:r>
                    <w:rPr>
                      <w:rFonts w:cs="Miriam" w:hint="cs"/>
                      <w:szCs w:val="18"/>
                      <w:rtl/>
                    </w:rPr>
                    <w:t xml:space="preserve"> ישי</w:t>
                  </w:r>
                  <w:r>
                    <w:rPr>
                      <w:rFonts w:cs="Miriam"/>
                      <w:szCs w:val="18"/>
                      <w:rtl/>
                    </w:rPr>
                    <w:t>ב</w:t>
                  </w:r>
                  <w:r>
                    <w:rPr>
                      <w:rFonts w:cs="Miriam" w:hint="cs"/>
                      <w:szCs w:val="18"/>
                      <w:rtl/>
                    </w:rPr>
                    <w:t>ות מרבי</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ספר הישיבות המרבי שבעדן ישולמו לחבר גמול או החזר הוצאות לא יעלה על 30 בשנה.</w:t>
      </w:r>
    </w:p>
    <w:p w:rsidR="00750231" w:rsidRDefault="0075023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8240"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מ</w:t>
                  </w:r>
                  <w:r>
                    <w:rPr>
                      <w:rFonts w:cs="Miriam" w:hint="cs"/>
                      <w:szCs w:val="18"/>
                      <w:rtl/>
                    </w:rPr>
                    <w:t>ועד התשלום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חזר הוצאות או גמול ישולמו לחבר לא יאוחר מתום החודש שלאחר החודש שבו התקיימה ישיבה.</w:t>
      </w:r>
    </w:p>
    <w:p w:rsidR="00750231" w:rsidRDefault="00750231">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0pt;z-index:251659264"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ס</w:t>
                  </w:r>
                  <w:r>
                    <w:rPr>
                      <w:rFonts w:cs="Miriam" w:hint="cs"/>
                      <w:szCs w:val="18"/>
                      <w:rtl/>
                    </w:rPr>
                    <w:t>ייגים</w:t>
                  </w:r>
                </w:p>
              </w:txbxContent>
            </v:textbox>
            <w10:anchorlock/>
          </v:rect>
        </w:pict>
      </w:r>
      <w:r>
        <w:rPr>
          <w:rStyle w:val="big-number"/>
          <w:rFonts w:cs="Miriam"/>
          <w:rtl/>
        </w:rPr>
        <w:t>6.</w:t>
      </w:r>
      <w:r>
        <w:rPr>
          <w:rStyle w:val="big-number"/>
          <w:rFonts w:cs="Miriam"/>
          <w:rtl/>
        </w:rPr>
        <w:tab/>
      </w:r>
      <w:r>
        <w:rPr>
          <w:rStyle w:val="default"/>
          <w:rFonts w:cs="FrankRuehl"/>
          <w:rtl/>
        </w:rPr>
        <w:t>ל</w:t>
      </w:r>
      <w:r>
        <w:rPr>
          <w:rStyle w:val="default"/>
          <w:rFonts w:cs="FrankRuehl" w:hint="cs"/>
          <w:rtl/>
        </w:rPr>
        <w:t>א ישולמו גמול או החזר הוצאות בעד השתתפות בישיבת ועדה אלא למי שמונה לחבר אותה הועדה.</w:t>
      </w:r>
    </w:p>
    <w:p w:rsidR="00750231" w:rsidRDefault="0075023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0pt;z-index:251660288"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ה</w:t>
                  </w:r>
                  <w:r>
                    <w:rPr>
                      <w:rFonts w:cs="Miriam" w:hint="cs"/>
                      <w:szCs w:val="18"/>
                      <w:rtl/>
                    </w:rPr>
                    <w:t>צמדה למדד</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הסכום הנקוב בתקנה 2(א) ישתנה ב-1 בינואר וב-1 ביולי, לפי שיעור העליה של המדד החדש לעומת המדד היסודי.</w:t>
      </w:r>
    </w:p>
    <w:p w:rsidR="00750231" w:rsidRDefault="0075023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סכום ששונה כאמור יעוגל לסכום הקרוב שהוא מכפלה של חמישה שקלים חדשים.</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 </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 מדד המחירים לצרכן שמפרסמת הלשכה המרכזית</w:t>
      </w:r>
      <w:r>
        <w:rPr>
          <w:rStyle w:val="default"/>
          <w:rFonts w:cs="FrankRuehl"/>
          <w:rtl/>
        </w:rPr>
        <w:t xml:space="preserve"> </w:t>
      </w:r>
      <w:r>
        <w:rPr>
          <w:rStyle w:val="default"/>
          <w:rFonts w:cs="FrankRuehl" w:hint="cs"/>
          <w:rtl/>
        </w:rPr>
        <w:t>לסטטיסטיקה;</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החדש" - המדד שפורסם לאחרונה לפני יום השינוי;</w:t>
      </w:r>
    </w:p>
    <w:p w:rsidR="00750231" w:rsidRDefault="0075023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המדד היסודי" - המדד שפורסם לאחרונה לפני יום השינוי ה</w:t>
      </w:r>
      <w:r>
        <w:rPr>
          <w:rStyle w:val="default"/>
          <w:rFonts w:cs="FrankRuehl"/>
          <w:rtl/>
        </w:rPr>
        <w:t>ק</w:t>
      </w:r>
      <w:r>
        <w:rPr>
          <w:rStyle w:val="default"/>
          <w:rFonts w:cs="FrankRuehl" w:hint="cs"/>
          <w:rtl/>
        </w:rPr>
        <w:t xml:space="preserve">ודם ולגבי יום השינוי הראשון שלאחר תחילתן של תקנות אלה - המדד שפורסם בחודש נובמבר 2000. </w:t>
      </w:r>
    </w:p>
    <w:p w:rsidR="00750231" w:rsidRDefault="00750231">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pt;z-index:251661312" o:allowincell="f" filled="f" stroked="f" strokecolor="lime" strokeweight=".25pt">
            <v:textbox inset="0,0,0,0">
              <w:txbxContent>
                <w:p w:rsidR="00750231" w:rsidRDefault="00750231">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חילתן של תקנות אלה ביום ד' בכסלו תשס"א (1 בדצמבר 2000) והן יחולו על השתתפות בישיבה ביום התחילה או לאחריו.</w:t>
      </w:r>
    </w:p>
    <w:p w:rsidR="00750231" w:rsidRDefault="00750231">
      <w:pPr>
        <w:pStyle w:val="P00"/>
        <w:spacing w:before="72"/>
        <w:ind w:left="0" w:right="1134"/>
        <w:rPr>
          <w:rStyle w:val="default"/>
          <w:rFonts w:cs="FrankRuehl"/>
          <w:rtl/>
        </w:rPr>
      </w:pPr>
    </w:p>
    <w:p w:rsidR="00750231" w:rsidRDefault="00750231">
      <w:pPr>
        <w:pStyle w:val="sig-0"/>
        <w:ind w:left="0" w:right="1134"/>
        <w:rPr>
          <w:rtl/>
        </w:rPr>
      </w:pPr>
      <w:r>
        <w:rPr>
          <w:rtl/>
        </w:rPr>
        <w:t>כ</w:t>
      </w:r>
      <w:r>
        <w:rPr>
          <w:rFonts w:hint="cs"/>
          <w:rtl/>
        </w:rPr>
        <w:t>"ה באלול תשס"א (13 בספטמבר 2001)</w:t>
      </w:r>
      <w:r>
        <w:rPr>
          <w:rtl/>
        </w:rPr>
        <w:tab/>
      </w:r>
      <w:r>
        <w:rPr>
          <w:rFonts w:hint="cs"/>
          <w:rtl/>
        </w:rPr>
        <w:t>שלמה ב</w:t>
      </w:r>
      <w:r>
        <w:rPr>
          <w:rtl/>
        </w:rPr>
        <w:t>נ</w:t>
      </w:r>
      <w:r>
        <w:rPr>
          <w:rFonts w:hint="cs"/>
          <w:rtl/>
        </w:rPr>
        <w:t>יזרי</w:t>
      </w:r>
    </w:p>
    <w:p w:rsidR="00750231" w:rsidRDefault="00750231">
      <w:pPr>
        <w:pStyle w:val="sig-1"/>
        <w:widowControl/>
        <w:ind w:left="0" w:right="1134"/>
        <w:rPr>
          <w:rtl/>
        </w:rPr>
      </w:pPr>
      <w:r>
        <w:rPr>
          <w:rtl/>
        </w:rPr>
        <w:tab/>
      </w:r>
      <w:r>
        <w:rPr>
          <w:rtl/>
        </w:rPr>
        <w:tab/>
      </w:r>
      <w:r>
        <w:rPr>
          <w:rtl/>
        </w:rPr>
        <w:tab/>
      </w:r>
      <w:r>
        <w:rPr>
          <w:rFonts w:hint="cs"/>
          <w:rtl/>
        </w:rPr>
        <w:t>שר העבודה והרווחה</w:t>
      </w:r>
    </w:p>
    <w:p w:rsidR="00750231" w:rsidRDefault="00750231">
      <w:pPr>
        <w:pStyle w:val="P00"/>
        <w:spacing w:before="72"/>
        <w:ind w:left="0" w:right="1134"/>
        <w:rPr>
          <w:rStyle w:val="default"/>
          <w:rFonts w:cs="FrankRuehl" w:hint="cs"/>
          <w:rtl/>
        </w:rPr>
      </w:pPr>
    </w:p>
    <w:p w:rsidR="00750231" w:rsidRDefault="00750231">
      <w:pPr>
        <w:pStyle w:val="P00"/>
        <w:spacing w:before="72"/>
        <w:ind w:left="0" w:right="1134"/>
        <w:rPr>
          <w:rStyle w:val="default"/>
          <w:rFonts w:cs="FrankRuehl"/>
          <w:rtl/>
        </w:rPr>
      </w:pPr>
    </w:p>
    <w:p w:rsidR="00750231" w:rsidRDefault="00750231">
      <w:pPr>
        <w:pStyle w:val="P00"/>
        <w:spacing w:before="72"/>
        <w:ind w:left="0" w:right="1134"/>
        <w:rPr>
          <w:rStyle w:val="default"/>
          <w:rFonts w:cs="FrankRuehl"/>
          <w:rtl/>
        </w:rPr>
      </w:pPr>
      <w:bookmarkStart w:id="8" w:name="LawPartEnd"/>
    </w:p>
    <w:bookmarkEnd w:id="8"/>
    <w:p w:rsidR="00750231" w:rsidRDefault="00750231">
      <w:pPr>
        <w:pStyle w:val="P00"/>
        <w:spacing w:before="72"/>
        <w:ind w:left="0" w:right="1134"/>
        <w:rPr>
          <w:rStyle w:val="default"/>
          <w:rFonts w:cs="FrankRuehl"/>
          <w:rtl/>
        </w:rPr>
      </w:pPr>
    </w:p>
    <w:sectPr w:rsidR="0075023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4B3A" w:rsidRDefault="00884B3A">
      <w:r>
        <w:separator/>
      </w:r>
    </w:p>
  </w:endnote>
  <w:endnote w:type="continuationSeparator" w:id="0">
    <w:p w:rsidR="00884B3A" w:rsidRDefault="0088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231" w:rsidRDefault="007502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50231" w:rsidRDefault="007502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50231" w:rsidRDefault="007502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C:\Yael\hakika\Revadim\039_204.doc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231" w:rsidRDefault="007502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3F0F">
      <w:rPr>
        <w:rFonts w:hAnsi="FrankRuehl" w:cs="FrankRuehl"/>
        <w:noProof/>
        <w:sz w:val="24"/>
        <w:szCs w:val="24"/>
        <w:rtl/>
      </w:rPr>
      <w:t>2</w:t>
    </w:r>
    <w:r>
      <w:rPr>
        <w:rFonts w:hAnsi="FrankRuehl" w:cs="FrankRuehl"/>
        <w:sz w:val="24"/>
        <w:szCs w:val="24"/>
        <w:rtl/>
      </w:rPr>
      <w:fldChar w:fldCharType="end"/>
    </w:r>
  </w:p>
  <w:p w:rsidR="00750231" w:rsidRDefault="007502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50231" w:rsidRDefault="007502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C:\Yael\hakika\Revadim\039_204.doc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4B3A" w:rsidRDefault="00884B3A">
      <w:pPr>
        <w:spacing w:before="60" w:line="240" w:lineRule="auto"/>
        <w:ind w:right="1134"/>
      </w:pPr>
      <w:r>
        <w:separator/>
      </w:r>
    </w:p>
  </w:footnote>
  <w:footnote w:type="continuationSeparator" w:id="0">
    <w:p w:rsidR="00884B3A" w:rsidRDefault="00884B3A">
      <w:r>
        <w:continuationSeparator/>
      </w:r>
    </w:p>
  </w:footnote>
  <w:footnote w:id="1">
    <w:p w:rsidR="00750231" w:rsidRDefault="0075023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תשס"ב מס' 6129</w:t>
        </w:r>
      </w:hyperlink>
      <w:r>
        <w:rPr>
          <w:rFonts w:hint="cs"/>
          <w:sz w:val="20"/>
          <w:rtl/>
        </w:rPr>
        <w:t xml:space="preserve"> מיום 25.10.2001 עמ</w:t>
      </w:r>
      <w:r>
        <w:rPr>
          <w:sz w:val="20"/>
          <w:rtl/>
        </w:rPr>
        <w:t>'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231" w:rsidRDefault="007502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(כללים ותנאים לתשלום גמול והחזר הוצאות לחברי מועצה או לחברי ועדה), תשס"ב- 2001</w:t>
    </w:r>
  </w:p>
  <w:p w:rsidR="00750231" w:rsidRDefault="007502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50231" w:rsidRDefault="007502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231" w:rsidRDefault="007502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(כללים ותנאים לתשלום גמול והחזר הוצאות לחברי מועצה או לחברי ועדה), תשס"ב-2001</w:t>
    </w:r>
  </w:p>
  <w:p w:rsidR="00750231" w:rsidRDefault="007502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50231" w:rsidRDefault="007502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14BD"/>
    <w:rsid w:val="00033F0F"/>
    <w:rsid w:val="00375D5E"/>
    <w:rsid w:val="00750231"/>
    <w:rsid w:val="00884B3A"/>
    <w:rsid w:val="00DD225F"/>
    <w:rsid w:val="00F514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77435E-6D5D-4C2D-8B20-347CDCD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2803</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8192000</vt:i4>
      </vt:variant>
      <vt:variant>
        <vt:i4>0</vt:i4>
      </vt:variant>
      <vt:variant>
        <vt:i4>0</vt:i4>
      </vt:variant>
      <vt:variant>
        <vt:i4>5</vt:i4>
      </vt:variant>
      <vt:variant>
        <vt:lpwstr>http://www.nevo.co.il/Law_word/law06/TAK-6129.pdf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(כללים ותנאים לתשלום גמול והחזר הוצאות לחברי מועצה או לחברי ועדה), תשס"ב-2001</vt:lpwstr>
  </property>
  <property fmtid="{D5CDD505-2E9C-101B-9397-08002B2CF9AE}" pid="5" name="LAWNUMBER">
    <vt:lpwstr>0204</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מוסדות המוסד</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17אXגX;400XבX</vt:lpwstr>
  </property>
</Properties>
</file>