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925" w:rsidRDefault="00590925">
      <w:pPr>
        <w:pStyle w:val="big-header"/>
        <w:ind w:left="0" w:right="1134"/>
        <w:rPr>
          <w:rFonts w:hint="cs"/>
          <w:rtl/>
        </w:rPr>
      </w:pPr>
      <w:r>
        <w:rPr>
          <w:rtl/>
        </w:rPr>
        <w:t>תקנות הביטוח הלאומ</w:t>
      </w:r>
      <w:r w:rsidR="00486B49">
        <w:rPr>
          <w:rtl/>
        </w:rPr>
        <w:t>י (כללים לעיגול סכומים), תשמ"ו-</w:t>
      </w:r>
      <w:r>
        <w:rPr>
          <w:rtl/>
        </w:rPr>
        <w:t>1985</w:t>
      </w:r>
    </w:p>
    <w:p w:rsidR="003C5158" w:rsidRPr="003C5158" w:rsidRDefault="003C5158" w:rsidP="003C5158">
      <w:pPr>
        <w:spacing w:line="320" w:lineRule="auto"/>
        <w:jc w:val="left"/>
        <w:rPr>
          <w:rFonts w:cs="FrankRuehl"/>
          <w:szCs w:val="26"/>
          <w:rtl/>
        </w:rPr>
      </w:pPr>
    </w:p>
    <w:p w:rsidR="00D16AA9" w:rsidRPr="003C5158" w:rsidRDefault="003C5158" w:rsidP="003C5158">
      <w:pPr>
        <w:spacing w:line="320" w:lineRule="auto"/>
        <w:jc w:val="left"/>
        <w:rPr>
          <w:rFonts w:cs="Miriam" w:hint="cs"/>
          <w:szCs w:val="22"/>
          <w:rtl/>
        </w:rPr>
      </w:pPr>
      <w:r w:rsidRPr="003C5158">
        <w:rPr>
          <w:rFonts w:cs="Miriam"/>
          <w:szCs w:val="22"/>
          <w:rtl/>
        </w:rPr>
        <w:t>ביטוח</w:t>
      </w:r>
      <w:r w:rsidRPr="003C5158">
        <w:rPr>
          <w:rFonts w:cs="FrankRuehl"/>
          <w:szCs w:val="26"/>
          <w:rtl/>
        </w:rPr>
        <w:t xml:space="preserve"> – ביטוח לאומי</w:t>
      </w:r>
    </w:p>
    <w:p w:rsidR="00590925" w:rsidRDefault="0059092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1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הגדרות</w:t>
            </w:r>
          </w:p>
        </w:tc>
        <w:tc>
          <w:tcPr>
            <w:tcW w:w="567" w:type="dxa"/>
          </w:tcPr>
          <w:p w:rsidR="00162D9C" w:rsidRPr="00162D9C" w:rsidRDefault="00162D9C" w:rsidP="00162D9C">
            <w:pPr>
              <w:spacing w:line="240" w:lineRule="auto"/>
              <w:jc w:val="left"/>
              <w:rPr>
                <w:rStyle w:val="Hyperlink"/>
                <w:rtl/>
              </w:rPr>
            </w:pPr>
            <w:hyperlink w:anchor="Seif1" w:tooltip="הגדרות"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2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עיגול גימלה יומית ותשלום יומי אחר</w:t>
            </w:r>
          </w:p>
        </w:tc>
        <w:tc>
          <w:tcPr>
            <w:tcW w:w="567" w:type="dxa"/>
          </w:tcPr>
          <w:p w:rsidR="00162D9C" w:rsidRPr="00162D9C" w:rsidRDefault="00162D9C" w:rsidP="00162D9C">
            <w:pPr>
              <w:spacing w:line="240" w:lineRule="auto"/>
              <w:jc w:val="left"/>
              <w:rPr>
                <w:rStyle w:val="Hyperlink"/>
                <w:rtl/>
              </w:rPr>
            </w:pPr>
            <w:hyperlink w:anchor="Seif2" w:tooltip="עיגול גימלה יומית ותשלום יומי אחר"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3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עיגול גימלה ותשלום אחר</w:t>
            </w:r>
          </w:p>
        </w:tc>
        <w:tc>
          <w:tcPr>
            <w:tcW w:w="567" w:type="dxa"/>
          </w:tcPr>
          <w:p w:rsidR="00162D9C" w:rsidRPr="00162D9C" w:rsidRDefault="00162D9C" w:rsidP="00162D9C">
            <w:pPr>
              <w:spacing w:line="240" w:lineRule="auto"/>
              <w:jc w:val="left"/>
              <w:rPr>
                <w:rStyle w:val="Hyperlink"/>
                <w:rtl/>
              </w:rPr>
            </w:pPr>
            <w:hyperlink w:anchor="Seif3" w:tooltip="עיגול גימלה ותשלום אחר"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4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עיגול סכום לצורך גימלה וסכום אחר</w:t>
            </w:r>
          </w:p>
        </w:tc>
        <w:tc>
          <w:tcPr>
            <w:tcW w:w="567" w:type="dxa"/>
          </w:tcPr>
          <w:p w:rsidR="00162D9C" w:rsidRPr="00162D9C" w:rsidRDefault="00162D9C" w:rsidP="00162D9C">
            <w:pPr>
              <w:spacing w:line="240" w:lineRule="auto"/>
              <w:jc w:val="left"/>
              <w:rPr>
                <w:rStyle w:val="Hyperlink"/>
                <w:rtl/>
              </w:rPr>
            </w:pPr>
            <w:hyperlink w:anchor="Seif4" w:tooltip="עיגול סכום לצורך גימלה וסכום אחר"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5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עיגול חיוב במזונות</w:t>
            </w:r>
          </w:p>
        </w:tc>
        <w:tc>
          <w:tcPr>
            <w:tcW w:w="567" w:type="dxa"/>
          </w:tcPr>
          <w:p w:rsidR="00162D9C" w:rsidRPr="00162D9C" w:rsidRDefault="00162D9C" w:rsidP="00162D9C">
            <w:pPr>
              <w:spacing w:line="240" w:lineRule="auto"/>
              <w:jc w:val="left"/>
              <w:rPr>
                <w:rStyle w:val="Hyperlink"/>
                <w:rtl/>
              </w:rPr>
            </w:pPr>
            <w:hyperlink w:anchor="Seif5" w:tooltip="עיגול חיוב במזונות"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6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עיגול סכומים המשמשים לחיוב בדמי ביטוח ולחיוב אחר</w:t>
            </w:r>
          </w:p>
        </w:tc>
        <w:tc>
          <w:tcPr>
            <w:tcW w:w="567" w:type="dxa"/>
          </w:tcPr>
          <w:p w:rsidR="00162D9C" w:rsidRPr="00162D9C" w:rsidRDefault="00162D9C" w:rsidP="00162D9C">
            <w:pPr>
              <w:spacing w:line="240" w:lineRule="auto"/>
              <w:jc w:val="left"/>
              <w:rPr>
                <w:rStyle w:val="Hyperlink"/>
                <w:rtl/>
              </w:rPr>
            </w:pPr>
            <w:hyperlink w:anchor="Seif6" w:tooltip="עיגול סכומים המשמשים לחיוב בדמי ביטוח ולחיוב אחר"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7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עיגול תוספת והחזר</w:t>
            </w:r>
          </w:p>
        </w:tc>
        <w:tc>
          <w:tcPr>
            <w:tcW w:w="567" w:type="dxa"/>
          </w:tcPr>
          <w:p w:rsidR="00162D9C" w:rsidRPr="00162D9C" w:rsidRDefault="00162D9C" w:rsidP="00162D9C">
            <w:pPr>
              <w:spacing w:line="240" w:lineRule="auto"/>
              <w:jc w:val="left"/>
              <w:rPr>
                <w:rStyle w:val="Hyperlink"/>
                <w:rtl/>
              </w:rPr>
            </w:pPr>
            <w:hyperlink w:anchor="Seif7" w:tooltip="עיגול תוספת והחזר"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8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ביטול תקנות</w:t>
            </w:r>
          </w:p>
        </w:tc>
        <w:tc>
          <w:tcPr>
            <w:tcW w:w="567" w:type="dxa"/>
          </w:tcPr>
          <w:p w:rsidR="00162D9C" w:rsidRPr="00162D9C" w:rsidRDefault="00162D9C" w:rsidP="00162D9C">
            <w:pPr>
              <w:spacing w:line="240" w:lineRule="auto"/>
              <w:jc w:val="left"/>
              <w:rPr>
                <w:rStyle w:val="Hyperlink"/>
                <w:rtl/>
              </w:rPr>
            </w:pPr>
            <w:hyperlink w:anchor="Seif8" w:tooltip="ביטול תקנות"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9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הוראות מעבר</w:t>
            </w:r>
          </w:p>
        </w:tc>
        <w:tc>
          <w:tcPr>
            <w:tcW w:w="567" w:type="dxa"/>
          </w:tcPr>
          <w:p w:rsidR="00162D9C" w:rsidRPr="00162D9C" w:rsidRDefault="00162D9C" w:rsidP="00162D9C">
            <w:pPr>
              <w:spacing w:line="240" w:lineRule="auto"/>
              <w:jc w:val="left"/>
              <w:rPr>
                <w:rStyle w:val="Hyperlink"/>
                <w:rtl/>
              </w:rPr>
            </w:pPr>
            <w:hyperlink w:anchor="Seif9" w:tooltip="הוראות מעבר"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62D9C" w:rsidRPr="00162D9C">
        <w:tblPrEx>
          <w:tblCellMar>
            <w:top w:w="0" w:type="dxa"/>
            <w:bottom w:w="0" w:type="dxa"/>
          </w:tblCellMar>
        </w:tblPrEx>
        <w:tc>
          <w:tcPr>
            <w:tcW w:w="1247" w:type="dxa"/>
          </w:tcPr>
          <w:p w:rsidR="00162D9C" w:rsidRPr="00162D9C" w:rsidRDefault="00162D9C" w:rsidP="00162D9C">
            <w:pPr>
              <w:spacing w:line="240" w:lineRule="auto"/>
              <w:jc w:val="left"/>
              <w:rPr>
                <w:rFonts w:cs="Frankruhel"/>
                <w:sz w:val="24"/>
                <w:rtl/>
              </w:rPr>
            </w:pPr>
            <w:r>
              <w:rPr>
                <w:rFonts w:cs="Times New Roman"/>
                <w:sz w:val="24"/>
                <w:rtl/>
              </w:rPr>
              <w:t xml:space="preserve">סעיף 10 </w:t>
            </w:r>
          </w:p>
        </w:tc>
        <w:tc>
          <w:tcPr>
            <w:tcW w:w="5669" w:type="dxa"/>
          </w:tcPr>
          <w:p w:rsidR="00162D9C" w:rsidRPr="00162D9C" w:rsidRDefault="00162D9C" w:rsidP="00162D9C">
            <w:pPr>
              <w:spacing w:line="240" w:lineRule="auto"/>
              <w:jc w:val="left"/>
              <w:rPr>
                <w:rFonts w:cs="Frankruhel"/>
                <w:sz w:val="24"/>
                <w:rtl/>
              </w:rPr>
            </w:pPr>
            <w:r>
              <w:rPr>
                <w:rFonts w:cs="Times New Roman"/>
                <w:sz w:val="24"/>
                <w:rtl/>
              </w:rPr>
              <w:t>תחילה ותחולה</w:t>
            </w:r>
          </w:p>
        </w:tc>
        <w:tc>
          <w:tcPr>
            <w:tcW w:w="567" w:type="dxa"/>
          </w:tcPr>
          <w:p w:rsidR="00162D9C" w:rsidRPr="00162D9C" w:rsidRDefault="00162D9C" w:rsidP="00162D9C">
            <w:pPr>
              <w:spacing w:line="240" w:lineRule="auto"/>
              <w:jc w:val="left"/>
              <w:rPr>
                <w:rStyle w:val="Hyperlink"/>
                <w:rtl/>
              </w:rPr>
            </w:pPr>
            <w:hyperlink w:anchor="Seif10" w:tooltip="תחילה ותחולה" w:history="1">
              <w:r w:rsidRPr="00162D9C">
                <w:rPr>
                  <w:rStyle w:val="Hyperlink"/>
                </w:rPr>
                <w:t>Go</w:t>
              </w:r>
            </w:hyperlink>
          </w:p>
        </w:tc>
        <w:tc>
          <w:tcPr>
            <w:tcW w:w="850" w:type="dxa"/>
          </w:tcPr>
          <w:p w:rsidR="00162D9C" w:rsidRPr="00162D9C" w:rsidRDefault="00162D9C" w:rsidP="00162D9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590925" w:rsidRDefault="00590925">
      <w:pPr>
        <w:pStyle w:val="big-header"/>
        <w:ind w:left="0" w:right="1134"/>
        <w:rPr>
          <w:rtl/>
        </w:rPr>
      </w:pPr>
    </w:p>
    <w:p w:rsidR="00590925" w:rsidRDefault="00590925" w:rsidP="00486B49">
      <w:pPr>
        <w:pStyle w:val="big-header"/>
        <w:ind w:left="0" w:right="1134"/>
        <w:rPr>
          <w:rStyle w:val="default"/>
          <w:rFonts w:cs="FrankRuehl" w:hint="cs"/>
          <w:rtl/>
        </w:rPr>
      </w:pPr>
      <w:r>
        <w:rPr>
          <w:rtl/>
        </w:rPr>
        <w:br w:type="page"/>
      </w:r>
      <w:r>
        <w:rPr>
          <w:rtl/>
        </w:rPr>
        <w:lastRenderedPageBreak/>
        <w:t>ת</w:t>
      </w:r>
      <w:r>
        <w:rPr>
          <w:rFonts w:hint="cs"/>
          <w:rtl/>
        </w:rPr>
        <w:t>קנות הביטוח הלאומ</w:t>
      </w:r>
      <w:r w:rsidR="00486B49">
        <w:rPr>
          <w:rFonts w:hint="cs"/>
          <w:rtl/>
        </w:rPr>
        <w:t>י (כללים לעיגול סכומים), תשמ"ו-</w:t>
      </w:r>
      <w:r>
        <w:rPr>
          <w:rFonts w:hint="cs"/>
          <w:rtl/>
        </w:rPr>
        <w:t>1985</w:t>
      </w:r>
      <w:r w:rsidR="00486B49">
        <w:rPr>
          <w:rStyle w:val="a6"/>
          <w:rtl/>
        </w:rPr>
        <w:footnoteReference w:customMarkFollows="1" w:id="1"/>
        <w:t>*</w:t>
      </w:r>
    </w:p>
    <w:p w:rsidR="00590925" w:rsidRDefault="00590925" w:rsidP="00486B4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195 ו-242 </w:t>
      </w:r>
      <w:r>
        <w:rPr>
          <w:rStyle w:val="default"/>
          <w:rFonts w:cs="FrankRuehl"/>
          <w:rtl/>
        </w:rPr>
        <w:t>ל</w:t>
      </w:r>
      <w:r>
        <w:rPr>
          <w:rStyle w:val="default"/>
          <w:rFonts w:cs="FrankRuehl" w:hint="cs"/>
          <w:rtl/>
        </w:rPr>
        <w:t xml:space="preserve">חוק הביטוח הלאומי [נוסח משולב], תשכ"ח-1968 (להלן - החוק), אני מתקין תקנות אלה: </w:t>
      </w:r>
    </w:p>
    <w:p w:rsidR="00590925" w:rsidRDefault="00590925">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5.8pt;z-index:251653120" o:allowincell="f" filled="f" stroked="f" strokecolor="lime" strokeweight=".25pt">
            <v:textbox inset="0,0,0,0">
              <w:txbxContent>
                <w:p w:rsidR="00590925" w:rsidRDefault="0059092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 </w:t>
      </w:r>
    </w:p>
    <w:p w:rsidR="00590925" w:rsidRDefault="005909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עיגול לשקלים חדשים" - עיגול לשקלים חדש</w:t>
      </w:r>
      <w:r w:rsidR="00486B49">
        <w:rPr>
          <w:rStyle w:val="default"/>
          <w:rFonts w:cs="FrankRuehl" w:hint="cs"/>
          <w:rtl/>
        </w:rPr>
        <w:t>ים שלמים, כך שסכום שהוא פחות מ-</w:t>
      </w:r>
      <w:r>
        <w:rPr>
          <w:rStyle w:val="default"/>
          <w:rFonts w:cs="FrankRuehl" w:hint="cs"/>
          <w:rtl/>
        </w:rPr>
        <w:t>50 אגורות לא יובא בחשבון וסכום שהוא 50 אגורות או יותר אך פ</w:t>
      </w:r>
      <w:r>
        <w:rPr>
          <w:rStyle w:val="default"/>
          <w:rFonts w:cs="FrankRuehl"/>
          <w:rtl/>
        </w:rPr>
        <w:t>ח</w:t>
      </w:r>
      <w:r w:rsidR="00486B49">
        <w:rPr>
          <w:rStyle w:val="default"/>
          <w:rFonts w:cs="FrankRuehl" w:hint="cs"/>
          <w:rtl/>
        </w:rPr>
        <w:t>ות מ-</w:t>
      </w:r>
      <w:r>
        <w:rPr>
          <w:rStyle w:val="default"/>
          <w:rFonts w:cs="FrankRuehl" w:hint="cs"/>
          <w:rtl/>
        </w:rPr>
        <w:t>100 אגורות ייחשב כשקל חדש אחד;</w:t>
      </w:r>
    </w:p>
    <w:p w:rsidR="00590925" w:rsidRDefault="005909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בדבר מקרים מיוחדים" - תקנות הביטוח הלאומי (הוראות מיוחדו</w:t>
      </w:r>
      <w:r w:rsidR="00486B49">
        <w:rPr>
          <w:rStyle w:val="default"/>
          <w:rFonts w:cs="FrankRuehl" w:hint="cs"/>
          <w:rtl/>
        </w:rPr>
        <w:t>ת בדבר תשלום דמי ביטוח), תשל"א-</w:t>
      </w:r>
      <w:r>
        <w:rPr>
          <w:rStyle w:val="default"/>
          <w:rFonts w:cs="FrankRuehl" w:hint="cs"/>
          <w:rtl/>
        </w:rPr>
        <w:t>1971;</w:t>
      </w:r>
    </w:p>
    <w:p w:rsidR="00590925" w:rsidRDefault="00590925" w:rsidP="00486B4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הפטור" - תקנות הביטוח הלאומי (תשלום ופטור מתשלום דמי ביטוח), תשמ"א-1981;</w:t>
      </w:r>
    </w:p>
    <w:p w:rsidR="00590925" w:rsidRDefault="005909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הגביה" - תקנות הביטוח הלאו</w:t>
      </w:r>
      <w:r>
        <w:rPr>
          <w:rStyle w:val="default"/>
          <w:rFonts w:cs="FrankRuehl"/>
          <w:rtl/>
        </w:rPr>
        <w:t>מ</w:t>
      </w:r>
      <w:r>
        <w:rPr>
          <w:rStyle w:val="default"/>
          <w:rFonts w:cs="FrankRuehl" w:hint="cs"/>
          <w:rtl/>
        </w:rPr>
        <w:t xml:space="preserve">י (גביית </w:t>
      </w:r>
      <w:r w:rsidR="00486B49">
        <w:rPr>
          <w:rStyle w:val="default"/>
          <w:rFonts w:cs="FrankRuehl" w:hint="cs"/>
          <w:rtl/>
        </w:rPr>
        <w:t>דמי ביטוח), תשי"ד-1954.</w:t>
      </w:r>
    </w:p>
    <w:p w:rsidR="00590925" w:rsidRDefault="00590925">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3.1pt;z-index:251654144" o:allowincell="f" filled="f" stroked="f" strokecolor="lime" strokeweight=".25pt">
            <v:textbox inset="0,0,0,0">
              <w:txbxContent>
                <w:p w:rsidR="00590925" w:rsidRDefault="00590925" w:rsidP="00486B49">
                  <w:pPr>
                    <w:spacing w:line="160" w:lineRule="exact"/>
                    <w:jc w:val="left"/>
                    <w:rPr>
                      <w:rFonts w:cs="Miriam"/>
                      <w:noProof/>
                      <w:szCs w:val="18"/>
                      <w:rtl/>
                    </w:rPr>
                  </w:pPr>
                  <w:r>
                    <w:rPr>
                      <w:rFonts w:cs="Miriam"/>
                      <w:szCs w:val="18"/>
                      <w:rtl/>
                    </w:rPr>
                    <w:t>ע</w:t>
                  </w:r>
                  <w:r>
                    <w:rPr>
                      <w:rFonts w:cs="Miriam" w:hint="cs"/>
                      <w:szCs w:val="18"/>
                      <w:rtl/>
                    </w:rPr>
                    <w:t>יגול גימלה</w:t>
                  </w:r>
                  <w:r w:rsidR="00486B49">
                    <w:rPr>
                      <w:rFonts w:cs="Miriam" w:hint="cs"/>
                      <w:szCs w:val="18"/>
                      <w:rtl/>
                    </w:rPr>
                    <w:t xml:space="preserve"> </w:t>
                  </w:r>
                  <w:r>
                    <w:rPr>
                      <w:rFonts w:cs="Miriam"/>
                      <w:szCs w:val="18"/>
                      <w:rtl/>
                    </w:rPr>
                    <w:t>י</w:t>
                  </w:r>
                  <w:r>
                    <w:rPr>
                      <w:rFonts w:cs="Miriam" w:hint="cs"/>
                      <w:szCs w:val="18"/>
                      <w:rtl/>
                    </w:rPr>
                    <w:t>ומית ותשלום</w:t>
                  </w:r>
                  <w:r w:rsidR="00486B49">
                    <w:rPr>
                      <w:rFonts w:cs="Miriam" w:hint="cs"/>
                      <w:noProof/>
                      <w:szCs w:val="18"/>
                      <w:rtl/>
                    </w:rPr>
                    <w:t xml:space="preserve"> </w:t>
                  </w:r>
                  <w:r>
                    <w:rPr>
                      <w:rFonts w:cs="Miriam"/>
                      <w:szCs w:val="18"/>
                      <w:rtl/>
                    </w:rPr>
                    <w:t>י</w:t>
                  </w:r>
                  <w:r>
                    <w:rPr>
                      <w:rFonts w:cs="Miriam" w:hint="cs"/>
                      <w:szCs w:val="18"/>
                      <w:rtl/>
                    </w:rPr>
                    <w:t>ומי אחר</w:t>
                  </w:r>
                </w:p>
              </w:txbxContent>
            </v:textbox>
            <w10:anchorlock/>
          </v:rect>
        </w:pict>
      </w:r>
      <w:r>
        <w:rPr>
          <w:rStyle w:val="big-number"/>
          <w:rFonts w:cs="Miriam"/>
          <w:rtl/>
        </w:rPr>
        <w:t>2.</w:t>
      </w:r>
      <w:r>
        <w:rPr>
          <w:rStyle w:val="big-number"/>
          <w:rFonts w:cs="Miriam"/>
          <w:rtl/>
        </w:rPr>
        <w:tab/>
      </w:r>
      <w:r>
        <w:rPr>
          <w:rStyle w:val="default"/>
          <w:rFonts w:cs="FrankRuehl"/>
          <w:rtl/>
        </w:rPr>
        <w:t>ג</w:t>
      </w:r>
      <w:r>
        <w:rPr>
          <w:rStyle w:val="default"/>
          <w:rFonts w:cs="FrankRuehl" w:hint="cs"/>
          <w:rtl/>
        </w:rPr>
        <w:t xml:space="preserve">ימלה ליום המחושבת לפי החוק על בסיס הכנסה וכל תשלום שהמוסד משלם לפי כל דין אחר המחושב ליום על בסיס הכנסה, יעוגלו כך שסכום המסתיים בשבר של אגורה, ייראה השבר שהוא חצי אגורה או יותר </w:t>
      </w:r>
      <w:r>
        <w:rPr>
          <w:rStyle w:val="default"/>
          <w:rFonts w:cs="FrankRuehl"/>
          <w:rtl/>
        </w:rPr>
        <w:t xml:space="preserve">- </w:t>
      </w:r>
      <w:r>
        <w:rPr>
          <w:rStyle w:val="default"/>
          <w:rFonts w:cs="FrankRuehl" w:hint="cs"/>
          <w:rtl/>
        </w:rPr>
        <w:t xml:space="preserve">כאגורה שלמה, ושבר שהוא פחות מחצי אגורה - כבטל. </w:t>
      </w:r>
    </w:p>
    <w:p w:rsidR="00590925" w:rsidRDefault="00590925" w:rsidP="00486B49">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30pt;z-index:251655168" o:allowincell="f" filled="f" stroked="f" strokecolor="lime" strokeweight=".25pt">
            <v:textbox inset="0,0,0,0">
              <w:txbxContent>
                <w:p w:rsidR="00590925" w:rsidRDefault="00590925" w:rsidP="00486B49">
                  <w:pPr>
                    <w:spacing w:line="160" w:lineRule="exact"/>
                    <w:jc w:val="left"/>
                    <w:rPr>
                      <w:rFonts w:cs="Miriam"/>
                      <w:noProof/>
                      <w:szCs w:val="18"/>
                      <w:rtl/>
                    </w:rPr>
                  </w:pPr>
                  <w:r>
                    <w:rPr>
                      <w:rFonts w:cs="Miriam"/>
                      <w:szCs w:val="18"/>
                      <w:rtl/>
                    </w:rPr>
                    <w:t>ע</w:t>
                  </w:r>
                  <w:r>
                    <w:rPr>
                      <w:rFonts w:cs="Miriam" w:hint="cs"/>
                      <w:szCs w:val="18"/>
                      <w:rtl/>
                    </w:rPr>
                    <w:t>יגול גימלה</w:t>
                  </w:r>
                  <w:r w:rsidR="00486B49">
                    <w:rPr>
                      <w:rFonts w:cs="Miriam" w:hint="cs"/>
                      <w:szCs w:val="18"/>
                      <w:rtl/>
                    </w:rPr>
                    <w:t xml:space="preserve"> </w:t>
                  </w:r>
                  <w:r>
                    <w:rPr>
                      <w:rFonts w:cs="Miriam"/>
                      <w:szCs w:val="18"/>
                      <w:rtl/>
                    </w:rPr>
                    <w:t>ו</w:t>
                  </w:r>
                  <w:r>
                    <w:rPr>
                      <w:rFonts w:cs="Miriam" w:hint="cs"/>
                      <w:szCs w:val="18"/>
                      <w:rtl/>
                    </w:rPr>
                    <w:t>תשלום אחר</w:t>
                  </w:r>
                </w:p>
              </w:txbxContent>
            </v:textbox>
            <w10:anchorlock/>
          </v:rect>
        </w:pict>
      </w:r>
      <w:r>
        <w:rPr>
          <w:rStyle w:val="big-number"/>
          <w:rFonts w:cs="Miriam"/>
          <w:rtl/>
        </w:rPr>
        <w:t>3.</w:t>
      </w:r>
      <w:r>
        <w:rPr>
          <w:rStyle w:val="big-number"/>
          <w:rFonts w:cs="Miriam"/>
          <w:rtl/>
        </w:rPr>
        <w:tab/>
      </w:r>
      <w:r>
        <w:rPr>
          <w:rStyle w:val="default"/>
          <w:rFonts w:cs="FrankRuehl"/>
          <w:rtl/>
        </w:rPr>
        <w:t>ג</w:t>
      </w:r>
      <w:r>
        <w:rPr>
          <w:rStyle w:val="default"/>
          <w:rFonts w:cs="FrankRuehl" w:hint="cs"/>
          <w:rtl/>
        </w:rPr>
        <w:t>ימלת כסף - למעט גימלה לפי פרק ו3 לחוק ולרבות מקדמה לפי סעיף 134א לחוק, קיצבת ילדים בעד כל ילד ומענק בעד כל ילד לפי חוק החיילים המשוחררים (החזרה לעבודה), תש"ט-1949, תוספת קיצב</w:t>
      </w:r>
      <w:r>
        <w:rPr>
          <w:rStyle w:val="default"/>
          <w:rFonts w:cs="FrankRuehl"/>
          <w:rtl/>
        </w:rPr>
        <w:t>ה</w:t>
      </w:r>
      <w:r>
        <w:rPr>
          <w:rStyle w:val="default"/>
          <w:rFonts w:cs="FrankRuehl" w:hint="cs"/>
          <w:rtl/>
        </w:rPr>
        <w:t xml:space="preserve"> בעד תלויים המשולמת לפי החוק, וכל תשלום שהמוסד משלם לפי כל דין אחר, יעוגלו לשקלים חדשים. </w:t>
      </w:r>
    </w:p>
    <w:p w:rsidR="00590925" w:rsidRDefault="00590925">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24.65pt;z-index:251656192" o:allowincell="f" filled="f" stroked="f" strokecolor="lime" strokeweight=".25pt">
            <v:textbox inset="0,0,0,0">
              <w:txbxContent>
                <w:p w:rsidR="00590925" w:rsidRDefault="00590925" w:rsidP="00486B49">
                  <w:pPr>
                    <w:spacing w:line="160" w:lineRule="exact"/>
                    <w:jc w:val="left"/>
                    <w:rPr>
                      <w:rFonts w:cs="Miriam"/>
                      <w:noProof/>
                      <w:szCs w:val="18"/>
                      <w:rtl/>
                    </w:rPr>
                  </w:pPr>
                  <w:r>
                    <w:rPr>
                      <w:rFonts w:cs="Miriam"/>
                      <w:szCs w:val="18"/>
                      <w:rtl/>
                    </w:rPr>
                    <w:t>ע</w:t>
                  </w:r>
                  <w:r>
                    <w:rPr>
                      <w:rFonts w:cs="Miriam" w:hint="cs"/>
                      <w:szCs w:val="18"/>
                      <w:rtl/>
                    </w:rPr>
                    <w:t>יגול סכום</w:t>
                  </w:r>
                  <w:r w:rsidR="00486B49">
                    <w:rPr>
                      <w:rFonts w:cs="Miriam" w:hint="cs"/>
                      <w:szCs w:val="18"/>
                      <w:rtl/>
                    </w:rPr>
                    <w:t xml:space="preserve"> </w:t>
                  </w:r>
                  <w:r>
                    <w:rPr>
                      <w:rFonts w:cs="Miriam"/>
                      <w:szCs w:val="18"/>
                      <w:rtl/>
                    </w:rPr>
                    <w:t>ל</w:t>
                  </w:r>
                  <w:r>
                    <w:rPr>
                      <w:rFonts w:cs="Miriam" w:hint="cs"/>
                      <w:szCs w:val="18"/>
                      <w:rtl/>
                    </w:rPr>
                    <w:t>צורך גימלה</w:t>
                  </w:r>
                  <w:r w:rsidR="00486B49">
                    <w:rPr>
                      <w:rFonts w:cs="Miriam" w:hint="cs"/>
                      <w:noProof/>
                      <w:szCs w:val="18"/>
                      <w:rtl/>
                    </w:rPr>
                    <w:t xml:space="preserve"> </w:t>
                  </w:r>
                  <w:r>
                    <w:rPr>
                      <w:rFonts w:cs="Miriam"/>
                      <w:szCs w:val="18"/>
                      <w:rtl/>
                    </w:rPr>
                    <w:t>ו</w:t>
                  </w:r>
                  <w:r>
                    <w:rPr>
                      <w:rFonts w:cs="Miriam" w:hint="cs"/>
                      <w:szCs w:val="18"/>
                      <w:rtl/>
                    </w:rPr>
                    <w:t>סכום אחר</w:t>
                  </w:r>
                </w:p>
              </w:txbxContent>
            </v:textbox>
            <w10:anchorlock/>
          </v:rect>
        </w:pict>
      </w:r>
      <w:r>
        <w:rPr>
          <w:rStyle w:val="big-number"/>
          <w:rFonts w:cs="Miriam"/>
          <w:rtl/>
        </w:rPr>
        <w:t>4.</w:t>
      </w:r>
      <w:r>
        <w:rPr>
          <w:rStyle w:val="big-number"/>
          <w:rFonts w:cs="Miriam"/>
          <w:rtl/>
        </w:rPr>
        <w:tab/>
      </w:r>
      <w:r>
        <w:rPr>
          <w:rStyle w:val="default"/>
          <w:rFonts w:cs="FrankRuehl"/>
          <w:rtl/>
        </w:rPr>
        <w:t>ס</w:t>
      </w:r>
      <w:r>
        <w:rPr>
          <w:rStyle w:val="default"/>
          <w:rFonts w:cs="FrankRuehl" w:hint="cs"/>
          <w:rtl/>
        </w:rPr>
        <w:t>כום הכנסה חדשית המשמש בסיס לחישוב גימלה וסכום המחושב על פי החוק או על פי דין אחר והמשמש לענין קביעת זכאות לתשלום הסכומים האמ</w:t>
      </w:r>
      <w:r>
        <w:rPr>
          <w:rStyle w:val="default"/>
          <w:rFonts w:cs="FrankRuehl"/>
          <w:rtl/>
        </w:rPr>
        <w:t>ו</w:t>
      </w:r>
      <w:r w:rsidR="00486B49">
        <w:rPr>
          <w:rStyle w:val="default"/>
          <w:rFonts w:cs="FrankRuehl" w:hint="cs"/>
          <w:rtl/>
        </w:rPr>
        <w:t>רים בתקנות 1 ו-</w:t>
      </w:r>
      <w:r>
        <w:rPr>
          <w:rStyle w:val="default"/>
          <w:rFonts w:cs="FrankRuehl" w:hint="cs"/>
          <w:rtl/>
        </w:rPr>
        <w:t xml:space="preserve">2, או לקביעת שיעורם של אלה, יעוגלו לשקלים חדשים. </w:t>
      </w:r>
    </w:p>
    <w:p w:rsidR="00590925" w:rsidRDefault="00590925" w:rsidP="00486B49">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7.9pt;z-index:251657216" o:allowincell="f" filled="f" stroked="f" strokecolor="lime" strokeweight=".25pt">
            <v:textbox inset="0,0,0,0">
              <w:txbxContent>
                <w:p w:rsidR="00590925" w:rsidRDefault="00590925" w:rsidP="00486B49">
                  <w:pPr>
                    <w:spacing w:line="160" w:lineRule="exact"/>
                    <w:jc w:val="left"/>
                    <w:rPr>
                      <w:rFonts w:cs="Miriam"/>
                      <w:noProof/>
                      <w:szCs w:val="18"/>
                      <w:rtl/>
                    </w:rPr>
                  </w:pPr>
                  <w:r>
                    <w:rPr>
                      <w:rFonts w:cs="Miriam"/>
                      <w:szCs w:val="18"/>
                      <w:rtl/>
                    </w:rPr>
                    <w:t>ע</w:t>
                  </w:r>
                  <w:r>
                    <w:rPr>
                      <w:rFonts w:cs="Miriam" w:hint="cs"/>
                      <w:szCs w:val="18"/>
                      <w:rtl/>
                    </w:rPr>
                    <w:t>יגול חיוב</w:t>
                  </w:r>
                  <w:r w:rsidR="00486B49">
                    <w:rPr>
                      <w:rFonts w:cs="Miriam" w:hint="cs"/>
                      <w:szCs w:val="18"/>
                      <w:rtl/>
                    </w:rPr>
                    <w:t xml:space="preserve"> </w:t>
                  </w:r>
                  <w:r>
                    <w:rPr>
                      <w:rFonts w:cs="Miriam"/>
                      <w:szCs w:val="18"/>
                      <w:rtl/>
                    </w:rPr>
                    <w:t>ב</w:t>
                  </w:r>
                  <w:r>
                    <w:rPr>
                      <w:rFonts w:cs="Miriam" w:hint="cs"/>
                      <w:szCs w:val="18"/>
                      <w:rtl/>
                    </w:rPr>
                    <w:t>מזונות</w:t>
                  </w:r>
                </w:p>
              </w:txbxContent>
            </v:textbox>
            <w10:anchorlock/>
          </v:rect>
        </w:pict>
      </w:r>
      <w:r>
        <w:rPr>
          <w:rStyle w:val="big-number"/>
          <w:rFonts w:cs="Miriam"/>
          <w:rtl/>
        </w:rPr>
        <w:t>5.</w:t>
      </w:r>
      <w:r>
        <w:rPr>
          <w:rStyle w:val="big-number"/>
          <w:rFonts w:cs="Miriam"/>
          <w:rtl/>
        </w:rPr>
        <w:tab/>
      </w:r>
      <w:r>
        <w:rPr>
          <w:rStyle w:val="default"/>
          <w:rFonts w:cs="FrankRuehl"/>
          <w:rtl/>
        </w:rPr>
        <w:t>ס</w:t>
      </w:r>
      <w:r>
        <w:rPr>
          <w:rStyle w:val="default"/>
          <w:rFonts w:cs="FrankRuehl" w:hint="cs"/>
          <w:rtl/>
        </w:rPr>
        <w:t>כומים שהמוסד גו</w:t>
      </w:r>
      <w:r>
        <w:rPr>
          <w:rStyle w:val="default"/>
          <w:rFonts w:cs="FrankRuehl"/>
          <w:rtl/>
        </w:rPr>
        <w:t>ב</w:t>
      </w:r>
      <w:r>
        <w:rPr>
          <w:rStyle w:val="default"/>
          <w:rFonts w:cs="FrankRuehl" w:hint="cs"/>
          <w:rtl/>
        </w:rPr>
        <w:t xml:space="preserve">ה מחייב במזונות לפי סעיף 14 לחוק המזונות (הבטחת תשלום), תשל"ב-1972, יעוגלו לשקלים חדשים. </w:t>
      </w:r>
    </w:p>
    <w:p w:rsidR="00590925" w:rsidRDefault="00590925">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35.4pt;z-index:251658240" o:allowincell="f" filled="f" stroked="f" strokecolor="lime" strokeweight=".25pt">
            <v:textbox inset="0,0,0,0">
              <w:txbxContent>
                <w:p w:rsidR="00590925" w:rsidRDefault="00590925" w:rsidP="00486B49">
                  <w:pPr>
                    <w:spacing w:line="160" w:lineRule="exact"/>
                    <w:jc w:val="left"/>
                    <w:rPr>
                      <w:rFonts w:cs="Miriam"/>
                      <w:noProof/>
                      <w:szCs w:val="18"/>
                      <w:rtl/>
                    </w:rPr>
                  </w:pPr>
                  <w:r>
                    <w:rPr>
                      <w:rFonts w:cs="Miriam"/>
                      <w:szCs w:val="18"/>
                      <w:rtl/>
                    </w:rPr>
                    <w:t>ע</w:t>
                  </w:r>
                  <w:r>
                    <w:rPr>
                      <w:rFonts w:cs="Miriam" w:hint="cs"/>
                      <w:szCs w:val="18"/>
                      <w:rtl/>
                    </w:rPr>
                    <w:t>יגול סכומים</w:t>
                  </w:r>
                  <w:r w:rsidR="00486B49">
                    <w:rPr>
                      <w:rFonts w:cs="Miriam" w:hint="cs"/>
                      <w:szCs w:val="18"/>
                      <w:rtl/>
                    </w:rPr>
                    <w:t xml:space="preserve"> </w:t>
                  </w:r>
                  <w:r>
                    <w:rPr>
                      <w:rFonts w:cs="Miriam"/>
                      <w:szCs w:val="18"/>
                      <w:rtl/>
                    </w:rPr>
                    <w:t>ה</w:t>
                  </w:r>
                  <w:r>
                    <w:rPr>
                      <w:rFonts w:cs="Miriam" w:hint="cs"/>
                      <w:szCs w:val="18"/>
                      <w:rtl/>
                    </w:rPr>
                    <w:t>משמשים לחיוב</w:t>
                  </w:r>
                  <w:r w:rsidR="00486B49">
                    <w:rPr>
                      <w:rFonts w:cs="Miriam" w:hint="cs"/>
                      <w:szCs w:val="18"/>
                      <w:rtl/>
                    </w:rPr>
                    <w:t xml:space="preserve"> </w:t>
                  </w:r>
                  <w:r>
                    <w:rPr>
                      <w:rFonts w:cs="Miriam"/>
                      <w:szCs w:val="18"/>
                      <w:rtl/>
                    </w:rPr>
                    <w:t>ב</w:t>
                  </w:r>
                  <w:r>
                    <w:rPr>
                      <w:rFonts w:cs="Miriam" w:hint="cs"/>
                      <w:szCs w:val="18"/>
                      <w:rtl/>
                    </w:rPr>
                    <w:t>דמי ביטוח</w:t>
                  </w:r>
                  <w:r w:rsidR="00486B49">
                    <w:rPr>
                      <w:rFonts w:cs="Miriam" w:hint="cs"/>
                      <w:szCs w:val="18"/>
                      <w:rtl/>
                    </w:rPr>
                    <w:t xml:space="preserve"> </w:t>
                  </w:r>
                  <w:r>
                    <w:rPr>
                      <w:rFonts w:cs="Miriam"/>
                      <w:szCs w:val="18"/>
                      <w:rtl/>
                    </w:rPr>
                    <w:t>ו</w:t>
                  </w:r>
                  <w:r>
                    <w:rPr>
                      <w:rFonts w:cs="Miriam" w:hint="cs"/>
                      <w:szCs w:val="18"/>
                      <w:rtl/>
                    </w:rPr>
                    <w:t>לחיוב אחר</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סכום הכנסה המחושב לצורך גביית מקדמה בדמי ביטוח או לצורך גביית מקדמה בחיוב אחר שהמוסד גובה לפי כל דין אחר</w:t>
      </w:r>
      <w:r>
        <w:rPr>
          <w:rStyle w:val="default"/>
          <w:rFonts w:cs="FrankRuehl"/>
          <w:rtl/>
        </w:rPr>
        <w:t xml:space="preserve">, </w:t>
      </w:r>
      <w:r>
        <w:rPr>
          <w:rStyle w:val="default"/>
          <w:rFonts w:cs="FrankRuehl" w:hint="cs"/>
          <w:rtl/>
        </w:rPr>
        <w:t xml:space="preserve">סכום המחושב לפי סעיף 181(ה) לחוק, ההכנסה האמורה בלוח א' לחוק, סכום שכר המשמש בסיס לתשלום דמי ביטוח לפי תקנה 8 לתקנות בדבר מקרים מיוחדים, וסכום המתקבל לפי תקנה 2א(א) או (ב) לתקנות הפטור, יעוגלו לשקלים חדשים. </w:t>
      </w:r>
    </w:p>
    <w:p w:rsidR="00590925" w:rsidRDefault="005909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דמי ביטוח, לרבות כל סכום המשולם כמקדמה בח</w:t>
      </w:r>
      <w:r>
        <w:rPr>
          <w:rStyle w:val="default"/>
          <w:rFonts w:cs="FrankRuehl"/>
          <w:rtl/>
        </w:rPr>
        <w:t>י</w:t>
      </w:r>
      <w:r>
        <w:rPr>
          <w:rStyle w:val="default"/>
          <w:rFonts w:cs="FrankRuehl" w:hint="cs"/>
          <w:rtl/>
        </w:rPr>
        <w:t xml:space="preserve">וב בדמי ביטוח או כמקדמה בחיוב לפי כל דין אחר, מנה של מקדמה רבעונית והסכום הכולל של דמי ביטוח שמעביד מנכה משכרם של עובדיו לפי סעיף 161(ג) לחוק יעוגלו לשקלים חדשים. </w:t>
      </w:r>
    </w:p>
    <w:p w:rsidR="00590925" w:rsidRDefault="00590925">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2.3pt;z-index:251659264" o:allowincell="f" filled="f" stroked="f" strokecolor="lime" strokeweight=".25pt">
            <v:textbox inset="0,0,0,0">
              <w:txbxContent>
                <w:p w:rsidR="00590925" w:rsidRDefault="00590925" w:rsidP="00486B49">
                  <w:pPr>
                    <w:spacing w:line="160" w:lineRule="exact"/>
                    <w:jc w:val="left"/>
                    <w:rPr>
                      <w:rFonts w:cs="Miriam"/>
                      <w:noProof/>
                      <w:szCs w:val="18"/>
                      <w:rtl/>
                    </w:rPr>
                  </w:pPr>
                  <w:r>
                    <w:rPr>
                      <w:rFonts w:cs="Miriam"/>
                      <w:szCs w:val="18"/>
                      <w:rtl/>
                    </w:rPr>
                    <w:t>ע</w:t>
                  </w:r>
                  <w:r>
                    <w:rPr>
                      <w:rFonts w:cs="Miriam" w:hint="cs"/>
                      <w:szCs w:val="18"/>
                      <w:rtl/>
                    </w:rPr>
                    <w:t>יגול תוספת</w:t>
                  </w:r>
                  <w:r w:rsidR="00486B49">
                    <w:rPr>
                      <w:rFonts w:cs="Miriam" w:hint="cs"/>
                      <w:szCs w:val="18"/>
                      <w:rtl/>
                    </w:rPr>
                    <w:t xml:space="preserve"> </w:t>
                  </w:r>
                  <w:r>
                    <w:rPr>
                      <w:rFonts w:cs="Miriam"/>
                      <w:szCs w:val="18"/>
                      <w:rtl/>
                    </w:rPr>
                    <w:t>ו</w:t>
                  </w:r>
                  <w:r>
                    <w:rPr>
                      <w:rFonts w:cs="Miriam" w:hint="cs"/>
                      <w:szCs w:val="18"/>
                      <w:rtl/>
                    </w:rPr>
                    <w:t>החזר</w:t>
                  </w:r>
                </w:p>
              </w:txbxContent>
            </v:textbox>
            <w10:anchorlock/>
          </v:rect>
        </w:pict>
      </w:r>
      <w:r>
        <w:rPr>
          <w:rStyle w:val="big-number"/>
          <w:rFonts w:cs="Miriam"/>
          <w:rtl/>
        </w:rPr>
        <w:t>7.</w:t>
      </w:r>
      <w:r>
        <w:rPr>
          <w:rStyle w:val="big-number"/>
          <w:rFonts w:cs="Miriam"/>
          <w:rtl/>
        </w:rPr>
        <w:tab/>
      </w:r>
      <w:r>
        <w:rPr>
          <w:rStyle w:val="default"/>
          <w:rFonts w:cs="FrankRuehl"/>
          <w:rtl/>
        </w:rPr>
        <w:t>ס</w:t>
      </w:r>
      <w:r>
        <w:rPr>
          <w:rStyle w:val="default"/>
          <w:rFonts w:cs="FrankRuehl" w:hint="cs"/>
          <w:rtl/>
        </w:rPr>
        <w:t>ך סכום של תוספת וקנס שחושבו לפי סעיף 179 לחוק ותשלום יתר ותוספת ש</w:t>
      </w:r>
      <w:r>
        <w:rPr>
          <w:rStyle w:val="default"/>
          <w:rFonts w:cs="FrankRuehl"/>
          <w:rtl/>
        </w:rPr>
        <w:t>ח</w:t>
      </w:r>
      <w:r>
        <w:rPr>
          <w:rStyle w:val="default"/>
          <w:rFonts w:cs="FrankRuehl" w:hint="cs"/>
          <w:rtl/>
        </w:rPr>
        <w:t xml:space="preserve">ושבו לפי סעיף 178 לחוק המסתיימים בסכום שהוא פחות משקל חדש אחד, יעוגלו כלפי מטה לשקל החדש הקרוב. </w:t>
      </w:r>
    </w:p>
    <w:p w:rsidR="00590925" w:rsidRDefault="00590925">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20pt;z-index:251660288" o:allowincell="f" filled="f" stroked="f" strokecolor="lime" strokeweight=".25pt">
            <v:textbox inset="0,0,0,0">
              <w:txbxContent>
                <w:p w:rsidR="00590925" w:rsidRDefault="00590925">
                  <w:pPr>
                    <w:spacing w:line="160" w:lineRule="exact"/>
                    <w:jc w:val="left"/>
                    <w:rPr>
                      <w:rFonts w:cs="Miriam"/>
                      <w:noProof/>
                      <w:szCs w:val="18"/>
                      <w:rtl/>
                    </w:rPr>
                  </w:pPr>
                  <w:r>
                    <w:rPr>
                      <w:rFonts w:cs="Miriam"/>
                      <w:szCs w:val="18"/>
                      <w:rtl/>
                    </w:rPr>
                    <w:t>ב</w:t>
                  </w:r>
                  <w:r>
                    <w:rPr>
                      <w:rFonts w:cs="Miriam" w:hint="cs"/>
                      <w:szCs w:val="18"/>
                      <w:rtl/>
                    </w:rPr>
                    <w:t>יטול תקנות</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 xml:space="preserve">טלות - </w:t>
      </w:r>
    </w:p>
    <w:p w:rsidR="00590925" w:rsidRDefault="00590925" w:rsidP="00486B4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הביטוח הלאומי (כללים לעיגול גמלאות, הכנסה שנתית ודמי ביטוח), תשמ"ה-1985;</w:t>
      </w:r>
    </w:p>
    <w:p w:rsidR="00590925" w:rsidRDefault="0059092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תקנת משנה (ד) בתקנה 8 לתקנות בדבר מקרים מי</w:t>
      </w:r>
      <w:r>
        <w:rPr>
          <w:rStyle w:val="default"/>
          <w:rFonts w:cs="FrankRuehl"/>
          <w:rtl/>
        </w:rPr>
        <w:t>ו</w:t>
      </w:r>
      <w:r>
        <w:rPr>
          <w:rStyle w:val="default"/>
          <w:rFonts w:cs="FrankRuehl" w:hint="cs"/>
          <w:rtl/>
        </w:rPr>
        <w:t>חדים;</w:t>
      </w:r>
    </w:p>
    <w:p w:rsidR="00590925" w:rsidRDefault="0059092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תקנת משנה (ג) בתקנה 2א לתקנות הפטור. </w:t>
      </w:r>
    </w:p>
    <w:p w:rsidR="00590925" w:rsidRDefault="00590925" w:rsidP="00486B49">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2.45pt;z-index:251661312" o:allowincell="f" filled="f" stroked="f" strokecolor="lime" strokeweight=".25pt">
            <v:textbox inset="0,0,0,0">
              <w:txbxContent>
                <w:p w:rsidR="00590925" w:rsidRDefault="00590925">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חוב בדמי ביטוח בשל הפרש דמי ביטוח לפי הוראות סעיף 164(ג)(1) או (ד) לחוק או לפי תקנה 5ב לתקנות הגבייה, לרבות קנס ותוספת לפי סעיף 179 לחוק, תשלום יתר ותוספת לפי </w:t>
      </w:r>
      <w:r>
        <w:rPr>
          <w:rStyle w:val="default"/>
          <w:rFonts w:cs="FrankRuehl" w:hint="cs"/>
          <w:rtl/>
        </w:rPr>
        <w:lastRenderedPageBreak/>
        <w:t>סעיף 178 לחוק או לפי סעיפ</w:t>
      </w:r>
      <w:r>
        <w:rPr>
          <w:rStyle w:val="default"/>
          <w:rFonts w:cs="FrankRuehl"/>
          <w:rtl/>
        </w:rPr>
        <w:t>י</w:t>
      </w:r>
      <w:r>
        <w:rPr>
          <w:rStyle w:val="default"/>
          <w:rFonts w:cs="FrankRuehl" w:hint="cs"/>
          <w:rtl/>
        </w:rPr>
        <w:t>ם 139 ו-140 לחוק, וחוב בשל מקדמה של גימלה, שביום תחילתן של תקנות אלה הסתיים בשבר של אגורה, ייראה שבר האגורה כבטל.</w:t>
      </w:r>
    </w:p>
    <w:p w:rsidR="00590925" w:rsidRDefault="005909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הכנסה המשמש בסיס לחישוב גימלה של נכה עבודה שנפגע בעבודה לפני 1 באפריל 1983, המסתיים בשבר של אגורה, ייראה השבר שהוא חצי אגורה או יו</w:t>
      </w:r>
      <w:r>
        <w:rPr>
          <w:rStyle w:val="default"/>
          <w:rFonts w:cs="FrankRuehl"/>
          <w:rtl/>
        </w:rPr>
        <w:t>ת</w:t>
      </w:r>
      <w:r>
        <w:rPr>
          <w:rStyle w:val="default"/>
          <w:rFonts w:cs="FrankRuehl" w:hint="cs"/>
          <w:rtl/>
        </w:rPr>
        <w:t xml:space="preserve">ר - כאגורה שלמה, ושבר שהוא פחות מחצי אגורה - כבטל. </w:t>
      </w:r>
    </w:p>
    <w:p w:rsidR="00590925" w:rsidRDefault="00590925">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5.2pt;z-index:251662336" o:allowincell="f" filled="f" stroked="f" strokecolor="lime" strokeweight=".25pt">
            <v:textbox inset="0,0,0,0">
              <w:txbxContent>
                <w:p w:rsidR="00590925" w:rsidRDefault="00590925">
                  <w:pPr>
                    <w:spacing w:line="160" w:lineRule="exact"/>
                    <w:jc w:val="left"/>
                    <w:rPr>
                      <w:rFonts w:cs="Miriam"/>
                      <w:noProof/>
                      <w:szCs w:val="18"/>
                      <w:rtl/>
                    </w:rPr>
                  </w:pPr>
                  <w:r>
                    <w:rPr>
                      <w:rFonts w:cs="Miriam"/>
                      <w:szCs w:val="18"/>
                      <w:rtl/>
                    </w:rPr>
                    <w:t>ת</w:t>
                  </w:r>
                  <w:r>
                    <w:rPr>
                      <w:rFonts w:cs="Miriam" w:hint="cs"/>
                      <w:szCs w:val="18"/>
                      <w:rtl/>
                    </w:rPr>
                    <w:t>חילה ותחולה</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 תקנות אלה ביום כ' בטבת תשמ"ו (1 בינואר 1986).</w:t>
      </w:r>
    </w:p>
    <w:p w:rsidR="00590925" w:rsidRDefault="0059092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אלה יחולו גם על סכום שהמוסד חייב לשלם לפי החוק ולפי כל דין אחר וגם על חוב שהמוסד גובה</w:t>
      </w:r>
      <w:r>
        <w:rPr>
          <w:rStyle w:val="default"/>
          <w:rFonts w:cs="FrankRuehl"/>
          <w:rtl/>
        </w:rPr>
        <w:t xml:space="preserve"> </w:t>
      </w:r>
      <w:r>
        <w:rPr>
          <w:rStyle w:val="default"/>
          <w:rFonts w:cs="FrankRuehl" w:hint="cs"/>
          <w:rtl/>
        </w:rPr>
        <w:t>לפי החוק ולפי כל דין אחר, שנוצרו לפני יום תחילתן של תקנות אלה והמשולמים לאחר יום תחילתן.</w:t>
      </w:r>
    </w:p>
    <w:p w:rsidR="00590925" w:rsidRDefault="00590925">
      <w:pPr>
        <w:pStyle w:val="P00"/>
        <w:spacing w:before="72"/>
        <w:ind w:left="0" w:right="1134"/>
        <w:rPr>
          <w:rStyle w:val="default"/>
          <w:rFonts w:cs="FrankRuehl" w:hint="cs"/>
          <w:rtl/>
        </w:rPr>
      </w:pPr>
    </w:p>
    <w:p w:rsidR="00486B49" w:rsidRDefault="00486B49">
      <w:pPr>
        <w:pStyle w:val="P00"/>
        <w:spacing w:before="72"/>
        <w:ind w:left="0" w:right="1134"/>
        <w:rPr>
          <w:rStyle w:val="default"/>
          <w:rFonts w:cs="FrankRuehl" w:hint="cs"/>
          <w:rtl/>
        </w:rPr>
      </w:pPr>
    </w:p>
    <w:p w:rsidR="00590925" w:rsidRDefault="00590925">
      <w:pPr>
        <w:pStyle w:val="sig-0"/>
        <w:ind w:left="0" w:right="1134"/>
        <w:rPr>
          <w:rtl/>
        </w:rPr>
      </w:pPr>
      <w:r>
        <w:rPr>
          <w:rtl/>
        </w:rPr>
        <w:t>כ</w:t>
      </w:r>
      <w:r>
        <w:rPr>
          <w:rFonts w:hint="cs"/>
          <w:rtl/>
        </w:rPr>
        <w:t>"ו בכסלו תשמ"ו (9 בדצמבר 1985)</w:t>
      </w:r>
      <w:r>
        <w:rPr>
          <w:rtl/>
        </w:rPr>
        <w:tab/>
      </w:r>
      <w:r>
        <w:rPr>
          <w:rFonts w:hint="cs"/>
          <w:rtl/>
        </w:rPr>
        <w:t>משה קצב</w:t>
      </w:r>
    </w:p>
    <w:p w:rsidR="00590925" w:rsidRDefault="00590925">
      <w:pPr>
        <w:pStyle w:val="sig-1"/>
        <w:widowControl/>
        <w:ind w:left="0" w:right="1134"/>
        <w:rPr>
          <w:rFonts w:hint="cs"/>
          <w:rtl/>
        </w:rPr>
      </w:pPr>
      <w:r>
        <w:rPr>
          <w:rtl/>
        </w:rPr>
        <w:tab/>
      </w:r>
      <w:r>
        <w:rPr>
          <w:rtl/>
        </w:rPr>
        <w:tab/>
      </w:r>
      <w:r>
        <w:rPr>
          <w:rtl/>
        </w:rPr>
        <w:tab/>
      </w:r>
      <w:r>
        <w:rPr>
          <w:rFonts w:hint="cs"/>
          <w:rtl/>
        </w:rPr>
        <w:t>שר העבודה והרווחה</w:t>
      </w:r>
    </w:p>
    <w:p w:rsidR="00486B49" w:rsidRPr="00486B49" w:rsidRDefault="00486B49" w:rsidP="00486B49">
      <w:pPr>
        <w:pStyle w:val="P00"/>
        <w:spacing w:before="72"/>
        <w:ind w:left="0" w:right="1134"/>
        <w:rPr>
          <w:rStyle w:val="default"/>
          <w:rFonts w:cs="FrankRuehl" w:hint="cs"/>
          <w:rtl/>
        </w:rPr>
      </w:pPr>
    </w:p>
    <w:p w:rsidR="00486B49" w:rsidRPr="00486B49" w:rsidRDefault="00486B49" w:rsidP="00486B49">
      <w:pPr>
        <w:pStyle w:val="P00"/>
        <w:spacing w:before="72"/>
        <w:ind w:left="0" w:right="1134"/>
        <w:rPr>
          <w:rStyle w:val="default"/>
          <w:rFonts w:cs="FrankRuehl"/>
          <w:rtl/>
        </w:rPr>
      </w:pPr>
    </w:p>
    <w:p w:rsidR="00590925" w:rsidRPr="00486B49" w:rsidRDefault="00590925" w:rsidP="00486B49">
      <w:pPr>
        <w:pStyle w:val="P00"/>
        <w:spacing w:before="72"/>
        <w:ind w:left="0" w:right="1134"/>
        <w:rPr>
          <w:rStyle w:val="default"/>
          <w:rFonts w:cs="FrankRuehl"/>
          <w:rtl/>
        </w:rPr>
      </w:pPr>
      <w:bookmarkStart w:id="10" w:name="LawPartEnd"/>
    </w:p>
    <w:bookmarkEnd w:id="10"/>
    <w:p w:rsidR="00590925" w:rsidRPr="00486B49" w:rsidRDefault="00590925" w:rsidP="00486B49">
      <w:pPr>
        <w:pStyle w:val="P00"/>
        <w:spacing w:before="72"/>
        <w:ind w:left="0" w:right="1134"/>
        <w:rPr>
          <w:rStyle w:val="default"/>
          <w:rFonts w:cs="FrankRuehl"/>
          <w:rtl/>
        </w:rPr>
      </w:pPr>
    </w:p>
    <w:sectPr w:rsidR="00590925" w:rsidRPr="00486B4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74A9" w:rsidRDefault="00A074A9">
      <w:r>
        <w:separator/>
      </w:r>
    </w:p>
  </w:endnote>
  <w:endnote w:type="continuationSeparator" w:id="0">
    <w:p w:rsidR="00A074A9" w:rsidRDefault="00A0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925" w:rsidRDefault="005909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90925" w:rsidRDefault="005909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90925" w:rsidRDefault="005909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2D9C">
      <w:rPr>
        <w:rFonts w:cs="TopType Jerushalmi"/>
        <w:noProof/>
        <w:color w:val="000000"/>
        <w:sz w:val="14"/>
        <w:szCs w:val="14"/>
      </w:rPr>
      <w:t>Z:\000000000000-law\yael\revadim\08-11-27\039_122.doc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925" w:rsidRDefault="005909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7DCC">
      <w:rPr>
        <w:rFonts w:hAnsi="FrankRuehl" w:cs="FrankRuehl"/>
        <w:noProof/>
        <w:sz w:val="24"/>
        <w:szCs w:val="24"/>
        <w:rtl/>
      </w:rPr>
      <w:t>2</w:t>
    </w:r>
    <w:r>
      <w:rPr>
        <w:rFonts w:hAnsi="FrankRuehl" w:cs="FrankRuehl"/>
        <w:sz w:val="24"/>
        <w:szCs w:val="24"/>
        <w:rtl/>
      </w:rPr>
      <w:fldChar w:fldCharType="end"/>
    </w:r>
  </w:p>
  <w:p w:rsidR="00590925" w:rsidRDefault="005909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90925" w:rsidRDefault="005909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62D9C">
      <w:rPr>
        <w:rFonts w:cs="TopType Jerushalmi"/>
        <w:noProof/>
        <w:color w:val="000000"/>
        <w:sz w:val="14"/>
        <w:szCs w:val="14"/>
      </w:rPr>
      <w:t>Z:\000000000000-law\yael\revadim\08-11-27\039_122.doc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74A9" w:rsidRDefault="00A074A9" w:rsidP="00486B49">
      <w:pPr>
        <w:spacing w:before="60" w:line="240" w:lineRule="auto"/>
        <w:ind w:right="1134"/>
      </w:pPr>
      <w:r>
        <w:separator/>
      </w:r>
    </w:p>
  </w:footnote>
  <w:footnote w:type="continuationSeparator" w:id="0">
    <w:p w:rsidR="00A074A9" w:rsidRDefault="00A074A9">
      <w:r>
        <w:continuationSeparator/>
      </w:r>
    </w:p>
  </w:footnote>
  <w:footnote w:id="1">
    <w:p w:rsidR="00486B49" w:rsidRPr="00486B49" w:rsidRDefault="00486B49" w:rsidP="00486B4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486B49">
        <w:rPr>
          <w:sz w:val="20"/>
          <w:rtl/>
        </w:rPr>
        <w:t xml:space="preserve">* </w:t>
      </w:r>
      <w:r>
        <w:rPr>
          <w:sz w:val="20"/>
          <w:rtl/>
        </w:rPr>
        <w:t>פ</w:t>
      </w:r>
      <w:r>
        <w:rPr>
          <w:rFonts w:hint="cs"/>
          <w:sz w:val="20"/>
          <w:rtl/>
        </w:rPr>
        <w:t xml:space="preserve">ורסמו </w:t>
      </w:r>
      <w:hyperlink r:id="rId1" w:history="1">
        <w:r w:rsidRPr="00073D81">
          <w:rPr>
            <w:rStyle w:val="Hyperlink"/>
            <w:rFonts w:hint="cs"/>
            <w:sz w:val="20"/>
            <w:rtl/>
          </w:rPr>
          <w:t>ק"ת תשמ"ו מס' 4888</w:t>
        </w:r>
      </w:hyperlink>
      <w:r>
        <w:rPr>
          <w:rFonts w:hint="cs"/>
          <w:sz w:val="20"/>
          <w:rtl/>
        </w:rPr>
        <w:t xml:space="preserve"> מיום 30.12.1985 עמ' 330.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925" w:rsidRDefault="005909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(כללים לעיגול סכומים), תשמ"ו- 1985</w:t>
    </w:r>
  </w:p>
  <w:p w:rsidR="00590925" w:rsidRDefault="005909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90925" w:rsidRDefault="0059092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925" w:rsidRDefault="00590925" w:rsidP="00486B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(כללים לעיגול סכומים), תשמ"ו-1985</w:t>
    </w:r>
  </w:p>
  <w:p w:rsidR="00590925" w:rsidRDefault="005909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90925" w:rsidRDefault="0059092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6AA9"/>
    <w:rsid w:val="00073D81"/>
    <w:rsid w:val="00162D9C"/>
    <w:rsid w:val="001C47C2"/>
    <w:rsid w:val="002D7DCC"/>
    <w:rsid w:val="003C5158"/>
    <w:rsid w:val="00486B49"/>
    <w:rsid w:val="0051205D"/>
    <w:rsid w:val="00590925"/>
    <w:rsid w:val="00A074A9"/>
    <w:rsid w:val="00C21CE0"/>
    <w:rsid w:val="00D16AA9"/>
    <w:rsid w:val="00DE5E18"/>
    <w:rsid w:val="00F937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AB0B720-EAE1-4391-86B3-C9043E49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86B49"/>
    <w:rPr>
      <w:sz w:val="20"/>
      <w:szCs w:val="20"/>
    </w:rPr>
  </w:style>
  <w:style w:type="character" w:styleId="a6">
    <w:name w:val="footnote reference"/>
    <w:basedOn w:val="a0"/>
    <w:semiHidden/>
    <w:rsid w:val="00486B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8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4288</CharactersWithSpaces>
  <SharedDoc>false</SharedDoc>
  <HLinks>
    <vt:vector size="66" baseType="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7667720</vt:i4>
      </vt:variant>
      <vt:variant>
        <vt:i4>0</vt:i4>
      </vt:variant>
      <vt:variant>
        <vt:i4>0</vt:i4>
      </vt:variant>
      <vt:variant>
        <vt:i4>5</vt:i4>
      </vt:variant>
      <vt:variant>
        <vt:lpwstr>http://www.nevo.co.il/Law_word/law06/TAK-4888.pdf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comp99</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(כללים לעיגול סכומים), תשמ"ו-1985</vt:lpwstr>
  </property>
  <property fmtid="{D5CDD505-2E9C-101B-9397-08002B2CF9AE}" pid="5" name="LAWNUMBER">
    <vt:lpwstr>0122</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195X;242X</vt:lpwstr>
  </property>
</Properties>
</file>