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01F8" w14:textId="77777777" w:rsidR="00890A37" w:rsidRDefault="00890A3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(מועדים להגשת תובענות), תש"ל-1969</w:t>
      </w:r>
    </w:p>
    <w:p w14:paraId="7A3D2B6E" w14:textId="77777777" w:rsidR="0093713E" w:rsidRPr="0093713E" w:rsidRDefault="0093713E">
      <w:pPr>
        <w:pStyle w:val="big-header"/>
        <w:ind w:left="0" w:right="1134"/>
        <w:rPr>
          <w:rFonts w:hint="cs"/>
          <w:color w:val="008000"/>
          <w:rtl/>
        </w:rPr>
      </w:pPr>
      <w:r w:rsidRPr="0093713E">
        <w:rPr>
          <w:rFonts w:hint="cs"/>
          <w:color w:val="008000"/>
          <w:rtl/>
        </w:rPr>
        <w:t>רבדים בחקיקה</w:t>
      </w:r>
    </w:p>
    <w:p w14:paraId="17B81ED7" w14:textId="77777777" w:rsidR="007C235B" w:rsidRPr="007C235B" w:rsidRDefault="007C235B" w:rsidP="007C235B">
      <w:pPr>
        <w:spacing w:line="320" w:lineRule="auto"/>
        <w:jc w:val="left"/>
        <w:rPr>
          <w:rFonts w:cs="FrankRuehl"/>
          <w:szCs w:val="26"/>
          <w:rtl/>
        </w:rPr>
      </w:pPr>
    </w:p>
    <w:p w14:paraId="0D83DCAD" w14:textId="77777777" w:rsidR="007C235B" w:rsidRDefault="007C235B" w:rsidP="007C235B">
      <w:pPr>
        <w:spacing w:line="320" w:lineRule="auto"/>
        <w:jc w:val="left"/>
        <w:rPr>
          <w:rFonts w:cs="Miriam"/>
          <w:szCs w:val="22"/>
          <w:rtl/>
        </w:rPr>
      </w:pPr>
      <w:r w:rsidRPr="007C235B">
        <w:rPr>
          <w:rFonts w:cs="Miriam"/>
          <w:szCs w:val="22"/>
          <w:rtl/>
        </w:rPr>
        <w:t>ביטוח</w:t>
      </w:r>
      <w:r w:rsidRPr="007C235B">
        <w:rPr>
          <w:rFonts w:cs="FrankRuehl"/>
          <w:szCs w:val="26"/>
          <w:rtl/>
        </w:rPr>
        <w:t xml:space="preserve"> – ביטוח לאומי</w:t>
      </w:r>
    </w:p>
    <w:p w14:paraId="16B57FAA" w14:textId="77777777" w:rsidR="007C235B" w:rsidRDefault="007C235B" w:rsidP="007C235B">
      <w:pPr>
        <w:spacing w:line="320" w:lineRule="auto"/>
        <w:jc w:val="left"/>
        <w:rPr>
          <w:rFonts w:cs="Miriam"/>
          <w:szCs w:val="22"/>
          <w:rtl/>
        </w:rPr>
      </w:pPr>
      <w:r w:rsidRPr="007C235B">
        <w:rPr>
          <w:rFonts w:cs="Miriam"/>
          <w:szCs w:val="22"/>
          <w:rtl/>
        </w:rPr>
        <w:t>עבודה</w:t>
      </w:r>
      <w:r w:rsidRPr="007C235B">
        <w:rPr>
          <w:rFonts w:cs="FrankRuehl"/>
          <w:szCs w:val="26"/>
          <w:rtl/>
        </w:rPr>
        <w:t xml:space="preserve"> – בית הדין לעבודה</w:t>
      </w:r>
    </w:p>
    <w:p w14:paraId="4BEF53AE" w14:textId="77777777" w:rsidR="00046B84" w:rsidRPr="007C235B" w:rsidRDefault="007C235B" w:rsidP="007C235B">
      <w:pPr>
        <w:spacing w:line="320" w:lineRule="auto"/>
        <w:jc w:val="left"/>
        <w:rPr>
          <w:rFonts w:cs="Miriam" w:hint="cs"/>
          <w:szCs w:val="22"/>
          <w:rtl/>
        </w:rPr>
      </w:pPr>
      <w:r w:rsidRPr="007C235B">
        <w:rPr>
          <w:rFonts w:cs="Miriam"/>
          <w:szCs w:val="22"/>
          <w:rtl/>
        </w:rPr>
        <w:t>בתי משפט וסדרי דין</w:t>
      </w:r>
      <w:r w:rsidRPr="007C235B">
        <w:rPr>
          <w:rFonts w:cs="FrankRuehl"/>
          <w:szCs w:val="26"/>
          <w:rtl/>
        </w:rPr>
        <w:t xml:space="preserve"> – בתי משפט ובתי דין – בית הדין לעבודה</w:t>
      </w:r>
    </w:p>
    <w:p w14:paraId="376A1985" w14:textId="77777777" w:rsidR="00890A37" w:rsidRDefault="00890A3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90A37" w14:paraId="00D5F8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61DEF3" w14:textId="77777777" w:rsidR="00890A37" w:rsidRDefault="00890A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B31619" w14:textId="77777777" w:rsidR="00890A37" w:rsidRDefault="00890A37">
            <w:pPr>
              <w:spacing w:line="240" w:lineRule="auto"/>
              <w:rPr>
                <w:sz w:val="24"/>
              </w:rPr>
            </w:pPr>
            <w:hyperlink w:anchor="Seif0" w:tooltip="קביעת מועדים להגשת תובע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63A6CE" w14:textId="77777777" w:rsidR="00890A37" w:rsidRDefault="00890A3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מועדים להגשת תובענה</w:t>
            </w:r>
          </w:p>
        </w:tc>
        <w:tc>
          <w:tcPr>
            <w:tcW w:w="1247" w:type="dxa"/>
          </w:tcPr>
          <w:p w14:paraId="300311FE" w14:textId="77777777" w:rsidR="00890A37" w:rsidRDefault="00890A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90A37" w14:paraId="5DE214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BDF933" w14:textId="77777777" w:rsidR="00890A37" w:rsidRDefault="00890A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0DD399" w14:textId="77777777" w:rsidR="00890A37" w:rsidRDefault="00890A37">
            <w:pPr>
              <w:spacing w:line="240" w:lineRule="auto"/>
              <w:rPr>
                <w:sz w:val="24"/>
              </w:rPr>
            </w:pPr>
            <w:hyperlink w:anchor="Seif1" w:tooltip="מועד להגשת תובענה של מעביד בהעדר תובענה של עוב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7B7128" w14:textId="77777777" w:rsidR="00890A37" w:rsidRDefault="00890A3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להגשת תובענה של מעביד בהעדר תובענה של עובד</w:t>
            </w:r>
          </w:p>
        </w:tc>
        <w:tc>
          <w:tcPr>
            <w:tcW w:w="1247" w:type="dxa"/>
          </w:tcPr>
          <w:p w14:paraId="35B0E230" w14:textId="77777777" w:rsidR="00890A37" w:rsidRDefault="00890A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90A37" w14:paraId="3812F0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41A30C" w14:textId="77777777" w:rsidR="00890A37" w:rsidRDefault="00890A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18D2CA" w14:textId="77777777" w:rsidR="00890A37" w:rsidRDefault="00890A3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5B312E" w14:textId="77777777" w:rsidR="00890A37" w:rsidRDefault="00890A3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E7A621D" w14:textId="77777777" w:rsidR="00890A37" w:rsidRDefault="00890A3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99DF257" w14:textId="77777777" w:rsidR="00890A37" w:rsidRDefault="00890A37">
      <w:pPr>
        <w:pStyle w:val="big-header"/>
        <w:ind w:left="0" w:right="1134"/>
        <w:rPr>
          <w:rtl/>
        </w:rPr>
      </w:pPr>
    </w:p>
    <w:p w14:paraId="4B66D9A8" w14:textId="77777777" w:rsidR="00890A37" w:rsidRDefault="00890A37" w:rsidP="0093713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93713E">
        <w:rPr>
          <w:rtl/>
          <w:lang w:eastAsia="en-US"/>
        </w:rPr>
        <w:lastRenderedPageBreak/>
        <w:pict w14:anchorId="7CA0321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25.45pt;width:1in;height:16.8pt;z-index:251658752" filled="f" stroked="f">
            <v:textbox inset="1mm,0,1mm,0">
              <w:txbxContent>
                <w:p w14:paraId="71CC96D4" w14:textId="77777777" w:rsidR="0093713E" w:rsidRDefault="0093713E" w:rsidP="0093713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תש"ע-2010</w:t>
                  </w:r>
                </w:p>
              </w:txbxContent>
            </v:textbox>
            <w10:anchorlock/>
          </v:shape>
        </w:pict>
      </w:r>
      <w:r>
        <w:rPr>
          <w:rtl/>
        </w:rPr>
        <w:t>ת</w:t>
      </w:r>
      <w:r>
        <w:rPr>
          <w:rFonts w:hint="cs"/>
          <w:rtl/>
        </w:rPr>
        <w:t>קנות הביטוח הלאומי (מועדים להגשת תובענות), תש"ל-1969</w:t>
      </w:r>
      <w:r>
        <w:rPr>
          <w:rStyle w:val="default"/>
          <w:rtl/>
        </w:rPr>
        <w:footnoteReference w:customMarkFollows="1" w:id="1"/>
        <w:t>*</w:t>
      </w:r>
    </w:p>
    <w:p w14:paraId="43B8EB02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11"/>
      <w:r w:rsidRPr="0093713E">
        <w:rPr>
          <w:rFonts w:hint="cs"/>
          <w:vanish/>
          <w:color w:val="FF0000"/>
          <w:szCs w:val="20"/>
          <w:shd w:val="clear" w:color="auto" w:fill="FFFF99"/>
          <w:rtl/>
        </w:rPr>
        <w:t>מיום 1.2.2010</w:t>
      </w:r>
    </w:p>
    <w:p w14:paraId="281C7190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3713E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663D5FE0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93713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6856</w:t>
        </w:r>
      </w:hyperlink>
      <w:r w:rsidRPr="0093713E">
        <w:rPr>
          <w:rFonts w:hint="cs"/>
          <w:vanish/>
          <w:szCs w:val="20"/>
          <w:shd w:val="clear" w:color="auto" w:fill="FFFF99"/>
          <w:rtl/>
        </w:rPr>
        <w:t xml:space="preserve"> מיום 13.1.2010 עמ' 627</w:t>
      </w:r>
    </w:p>
    <w:p w14:paraId="5B9407EA" w14:textId="77777777" w:rsidR="0093713E" w:rsidRPr="00F94865" w:rsidRDefault="0093713E" w:rsidP="0093713E">
      <w:pPr>
        <w:pStyle w:val="P00"/>
        <w:spacing w:before="0"/>
        <w:ind w:left="0" w:right="1134"/>
        <w:rPr>
          <w:rFonts w:hint="cs"/>
          <w:sz w:val="2"/>
          <w:szCs w:val="2"/>
          <w:rtl/>
        </w:rPr>
      </w:pPr>
      <w:r w:rsidRPr="0093713E">
        <w:rPr>
          <w:rFonts w:hint="cs"/>
          <w:b/>
          <w:bCs/>
          <w:vanish/>
          <w:szCs w:val="20"/>
          <w:shd w:val="clear" w:color="auto" w:fill="FFFF99"/>
          <w:rtl/>
        </w:rPr>
        <w:t>הוספת שם התקנות</w:t>
      </w:r>
      <w:bookmarkEnd w:id="0"/>
    </w:p>
    <w:p w14:paraId="5900794B" w14:textId="77777777" w:rsidR="00890A37" w:rsidRDefault="00890A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231א ו-233 לחוק הביטוח הלאומי [נוסח משולב], תשכ"ח-1968, ובהתייעצות עם שר העבודה, אני מתקין 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אלה:</w:t>
      </w:r>
    </w:p>
    <w:p w14:paraId="023A118F" w14:textId="77777777" w:rsidR="00890A37" w:rsidRDefault="00890A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28AE032E">
          <v:rect id="_x0000_s1026" style="position:absolute;left:0;text-align:left;margin-left:464.5pt;margin-top:8.05pt;width:75.05pt;height:18.3pt;z-index:251655680" o:allowincell="f" filled="f" stroked="f" strokecolor="lime" strokeweight=".25pt">
            <v:textbox inset="0,0,0,0">
              <w:txbxContent>
                <w:p w14:paraId="5286FED5" w14:textId="77777777" w:rsidR="00890A37" w:rsidRDefault="00890A3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מועדים להגשת תובענה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תובענה נגד המוסד תוגש לבית הדין לעבודה לכל המוקדם בתום שלושים יום מהיום שבו הוגשה התביעה למוסד עצמו, זולת אם נתן המוסד החלטה בתביעה לפני תום המועד האמור.</w:t>
      </w:r>
    </w:p>
    <w:p w14:paraId="08C0503A" w14:textId="77777777" w:rsidR="00890A37" w:rsidRDefault="0093713E" w:rsidP="009371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36BCD45A">
          <v:shape id="_x0000_s1030" type="#_x0000_t202" style="position:absolute;left:0;text-align:left;margin-left:470.25pt;margin-top:7.1pt;width:1in;height:11.2pt;z-index:251659776" filled="f" stroked="f">
            <v:textbox inset="1mm,0,1mm,0">
              <w:txbxContent>
                <w:p w14:paraId="69929F94" w14:textId="77777777" w:rsidR="0093713E" w:rsidRDefault="0093713E" w:rsidP="0093713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תש"ע-2010</w:t>
                  </w:r>
                </w:p>
              </w:txbxContent>
            </v:textbox>
            <w10:anchorlock/>
          </v:shape>
        </w:pict>
      </w:r>
      <w:r w:rsidR="00890A37">
        <w:rPr>
          <w:rtl/>
        </w:rPr>
        <w:tab/>
      </w:r>
      <w:r w:rsidR="00890A37">
        <w:rPr>
          <w:rStyle w:val="default"/>
          <w:rFonts w:cs="FrankRuehl"/>
          <w:rtl/>
        </w:rPr>
        <w:t>(</w:t>
      </w:r>
      <w:r w:rsidR="00890A37">
        <w:rPr>
          <w:rStyle w:val="default"/>
          <w:rFonts w:cs="FrankRuehl" w:hint="cs"/>
          <w:rtl/>
        </w:rPr>
        <w:t>ב)</w:t>
      </w:r>
      <w:r w:rsidR="00890A37">
        <w:rPr>
          <w:rStyle w:val="default"/>
          <w:rFonts w:cs="FrankRuehl"/>
          <w:rtl/>
        </w:rPr>
        <w:tab/>
      </w:r>
      <w:r w:rsidR="00890A37">
        <w:rPr>
          <w:rStyle w:val="default"/>
          <w:rFonts w:cs="FrankRuehl" w:hint="cs"/>
          <w:rtl/>
        </w:rPr>
        <w:t>החליט המוסד בתביעה ונמסרה לתובע הודעה על כך, תוגש ת</w:t>
      </w:r>
      <w:r w:rsidR="00890A37">
        <w:rPr>
          <w:rStyle w:val="default"/>
          <w:rFonts w:cs="FrankRuehl"/>
          <w:rtl/>
        </w:rPr>
        <w:t>ו</w:t>
      </w:r>
      <w:r w:rsidR="00890A37">
        <w:rPr>
          <w:rStyle w:val="default"/>
          <w:rFonts w:cs="FrankRuehl" w:hint="cs"/>
          <w:rtl/>
        </w:rPr>
        <w:t xml:space="preserve">בענה לבית הדין לעבודה תוך </w:t>
      </w:r>
      <w:r>
        <w:rPr>
          <w:rStyle w:val="default"/>
          <w:rFonts w:cs="FrankRuehl" w:hint="cs"/>
          <w:rtl/>
        </w:rPr>
        <w:t>שניים עשר</w:t>
      </w:r>
      <w:r w:rsidR="00890A37">
        <w:rPr>
          <w:rStyle w:val="default"/>
          <w:rFonts w:cs="FrankRuehl" w:hint="cs"/>
          <w:rtl/>
        </w:rPr>
        <w:t xml:space="preserve"> ח</w:t>
      </w:r>
      <w:r>
        <w:rPr>
          <w:rStyle w:val="default"/>
          <w:rFonts w:cs="FrankRuehl" w:hint="cs"/>
          <w:rtl/>
        </w:rPr>
        <w:t>ו</w:t>
      </w:r>
      <w:r w:rsidR="00890A37">
        <w:rPr>
          <w:rStyle w:val="default"/>
          <w:rFonts w:cs="FrankRuehl" w:hint="cs"/>
          <w:rtl/>
        </w:rPr>
        <w:t xml:space="preserve">דשים מיום מסירת ההודעה לתובע או מיום תחילתן של תקנות אלה, הכל לפי המאוחר </w:t>
      </w:r>
      <w:r>
        <w:rPr>
          <w:rStyle w:val="default"/>
          <w:rFonts w:cs="FrankRuehl" w:hint="cs"/>
          <w:rtl/>
        </w:rPr>
        <w:t>יותר.</w:t>
      </w:r>
    </w:p>
    <w:p w14:paraId="54D27A2B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93713E">
        <w:rPr>
          <w:rFonts w:hint="cs"/>
          <w:vanish/>
          <w:color w:val="FF0000"/>
          <w:szCs w:val="20"/>
          <w:shd w:val="clear" w:color="auto" w:fill="FFFF99"/>
          <w:rtl/>
        </w:rPr>
        <w:t>מיום 1.2.2010</w:t>
      </w:r>
    </w:p>
    <w:p w14:paraId="29A59DD4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3713E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51A48CE1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93713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6856</w:t>
        </w:r>
      </w:hyperlink>
      <w:r w:rsidRPr="0093713E">
        <w:rPr>
          <w:rFonts w:hint="cs"/>
          <w:vanish/>
          <w:szCs w:val="20"/>
          <w:shd w:val="clear" w:color="auto" w:fill="FFFF99"/>
          <w:rtl/>
        </w:rPr>
        <w:t xml:space="preserve"> מיום 13.1.2010 עמ' 628</w:t>
      </w:r>
    </w:p>
    <w:p w14:paraId="30BD7CCA" w14:textId="77777777" w:rsidR="0093713E" w:rsidRPr="0093713E" w:rsidRDefault="0093713E" w:rsidP="0093713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3713E">
        <w:rPr>
          <w:vanish/>
          <w:sz w:val="22"/>
          <w:szCs w:val="22"/>
          <w:shd w:val="clear" w:color="auto" w:fill="FFFF99"/>
          <w:rtl/>
        </w:rPr>
        <w:tab/>
      </w:r>
      <w:r w:rsidRPr="009371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371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371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371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החליט המוסד בתביעה ונמסרה לתובע הודעה על כך, תוגש ת</w:t>
      </w:r>
      <w:r w:rsidRPr="009371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9371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בענה לבית הדין לעבודה תוך </w:t>
      </w:r>
      <w:r w:rsidRPr="009371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ששה חדשים</w:t>
      </w:r>
      <w:r w:rsidRPr="009371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371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שניים עשר חודשים</w:t>
      </w:r>
      <w:r w:rsidRPr="009371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מיום מסירת ההודעה לתובע או מיום תחילתן של תקנות אלה, הכל לפי המאוחר יותר.</w:t>
      </w:r>
      <w:bookmarkEnd w:id="2"/>
    </w:p>
    <w:p w14:paraId="70691E2F" w14:textId="77777777" w:rsidR="00890A37" w:rsidRDefault="00890A37" w:rsidP="009371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 w14:anchorId="052B55F8">
          <v:rect id="_x0000_s1027" style="position:absolute;left:0;text-align:left;margin-left:464.5pt;margin-top:8.05pt;width:75.05pt;height:40.7pt;z-index:251656704" o:allowincell="f" filled="f" stroked="f" strokecolor="lime" strokeweight=".25pt">
            <v:textbox inset="0,0,0,0">
              <w:txbxContent>
                <w:p w14:paraId="16623D4C" w14:textId="77777777" w:rsidR="00890A37" w:rsidRDefault="00890A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ועד להגשת תובענה של מעביד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העדר תובענה של עובד</w:t>
                  </w:r>
                </w:p>
                <w:p w14:paraId="51D63AD7" w14:textId="77777777" w:rsidR="0093713E" w:rsidRDefault="0093713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ובענה של מעביד, בשם עובד או התלוי בו, </w:t>
      </w:r>
      <w:r w:rsidR="0093713E" w:rsidRPr="0093713E">
        <w:rPr>
          <w:rStyle w:val="default"/>
          <w:rFonts w:cs="FrankRuehl" w:hint="cs"/>
          <w:rtl/>
        </w:rPr>
        <w:t>לגמלה לפי פרק ה' לחוק, כאמור בסעיף 393 לחוק, תוגש לבית הדין לעבודה בתוך שניים עשר חודשים</w:t>
      </w:r>
      <w:r>
        <w:rPr>
          <w:rStyle w:val="default"/>
          <w:rFonts w:cs="FrankRuehl" w:hint="cs"/>
          <w:rtl/>
        </w:rPr>
        <w:t xml:space="preserve"> מתום המועד להגשת התובענה על ידי העובד או התלויים כאמור בתקנה 1(ב), או מהיום שבו מסר המוסד הודעה למעביד על דחיית תביעתם של העובד או התלויים, הכל לפי המאוחר יותר.</w:t>
      </w:r>
    </w:p>
    <w:p w14:paraId="0BB7D1E3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4" w:name="Rov7"/>
      <w:r w:rsidRPr="0093713E">
        <w:rPr>
          <w:rFonts w:hint="cs"/>
          <w:vanish/>
          <w:color w:val="FF0000"/>
          <w:szCs w:val="20"/>
          <w:shd w:val="clear" w:color="auto" w:fill="FFFF99"/>
          <w:rtl/>
        </w:rPr>
        <w:t>מיום 1.2.2010</w:t>
      </w:r>
    </w:p>
    <w:p w14:paraId="25FB98A7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3713E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401C186F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93713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6856</w:t>
        </w:r>
      </w:hyperlink>
      <w:r w:rsidRPr="0093713E">
        <w:rPr>
          <w:rFonts w:hint="cs"/>
          <w:vanish/>
          <w:szCs w:val="20"/>
          <w:shd w:val="clear" w:color="auto" w:fill="FFFF99"/>
          <w:rtl/>
        </w:rPr>
        <w:t xml:space="preserve"> מיום 13.1.2010 עמ' 628</w:t>
      </w:r>
    </w:p>
    <w:p w14:paraId="10E22508" w14:textId="77777777" w:rsidR="0093713E" w:rsidRPr="0093713E" w:rsidRDefault="0093713E" w:rsidP="0093713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3713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93713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371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371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ובענה של מעביד, בשם עובד או התלוי בו, </w:t>
      </w:r>
      <w:r w:rsidRPr="009371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לגמלה לפי פרק ג' לחוק, כאמור בסעיף 231א לחוק, תוגש</w:t>
      </w:r>
      <w:r w:rsidRPr="009371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9371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לבית הדין לעבודה תוך ששה חדשים</w:t>
      </w:r>
      <w:r w:rsidRPr="009371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371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לגמלה לפי פרק ה' לחוק, כאמור בסעיף 393 לחוק, תוגש לבית הדין לעבודה בתוך שניים עשר חודשים</w:t>
      </w:r>
      <w:r w:rsidRPr="009371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מתום המועד להגשת התובענה על ידי העובד או התלויים כאמור בתקנה 1(ב), או מהיום שבו מסר המוסד הודעה למעביד על דחיית תביעתם של העובד או התלויים, הכל לפי המאוחר יותר.</w:t>
      </w:r>
      <w:bookmarkEnd w:id="4"/>
    </w:p>
    <w:p w14:paraId="4EB35B0E" w14:textId="77777777" w:rsidR="00890A37" w:rsidRDefault="00890A37" w:rsidP="009371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6A8DB354">
          <v:rect id="_x0000_s1028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5B8627CD" w14:textId="77777777" w:rsidR="00890A37" w:rsidRDefault="0093713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93713E">
        <w:rPr>
          <w:rStyle w:val="default"/>
          <w:rFonts w:cs="FrankRuehl" w:hint="cs"/>
          <w:rtl/>
        </w:rPr>
        <w:t>(בוטלה)</w:t>
      </w:r>
      <w:r>
        <w:rPr>
          <w:rStyle w:val="default"/>
          <w:rFonts w:cs="FrankRuehl" w:hint="cs"/>
          <w:rtl/>
        </w:rPr>
        <w:t>.</w:t>
      </w:r>
    </w:p>
    <w:p w14:paraId="51B8F5F0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6" w:name="Rov8"/>
      <w:r w:rsidRPr="0093713E">
        <w:rPr>
          <w:rFonts w:hint="cs"/>
          <w:vanish/>
          <w:color w:val="FF0000"/>
          <w:szCs w:val="20"/>
          <w:shd w:val="clear" w:color="auto" w:fill="FFFF99"/>
          <w:rtl/>
        </w:rPr>
        <w:t>מיום 1.2.2010</w:t>
      </w:r>
    </w:p>
    <w:p w14:paraId="3FBFC776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3713E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3B53DA73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93713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6856</w:t>
        </w:r>
      </w:hyperlink>
      <w:r w:rsidRPr="0093713E">
        <w:rPr>
          <w:rFonts w:hint="cs"/>
          <w:vanish/>
          <w:szCs w:val="20"/>
          <w:shd w:val="clear" w:color="auto" w:fill="FFFF99"/>
          <w:rtl/>
        </w:rPr>
        <w:t xml:space="preserve"> מיום 13.1.2010 עמ' 628</w:t>
      </w:r>
    </w:p>
    <w:p w14:paraId="1AF04CCA" w14:textId="77777777" w:rsidR="0093713E" w:rsidRPr="0093713E" w:rsidRDefault="0093713E" w:rsidP="0093713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3713E">
        <w:rPr>
          <w:rFonts w:hint="cs"/>
          <w:b/>
          <w:bCs/>
          <w:vanish/>
          <w:szCs w:val="20"/>
          <w:shd w:val="clear" w:color="auto" w:fill="FFFF99"/>
          <w:rtl/>
        </w:rPr>
        <w:t>ביטול תקנה 3</w:t>
      </w:r>
    </w:p>
    <w:p w14:paraId="0FBEA126" w14:textId="77777777" w:rsidR="0093713E" w:rsidRPr="0093713E" w:rsidRDefault="0093713E" w:rsidP="0093713E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3713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F38F863" w14:textId="77777777" w:rsidR="0093713E" w:rsidRPr="0093713E" w:rsidRDefault="0093713E" w:rsidP="0093713E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3713E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14:paraId="679DAFAD" w14:textId="77777777" w:rsidR="0093713E" w:rsidRPr="0093713E" w:rsidRDefault="0093713E" w:rsidP="0093713E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93713E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93713E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371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9371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אלה ייקרא "תקנות הביטוח הלאומי (מועדים להגשת תובענות), תש"ל-1969".</w:t>
      </w:r>
      <w:bookmarkEnd w:id="6"/>
    </w:p>
    <w:p w14:paraId="27696527" w14:textId="77777777" w:rsidR="00890A37" w:rsidRDefault="009371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br/>
      </w:r>
    </w:p>
    <w:p w14:paraId="115A52D3" w14:textId="77777777" w:rsidR="00890A37" w:rsidRDefault="00890A37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בכסלו תש"ל (21 בנובמבר 1969)</w:t>
      </w:r>
      <w:r>
        <w:rPr>
          <w:rtl/>
        </w:rPr>
        <w:tab/>
      </w:r>
      <w:r>
        <w:rPr>
          <w:rFonts w:hint="cs"/>
          <w:rtl/>
        </w:rPr>
        <w:t>יעקב ש' שפירא</w:t>
      </w:r>
    </w:p>
    <w:p w14:paraId="51283155" w14:textId="77777777" w:rsidR="00890A37" w:rsidRDefault="00890A3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DF96B10" w14:textId="77777777" w:rsidR="00890A37" w:rsidRDefault="00890A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8D0ED8" w14:textId="77777777" w:rsidR="00890A37" w:rsidRDefault="00890A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7F39A1" w14:textId="77777777" w:rsidR="00890A37" w:rsidRDefault="00890A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05D2A212" w14:textId="77777777" w:rsidR="00890A37" w:rsidRDefault="00890A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90A37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6634" w14:textId="77777777" w:rsidR="001708CF" w:rsidRDefault="001708CF">
      <w:r>
        <w:separator/>
      </w:r>
    </w:p>
  </w:endnote>
  <w:endnote w:type="continuationSeparator" w:id="0">
    <w:p w14:paraId="05308AEC" w14:textId="77777777" w:rsidR="001708CF" w:rsidRDefault="0017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3383" w14:textId="77777777" w:rsidR="00890A37" w:rsidRDefault="00890A3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A3F7F1" w14:textId="77777777" w:rsidR="00890A37" w:rsidRDefault="00890A3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6B99BE" w14:textId="77777777" w:rsidR="00890A37" w:rsidRDefault="00890A3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5B5C" w14:textId="77777777" w:rsidR="00890A37" w:rsidRDefault="00890A3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1BD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BFEC4D8" w14:textId="77777777" w:rsidR="00890A37" w:rsidRDefault="00890A3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D265F1" w14:textId="77777777" w:rsidR="00890A37" w:rsidRDefault="00890A3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8C1C" w14:textId="77777777" w:rsidR="001708CF" w:rsidRDefault="001708C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373060A" w14:textId="77777777" w:rsidR="001708CF" w:rsidRDefault="001708CF">
      <w:r>
        <w:continuationSeparator/>
      </w:r>
    </w:p>
  </w:footnote>
  <w:footnote w:id="1">
    <w:p w14:paraId="12AD6FE9" w14:textId="77777777" w:rsidR="00890A37" w:rsidRDefault="00890A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תש"ל מס' 2489</w:t>
        </w:r>
      </w:hyperlink>
      <w:r>
        <w:rPr>
          <w:rFonts w:hint="cs"/>
          <w:sz w:val="20"/>
          <w:rtl/>
        </w:rPr>
        <w:t xml:space="preserve"> מיום 4.1</w:t>
      </w:r>
      <w:r>
        <w:rPr>
          <w:sz w:val="20"/>
          <w:rtl/>
        </w:rPr>
        <w:t xml:space="preserve">2.1969 </w:t>
      </w:r>
      <w:r>
        <w:rPr>
          <w:rFonts w:hint="cs"/>
          <w:sz w:val="20"/>
          <w:rtl/>
        </w:rPr>
        <w:t>עמ' 536.</w:t>
      </w:r>
    </w:p>
    <w:p w14:paraId="22AB01D5" w14:textId="77777777" w:rsidR="009D1BD6" w:rsidRDefault="0093713E" w:rsidP="009D1B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9D1BD6">
          <w:rPr>
            <w:rStyle w:val="Hyperlink"/>
            <w:rFonts w:hint="cs"/>
            <w:sz w:val="20"/>
            <w:rtl/>
          </w:rPr>
          <w:t>ק"ת תש"ע מס' 6856</w:t>
        </w:r>
      </w:hyperlink>
      <w:r>
        <w:rPr>
          <w:rFonts w:hint="cs"/>
          <w:sz w:val="20"/>
          <w:rtl/>
        </w:rPr>
        <w:t xml:space="preserve"> מיום 13.1.2010 עמ' 628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תש"ע-2010.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0264" w14:textId="77777777" w:rsidR="00890A37" w:rsidRDefault="00890A3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(מועדים להגשת תובענות), תש"ל- 1969</w:t>
    </w:r>
  </w:p>
  <w:p w14:paraId="05D1B795" w14:textId="77777777" w:rsidR="00890A37" w:rsidRDefault="00890A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7C8F57" w14:textId="77777777" w:rsidR="00890A37" w:rsidRDefault="00890A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D8FD" w14:textId="77777777" w:rsidR="00890A37" w:rsidRDefault="00890A3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(מועדים להגשת תובענות), תש"ל-1969</w:t>
    </w:r>
  </w:p>
  <w:p w14:paraId="76132318" w14:textId="77777777" w:rsidR="00890A37" w:rsidRDefault="00890A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3650F8" w14:textId="77777777" w:rsidR="00890A37" w:rsidRDefault="00890A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B84"/>
    <w:rsid w:val="00046B84"/>
    <w:rsid w:val="001708CF"/>
    <w:rsid w:val="001C5BC9"/>
    <w:rsid w:val="004F1506"/>
    <w:rsid w:val="007C235B"/>
    <w:rsid w:val="00890A37"/>
    <w:rsid w:val="0093713E"/>
    <w:rsid w:val="009D1BD6"/>
    <w:rsid w:val="00BD2D72"/>
    <w:rsid w:val="00CA6CCE"/>
    <w:rsid w:val="00E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4E89C52"/>
  <w15:chartTrackingRefBased/>
  <w15:docId w15:val="{C7B0FE64-583B-4E00-8133-A17E744A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856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85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856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856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856.pdf" TargetMode="External"/><Relationship Id="rId1" Type="http://schemas.openxmlformats.org/officeDocument/2006/relationships/hyperlink" Target="http://www.nevo.co.il/Law_word/law06/TAK-24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2644</CharactersWithSpaces>
  <SharedDoc>false</SharedDoc>
  <HLinks>
    <vt:vector size="54" baseType="variant">
      <vt:variant>
        <vt:i4>7995398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7995398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7995398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7995398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http://www.nevo.co.il/Law_word/law06/tak-6856.pdf</vt:lpwstr>
      </vt:variant>
      <vt:variant>
        <vt:lpwstr/>
      </vt:variant>
      <vt:variant>
        <vt:i4>7536645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(מועדים להגשת תובענות), תש"ל-1969</vt:lpwstr>
  </property>
  <property fmtid="{D5CDD505-2E9C-101B-9397-08002B2CF9AE}" pid="5" name="LAWNUMBER">
    <vt:lpwstr>0194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בית הדין לעבודה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בתי משפט ובתי דין</vt:lpwstr>
  </property>
  <property fmtid="{D5CDD505-2E9C-101B-9397-08002B2CF9AE}" pid="17" name="NOSE33">
    <vt:lpwstr>בית הדין לעבודה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231אX;233X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http://www.nevo.co.il/Law_word/law06/tak-6856.pdf;‎רשומות - תקנות כלליות#תוקנו ק"ת תש"ע מס' ‏‏6856 #מיום 13.1.2010 עמ' 628 – תק' תש"ע-2010‏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