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A848" w14:textId="77777777" w:rsidR="003353D6" w:rsidRDefault="003353D6" w:rsidP="00B37150">
      <w:pPr>
        <w:pStyle w:val="big-header"/>
        <w:ind w:left="0" w:right="1134"/>
        <w:rPr>
          <w:rFonts w:cs="FrankRuehl" w:hint="cs"/>
          <w:sz w:val="32"/>
          <w:rtl/>
        </w:rPr>
      </w:pPr>
      <w:r>
        <w:rPr>
          <w:rFonts w:cs="FrankRuehl"/>
          <w:sz w:val="32"/>
          <w:rtl/>
        </w:rPr>
        <w:t xml:space="preserve">תקנות הבינוי והפינוי של אזורי שיקום (תנאי עבודתם של עובדים), </w:t>
      </w:r>
      <w:r w:rsidR="00B37150">
        <w:rPr>
          <w:rFonts w:cs="FrankRuehl" w:hint="cs"/>
          <w:sz w:val="32"/>
          <w:rtl/>
        </w:rPr>
        <w:br/>
      </w:r>
      <w:r>
        <w:rPr>
          <w:rFonts w:cs="FrankRuehl"/>
          <w:sz w:val="32"/>
          <w:rtl/>
        </w:rPr>
        <w:t>תשכ"ז-1967</w:t>
      </w:r>
    </w:p>
    <w:p w14:paraId="2494984B" w14:textId="77777777" w:rsidR="00E73230" w:rsidRDefault="00E73230" w:rsidP="00E73230">
      <w:pPr>
        <w:spacing w:line="320" w:lineRule="auto"/>
        <w:jc w:val="left"/>
        <w:rPr>
          <w:rFonts w:hint="cs"/>
          <w:rtl/>
        </w:rPr>
      </w:pPr>
    </w:p>
    <w:p w14:paraId="73A32952" w14:textId="77777777" w:rsidR="00C44EC5" w:rsidRDefault="00C44EC5" w:rsidP="00E73230">
      <w:pPr>
        <w:spacing w:line="320" w:lineRule="auto"/>
        <w:jc w:val="left"/>
        <w:rPr>
          <w:rFonts w:hint="cs"/>
          <w:rtl/>
        </w:rPr>
      </w:pPr>
    </w:p>
    <w:p w14:paraId="557511D8" w14:textId="77777777" w:rsidR="00E73230" w:rsidRPr="00E73230" w:rsidRDefault="00E73230" w:rsidP="00E73230">
      <w:pPr>
        <w:spacing w:line="320" w:lineRule="auto"/>
        <w:jc w:val="left"/>
        <w:rPr>
          <w:rFonts w:cs="Miriam"/>
          <w:szCs w:val="22"/>
          <w:rtl/>
        </w:rPr>
      </w:pPr>
      <w:r w:rsidRPr="00E73230">
        <w:rPr>
          <w:rFonts w:cs="Miriam"/>
          <w:szCs w:val="22"/>
          <w:rtl/>
        </w:rPr>
        <w:t>עבודה</w:t>
      </w:r>
      <w:r w:rsidRPr="00E73230">
        <w:rPr>
          <w:rFonts w:cs="FrankRuehl"/>
          <w:szCs w:val="26"/>
          <w:rtl/>
        </w:rPr>
        <w:t xml:space="preserve"> – עובדים – תנאי עבודה</w:t>
      </w:r>
    </w:p>
    <w:p w14:paraId="073A6A68" w14:textId="77777777" w:rsidR="003353D6" w:rsidRDefault="003353D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B5904" w:rsidRPr="00AB5904" w14:paraId="16AD88C8" w14:textId="77777777">
        <w:tblPrEx>
          <w:tblCellMar>
            <w:top w:w="0" w:type="dxa"/>
            <w:bottom w:w="0" w:type="dxa"/>
          </w:tblCellMar>
        </w:tblPrEx>
        <w:tc>
          <w:tcPr>
            <w:tcW w:w="1247" w:type="dxa"/>
          </w:tcPr>
          <w:p w14:paraId="6710D093" w14:textId="77777777" w:rsidR="00AB5904" w:rsidRPr="00AB5904" w:rsidRDefault="00AB5904" w:rsidP="00AB5904">
            <w:pPr>
              <w:spacing w:line="240" w:lineRule="auto"/>
              <w:jc w:val="left"/>
              <w:rPr>
                <w:rFonts w:cs="Frankruhel"/>
                <w:sz w:val="24"/>
                <w:rtl/>
              </w:rPr>
            </w:pPr>
          </w:p>
        </w:tc>
        <w:tc>
          <w:tcPr>
            <w:tcW w:w="5669" w:type="dxa"/>
          </w:tcPr>
          <w:p w14:paraId="0B1E8B78" w14:textId="77777777" w:rsidR="00AB5904" w:rsidRPr="00AB5904" w:rsidRDefault="00AB5904" w:rsidP="00AB5904">
            <w:pPr>
              <w:spacing w:line="240" w:lineRule="auto"/>
              <w:jc w:val="left"/>
              <w:rPr>
                <w:rFonts w:cs="Frankruhel"/>
                <w:sz w:val="24"/>
                <w:rtl/>
              </w:rPr>
            </w:pPr>
            <w:r>
              <w:rPr>
                <w:sz w:val="24"/>
                <w:rtl/>
              </w:rPr>
              <w:t>פרק ראשון: פרשנות</w:t>
            </w:r>
          </w:p>
        </w:tc>
        <w:tc>
          <w:tcPr>
            <w:tcW w:w="567" w:type="dxa"/>
          </w:tcPr>
          <w:p w14:paraId="2DD93BEF" w14:textId="77777777" w:rsidR="00AB5904" w:rsidRPr="00AB5904" w:rsidRDefault="00AB5904" w:rsidP="00AB5904">
            <w:pPr>
              <w:spacing w:line="240" w:lineRule="auto"/>
              <w:jc w:val="left"/>
              <w:rPr>
                <w:rStyle w:val="Hyperlink"/>
                <w:rtl/>
              </w:rPr>
            </w:pPr>
            <w:hyperlink w:anchor="med0" w:tooltip="פרק ראשון: פרשנות" w:history="1">
              <w:r w:rsidRPr="00AB5904">
                <w:rPr>
                  <w:rStyle w:val="Hyperlink"/>
                </w:rPr>
                <w:t>Go</w:t>
              </w:r>
            </w:hyperlink>
          </w:p>
        </w:tc>
        <w:tc>
          <w:tcPr>
            <w:tcW w:w="850" w:type="dxa"/>
          </w:tcPr>
          <w:p w14:paraId="01DD024A"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B5904" w:rsidRPr="00AB5904" w14:paraId="3FD0A7E8" w14:textId="77777777">
        <w:tblPrEx>
          <w:tblCellMar>
            <w:top w:w="0" w:type="dxa"/>
            <w:bottom w:w="0" w:type="dxa"/>
          </w:tblCellMar>
        </w:tblPrEx>
        <w:tc>
          <w:tcPr>
            <w:tcW w:w="1247" w:type="dxa"/>
          </w:tcPr>
          <w:p w14:paraId="1A652778" w14:textId="77777777" w:rsidR="00AB5904" w:rsidRPr="00AB5904" w:rsidRDefault="00AB5904" w:rsidP="00AB5904">
            <w:pPr>
              <w:spacing w:line="240" w:lineRule="auto"/>
              <w:jc w:val="left"/>
              <w:rPr>
                <w:rFonts w:cs="Frankruhel"/>
                <w:sz w:val="24"/>
                <w:rtl/>
              </w:rPr>
            </w:pPr>
            <w:r>
              <w:rPr>
                <w:sz w:val="24"/>
                <w:rtl/>
              </w:rPr>
              <w:t xml:space="preserve">סעיף 1 </w:t>
            </w:r>
          </w:p>
        </w:tc>
        <w:tc>
          <w:tcPr>
            <w:tcW w:w="5669" w:type="dxa"/>
          </w:tcPr>
          <w:p w14:paraId="35A7E3A9" w14:textId="77777777" w:rsidR="00AB5904" w:rsidRPr="00AB5904" w:rsidRDefault="00AB5904" w:rsidP="00AB5904">
            <w:pPr>
              <w:spacing w:line="240" w:lineRule="auto"/>
              <w:jc w:val="left"/>
              <w:rPr>
                <w:rFonts w:cs="Frankruhel"/>
                <w:sz w:val="24"/>
                <w:rtl/>
              </w:rPr>
            </w:pPr>
            <w:r>
              <w:rPr>
                <w:sz w:val="24"/>
                <w:rtl/>
              </w:rPr>
              <w:t>הגדרות</w:t>
            </w:r>
          </w:p>
        </w:tc>
        <w:tc>
          <w:tcPr>
            <w:tcW w:w="567" w:type="dxa"/>
          </w:tcPr>
          <w:p w14:paraId="04D5A5A9" w14:textId="77777777" w:rsidR="00AB5904" w:rsidRPr="00AB5904" w:rsidRDefault="00AB5904" w:rsidP="00AB5904">
            <w:pPr>
              <w:spacing w:line="240" w:lineRule="auto"/>
              <w:jc w:val="left"/>
              <w:rPr>
                <w:rStyle w:val="Hyperlink"/>
                <w:rtl/>
              </w:rPr>
            </w:pPr>
            <w:hyperlink w:anchor="Seif1" w:tooltip="הגדרות" w:history="1">
              <w:r w:rsidRPr="00AB5904">
                <w:rPr>
                  <w:rStyle w:val="Hyperlink"/>
                </w:rPr>
                <w:t>Go</w:t>
              </w:r>
            </w:hyperlink>
          </w:p>
        </w:tc>
        <w:tc>
          <w:tcPr>
            <w:tcW w:w="850" w:type="dxa"/>
          </w:tcPr>
          <w:p w14:paraId="13410104"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B5904" w:rsidRPr="00AB5904" w14:paraId="794EFFDD" w14:textId="77777777">
        <w:tblPrEx>
          <w:tblCellMar>
            <w:top w:w="0" w:type="dxa"/>
            <w:bottom w:w="0" w:type="dxa"/>
          </w:tblCellMar>
        </w:tblPrEx>
        <w:tc>
          <w:tcPr>
            <w:tcW w:w="1247" w:type="dxa"/>
          </w:tcPr>
          <w:p w14:paraId="42C644A0" w14:textId="77777777" w:rsidR="00AB5904" w:rsidRPr="00AB5904" w:rsidRDefault="00AB5904" w:rsidP="00AB5904">
            <w:pPr>
              <w:spacing w:line="240" w:lineRule="auto"/>
              <w:jc w:val="left"/>
              <w:rPr>
                <w:rFonts w:cs="Frankruhel"/>
                <w:sz w:val="24"/>
                <w:rtl/>
              </w:rPr>
            </w:pPr>
          </w:p>
        </w:tc>
        <w:tc>
          <w:tcPr>
            <w:tcW w:w="5669" w:type="dxa"/>
          </w:tcPr>
          <w:p w14:paraId="4B4383B1" w14:textId="77777777" w:rsidR="00AB5904" w:rsidRPr="00AB5904" w:rsidRDefault="00AB5904" w:rsidP="00AB5904">
            <w:pPr>
              <w:spacing w:line="240" w:lineRule="auto"/>
              <w:jc w:val="left"/>
              <w:rPr>
                <w:rFonts w:cs="Frankruhel"/>
                <w:sz w:val="24"/>
                <w:rtl/>
              </w:rPr>
            </w:pPr>
            <w:r>
              <w:rPr>
                <w:sz w:val="24"/>
                <w:rtl/>
              </w:rPr>
              <w:t>פרק שני: מינויים של עובדי הרשות</w:t>
            </w:r>
          </w:p>
        </w:tc>
        <w:tc>
          <w:tcPr>
            <w:tcW w:w="567" w:type="dxa"/>
          </w:tcPr>
          <w:p w14:paraId="782007C5" w14:textId="77777777" w:rsidR="00AB5904" w:rsidRPr="00AB5904" w:rsidRDefault="00AB5904" w:rsidP="00AB5904">
            <w:pPr>
              <w:spacing w:line="240" w:lineRule="auto"/>
              <w:jc w:val="left"/>
              <w:rPr>
                <w:rStyle w:val="Hyperlink"/>
                <w:rtl/>
              </w:rPr>
            </w:pPr>
            <w:hyperlink w:anchor="med1" w:tooltip="פרק שני: מינויים של עובדי הרשות" w:history="1">
              <w:r w:rsidRPr="00AB5904">
                <w:rPr>
                  <w:rStyle w:val="Hyperlink"/>
                </w:rPr>
                <w:t>Go</w:t>
              </w:r>
            </w:hyperlink>
          </w:p>
        </w:tc>
        <w:tc>
          <w:tcPr>
            <w:tcW w:w="850" w:type="dxa"/>
          </w:tcPr>
          <w:p w14:paraId="7FD71509"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B5904" w:rsidRPr="00AB5904" w14:paraId="0958ABDD" w14:textId="77777777">
        <w:tblPrEx>
          <w:tblCellMar>
            <w:top w:w="0" w:type="dxa"/>
            <w:bottom w:w="0" w:type="dxa"/>
          </w:tblCellMar>
        </w:tblPrEx>
        <w:tc>
          <w:tcPr>
            <w:tcW w:w="1247" w:type="dxa"/>
          </w:tcPr>
          <w:p w14:paraId="66BABC64" w14:textId="77777777" w:rsidR="00AB5904" w:rsidRPr="00AB5904" w:rsidRDefault="00AB5904" w:rsidP="00AB5904">
            <w:pPr>
              <w:spacing w:line="240" w:lineRule="auto"/>
              <w:jc w:val="left"/>
              <w:rPr>
                <w:rFonts w:cs="Frankruhel"/>
                <w:sz w:val="24"/>
                <w:rtl/>
              </w:rPr>
            </w:pPr>
            <w:r>
              <w:rPr>
                <w:sz w:val="24"/>
                <w:rtl/>
              </w:rPr>
              <w:t xml:space="preserve">סעיף 2 </w:t>
            </w:r>
          </w:p>
        </w:tc>
        <w:tc>
          <w:tcPr>
            <w:tcW w:w="5669" w:type="dxa"/>
          </w:tcPr>
          <w:p w14:paraId="24DA32F4" w14:textId="77777777" w:rsidR="00AB5904" w:rsidRPr="00AB5904" w:rsidRDefault="00AB5904" w:rsidP="00AB5904">
            <w:pPr>
              <w:spacing w:line="240" w:lineRule="auto"/>
              <w:jc w:val="left"/>
              <w:rPr>
                <w:rFonts w:cs="Frankruhel"/>
                <w:sz w:val="24"/>
                <w:rtl/>
              </w:rPr>
            </w:pPr>
            <w:r>
              <w:rPr>
                <w:sz w:val="24"/>
                <w:rtl/>
              </w:rPr>
              <w:t>תחולת חוק המינויים</w:t>
            </w:r>
          </w:p>
        </w:tc>
        <w:tc>
          <w:tcPr>
            <w:tcW w:w="567" w:type="dxa"/>
          </w:tcPr>
          <w:p w14:paraId="61E18052" w14:textId="77777777" w:rsidR="00AB5904" w:rsidRPr="00AB5904" w:rsidRDefault="00AB5904" w:rsidP="00AB5904">
            <w:pPr>
              <w:spacing w:line="240" w:lineRule="auto"/>
              <w:jc w:val="left"/>
              <w:rPr>
                <w:rStyle w:val="Hyperlink"/>
                <w:rtl/>
              </w:rPr>
            </w:pPr>
            <w:hyperlink w:anchor="Seif2" w:tooltip="תחולת חוק המינויים" w:history="1">
              <w:r w:rsidRPr="00AB5904">
                <w:rPr>
                  <w:rStyle w:val="Hyperlink"/>
                </w:rPr>
                <w:t>Go</w:t>
              </w:r>
            </w:hyperlink>
          </w:p>
        </w:tc>
        <w:tc>
          <w:tcPr>
            <w:tcW w:w="850" w:type="dxa"/>
          </w:tcPr>
          <w:p w14:paraId="2304C725"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B5904" w:rsidRPr="00AB5904" w14:paraId="0F4A9C2F" w14:textId="77777777">
        <w:tblPrEx>
          <w:tblCellMar>
            <w:top w:w="0" w:type="dxa"/>
            <w:bottom w:w="0" w:type="dxa"/>
          </w:tblCellMar>
        </w:tblPrEx>
        <w:tc>
          <w:tcPr>
            <w:tcW w:w="1247" w:type="dxa"/>
          </w:tcPr>
          <w:p w14:paraId="29C5F376" w14:textId="77777777" w:rsidR="00AB5904" w:rsidRPr="00AB5904" w:rsidRDefault="00AB5904" w:rsidP="00AB5904">
            <w:pPr>
              <w:spacing w:line="240" w:lineRule="auto"/>
              <w:jc w:val="left"/>
              <w:rPr>
                <w:rFonts w:cs="Frankruhel"/>
                <w:sz w:val="24"/>
                <w:rtl/>
              </w:rPr>
            </w:pPr>
            <w:r>
              <w:rPr>
                <w:sz w:val="24"/>
                <w:rtl/>
              </w:rPr>
              <w:t xml:space="preserve">סעיף 3 </w:t>
            </w:r>
          </w:p>
        </w:tc>
        <w:tc>
          <w:tcPr>
            <w:tcW w:w="5669" w:type="dxa"/>
          </w:tcPr>
          <w:p w14:paraId="2A19B5DC" w14:textId="77777777" w:rsidR="00AB5904" w:rsidRPr="00AB5904" w:rsidRDefault="00AB5904" w:rsidP="00AB5904">
            <w:pPr>
              <w:spacing w:line="240" w:lineRule="auto"/>
              <w:jc w:val="left"/>
              <w:rPr>
                <w:rFonts w:cs="Frankruhel"/>
                <w:sz w:val="24"/>
                <w:rtl/>
              </w:rPr>
            </w:pPr>
            <w:r>
              <w:rPr>
                <w:sz w:val="24"/>
                <w:rtl/>
              </w:rPr>
              <w:t>אי תחולת חוק המינויים</w:t>
            </w:r>
          </w:p>
        </w:tc>
        <w:tc>
          <w:tcPr>
            <w:tcW w:w="567" w:type="dxa"/>
          </w:tcPr>
          <w:p w14:paraId="3762710B" w14:textId="77777777" w:rsidR="00AB5904" w:rsidRPr="00AB5904" w:rsidRDefault="00AB5904" w:rsidP="00AB5904">
            <w:pPr>
              <w:spacing w:line="240" w:lineRule="auto"/>
              <w:jc w:val="left"/>
              <w:rPr>
                <w:rStyle w:val="Hyperlink"/>
                <w:rtl/>
              </w:rPr>
            </w:pPr>
            <w:hyperlink w:anchor="Seif3" w:tooltip="אי תחולת חוק המינויים" w:history="1">
              <w:r w:rsidRPr="00AB5904">
                <w:rPr>
                  <w:rStyle w:val="Hyperlink"/>
                </w:rPr>
                <w:t>Go</w:t>
              </w:r>
            </w:hyperlink>
          </w:p>
        </w:tc>
        <w:tc>
          <w:tcPr>
            <w:tcW w:w="850" w:type="dxa"/>
          </w:tcPr>
          <w:p w14:paraId="56978EB5"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B5904" w:rsidRPr="00AB5904" w14:paraId="7B426D01" w14:textId="77777777">
        <w:tblPrEx>
          <w:tblCellMar>
            <w:top w:w="0" w:type="dxa"/>
            <w:bottom w:w="0" w:type="dxa"/>
          </w:tblCellMar>
        </w:tblPrEx>
        <w:tc>
          <w:tcPr>
            <w:tcW w:w="1247" w:type="dxa"/>
          </w:tcPr>
          <w:p w14:paraId="3C56762A" w14:textId="77777777" w:rsidR="00AB5904" w:rsidRPr="00AB5904" w:rsidRDefault="00AB5904" w:rsidP="00AB5904">
            <w:pPr>
              <w:spacing w:line="240" w:lineRule="auto"/>
              <w:jc w:val="left"/>
              <w:rPr>
                <w:rFonts w:cs="Frankruhel"/>
                <w:sz w:val="24"/>
                <w:rtl/>
              </w:rPr>
            </w:pPr>
            <w:r>
              <w:rPr>
                <w:sz w:val="24"/>
                <w:rtl/>
              </w:rPr>
              <w:t xml:space="preserve">סעיף 4 </w:t>
            </w:r>
          </w:p>
        </w:tc>
        <w:tc>
          <w:tcPr>
            <w:tcW w:w="5669" w:type="dxa"/>
          </w:tcPr>
          <w:p w14:paraId="5C0000D9" w14:textId="77777777" w:rsidR="00AB5904" w:rsidRPr="00AB5904" w:rsidRDefault="00AB5904" w:rsidP="00AB5904">
            <w:pPr>
              <w:spacing w:line="240" w:lineRule="auto"/>
              <w:jc w:val="left"/>
              <w:rPr>
                <w:rFonts w:cs="Frankruhel"/>
                <w:sz w:val="24"/>
                <w:rtl/>
              </w:rPr>
            </w:pPr>
            <w:r>
              <w:rPr>
                <w:sz w:val="24"/>
                <w:rtl/>
              </w:rPr>
              <w:t>סמכות לעשות חוזה מיוחד</w:t>
            </w:r>
          </w:p>
        </w:tc>
        <w:tc>
          <w:tcPr>
            <w:tcW w:w="567" w:type="dxa"/>
          </w:tcPr>
          <w:p w14:paraId="072D6BA3" w14:textId="77777777" w:rsidR="00AB5904" w:rsidRPr="00AB5904" w:rsidRDefault="00AB5904" w:rsidP="00AB5904">
            <w:pPr>
              <w:spacing w:line="240" w:lineRule="auto"/>
              <w:jc w:val="left"/>
              <w:rPr>
                <w:rStyle w:val="Hyperlink"/>
                <w:rtl/>
              </w:rPr>
            </w:pPr>
            <w:hyperlink w:anchor="Seif4" w:tooltip="סמכות לעשות חוזה מיוחד" w:history="1">
              <w:r w:rsidRPr="00AB5904">
                <w:rPr>
                  <w:rStyle w:val="Hyperlink"/>
                </w:rPr>
                <w:t>Go</w:t>
              </w:r>
            </w:hyperlink>
          </w:p>
        </w:tc>
        <w:tc>
          <w:tcPr>
            <w:tcW w:w="850" w:type="dxa"/>
          </w:tcPr>
          <w:p w14:paraId="748707C8"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B5904" w:rsidRPr="00AB5904" w14:paraId="1D05E028" w14:textId="77777777">
        <w:tblPrEx>
          <w:tblCellMar>
            <w:top w:w="0" w:type="dxa"/>
            <w:bottom w:w="0" w:type="dxa"/>
          </w:tblCellMar>
        </w:tblPrEx>
        <w:tc>
          <w:tcPr>
            <w:tcW w:w="1247" w:type="dxa"/>
          </w:tcPr>
          <w:p w14:paraId="3E5CA830" w14:textId="77777777" w:rsidR="00AB5904" w:rsidRPr="00AB5904" w:rsidRDefault="00AB5904" w:rsidP="00AB5904">
            <w:pPr>
              <w:spacing w:line="240" w:lineRule="auto"/>
              <w:jc w:val="left"/>
              <w:rPr>
                <w:rFonts w:cs="Frankruhel"/>
                <w:sz w:val="24"/>
                <w:rtl/>
              </w:rPr>
            </w:pPr>
            <w:r>
              <w:rPr>
                <w:sz w:val="24"/>
                <w:rtl/>
              </w:rPr>
              <w:t xml:space="preserve">סעיף 5 </w:t>
            </w:r>
          </w:p>
        </w:tc>
        <w:tc>
          <w:tcPr>
            <w:tcW w:w="5669" w:type="dxa"/>
          </w:tcPr>
          <w:p w14:paraId="03AD17C7" w14:textId="77777777" w:rsidR="00AB5904" w:rsidRPr="00AB5904" w:rsidRDefault="00AB5904" w:rsidP="00AB5904">
            <w:pPr>
              <w:spacing w:line="240" w:lineRule="auto"/>
              <w:jc w:val="left"/>
              <w:rPr>
                <w:rFonts w:cs="Frankruhel"/>
                <w:sz w:val="24"/>
                <w:rtl/>
              </w:rPr>
            </w:pPr>
            <w:r>
              <w:rPr>
                <w:sz w:val="24"/>
                <w:rtl/>
              </w:rPr>
              <w:t>מקרים להעסקה  על פי חוזה מיוחד</w:t>
            </w:r>
          </w:p>
        </w:tc>
        <w:tc>
          <w:tcPr>
            <w:tcW w:w="567" w:type="dxa"/>
          </w:tcPr>
          <w:p w14:paraId="2275D4B5" w14:textId="77777777" w:rsidR="00AB5904" w:rsidRPr="00AB5904" w:rsidRDefault="00AB5904" w:rsidP="00AB5904">
            <w:pPr>
              <w:spacing w:line="240" w:lineRule="auto"/>
              <w:jc w:val="left"/>
              <w:rPr>
                <w:rStyle w:val="Hyperlink"/>
                <w:rtl/>
              </w:rPr>
            </w:pPr>
            <w:hyperlink w:anchor="Seif5" w:tooltip="מקרים להעסקה  על פי חוזה מיוחד" w:history="1">
              <w:r w:rsidRPr="00AB5904">
                <w:rPr>
                  <w:rStyle w:val="Hyperlink"/>
                </w:rPr>
                <w:t>Go</w:t>
              </w:r>
            </w:hyperlink>
          </w:p>
        </w:tc>
        <w:tc>
          <w:tcPr>
            <w:tcW w:w="850" w:type="dxa"/>
          </w:tcPr>
          <w:p w14:paraId="1D6DEC10"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B5904" w:rsidRPr="00AB5904" w14:paraId="489F87D1" w14:textId="77777777">
        <w:tblPrEx>
          <w:tblCellMar>
            <w:top w:w="0" w:type="dxa"/>
            <w:bottom w:w="0" w:type="dxa"/>
          </w:tblCellMar>
        </w:tblPrEx>
        <w:tc>
          <w:tcPr>
            <w:tcW w:w="1247" w:type="dxa"/>
          </w:tcPr>
          <w:p w14:paraId="057516CE" w14:textId="77777777" w:rsidR="00AB5904" w:rsidRPr="00AB5904" w:rsidRDefault="00AB5904" w:rsidP="00AB5904">
            <w:pPr>
              <w:spacing w:line="240" w:lineRule="auto"/>
              <w:jc w:val="left"/>
              <w:rPr>
                <w:rFonts w:cs="Frankruhel"/>
                <w:sz w:val="24"/>
                <w:rtl/>
              </w:rPr>
            </w:pPr>
            <w:r>
              <w:rPr>
                <w:sz w:val="24"/>
                <w:rtl/>
              </w:rPr>
              <w:t xml:space="preserve">סעיף 6 </w:t>
            </w:r>
          </w:p>
        </w:tc>
        <w:tc>
          <w:tcPr>
            <w:tcW w:w="5669" w:type="dxa"/>
          </w:tcPr>
          <w:p w14:paraId="77F8A01E" w14:textId="77777777" w:rsidR="00AB5904" w:rsidRPr="00AB5904" w:rsidRDefault="00AB5904" w:rsidP="00AB5904">
            <w:pPr>
              <w:spacing w:line="240" w:lineRule="auto"/>
              <w:jc w:val="left"/>
              <w:rPr>
                <w:rFonts w:cs="Frankruhel"/>
                <w:sz w:val="24"/>
                <w:rtl/>
              </w:rPr>
            </w:pPr>
            <w:r>
              <w:rPr>
                <w:sz w:val="24"/>
                <w:rtl/>
              </w:rPr>
              <w:t>תקן</w:t>
            </w:r>
          </w:p>
        </w:tc>
        <w:tc>
          <w:tcPr>
            <w:tcW w:w="567" w:type="dxa"/>
          </w:tcPr>
          <w:p w14:paraId="1823A373" w14:textId="77777777" w:rsidR="00AB5904" w:rsidRPr="00AB5904" w:rsidRDefault="00AB5904" w:rsidP="00AB5904">
            <w:pPr>
              <w:spacing w:line="240" w:lineRule="auto"/>
              <w:jc w:val="left"/>
              <w:rPr>
                <w:rStyle w:val="Hyperlink"/>
                <w:rtl/>
              </w:rPr>
            </w:pPr>
            <w:hyperlink w:anchor="Seif6" w:tooltip="תקן" w:history="1">
              <w:r w:rsidRPr="00AB5904">
                <w:rPr>
                  <w:rStyle w:val="Hyperlink"/>
                </w:rPr>
                <w:t>Go</w:t>
              </w:r>
            </w:hyperlink>
          </w:p>
        </w:tc>
        <w:tc>
          <w:tcPr>
            <w:tcW w:w="850" w:type="dxa"/>
          </w:tcPr>
          <w:p w14:paraId="2A4232B1"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5904" w:rsidRPr="00AB5904" w14:paraId="06972E3D" w14:textId="77777777">
        <w:tblPrEx>
          <w:tblCellMar>
            <w:top w:w="0" w:type="dxa"/>
            <w:bottom w:w="0" w:type="dxa"/>
          </w:tblCellMar>
        </w:tblPrEx>
        <w:tc>
          <w:tcPr>
            <w:tcW w:w="1247" w:type="dxa"/>
          </w:tcPr>
          <w:p w14:paraId="2B2A3CC3" w14:textId="77777777" w:rsidR="00AB5904" w:rsidRPr="00AB5904" w:rsidRDefault="00AB5904" w:rsidP="00AB5904">
            <w:pPr>
              <w:spacing w:line="240" w:lineRule="auto"/>
              <w:jc w:val="left"/>
              <w:rPr>
                <w:rFonts w:cs="Frankruhel"/>
                <w:sz w:val="24"/>
                <w:rtl/>
              </w:rPr>
            </w:pPr>
            <w:r>
              <w:rPr>
                <w:sz w:val="24"/>
                <w:rtl/>
              </w:rPr>
              <w:t xml:space="preserve">סעיף 7 </w:t>
            </w:r>
          </w:p>
        </w:tc>
        <w:tc>
          <w:tcPr>
            <w:tcW w:w="5669" w:type="dxa"/>
          </w:tcPr>
          <w:p w14:paraId="0E69C488" w14:textId="77777777" w:rsidR="00AB5904" w:rsidRPr="00AB5904" w:rsidRDefault="00AB5904" w:rsidP="00AB5904">
            <w:pPr>
              <w:spacing w:line="240" w:lineRule="auto"/>
              <w:jc w:val="left"/>
              <w:rPr>
                <w:rFonts w:cs="Frankruhel"/>
                <w:sz w:val="24"/>
                <w:rtl/>
              </w:rPr>
            </w:pPr>
            <w:r>
              <w:rPr>
                <w:sz w:val="24"/>
                <w:rtl/>
              </w:rPr>
              <w:t>כללי מכרזים</w:t>
            </w:r>
          </w:p>
        </w:tc>
        <w:tc>
          <w:tcPr>
            <w:tcW w:w="567" w:type="dxa"/>
          </w:tcPr>
          <w:p w14:paraId="0AA55805" w14:textId="77777777" w:rsidR="00AB5904" w:rsidRPr="00AB5904" w:rsidRDefault="00AB5904" w:rsidP="00AB5904">
            <w:pPr>
              <w:spacing w:line="240" w:lineRule="auto"/>
              <w:jc w:val="left"/>
              <w:rPr>
                <w:rStyle w:val="Hyperlink"/>
                <w:rtl/>
              </w:rPr>
            </w:pPr>
            <w:hyperlink w:anchor="Seif7" w:tooltip="כללי מכרזים" w:history="1">
              <w:r w:rsidRPr="00AB5904">
                <w:rPr>
                  <w:rStyle w:val="Hyperlink"/>
                </w:rPr>
                <w:t>Go</w:t>
              </w:r>
            </w:hyperlink>
          </w:p>
        </w:tc>
        <w:tc>
          <w:tcPr>
            <w:tcW w:w="850" w:type="dxa"/>
          </w:tcPr>
          <w:p w14:paraId="042E7DA7"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5904" w:rsidRPr="00AB5904" w14:paraId="06A1C24E" w14:textId="77777777">
        <w:tblPrEx>
          <w:tblCellMar>
            <w:top w:w="0" w:type="dxa"/>
            <w:bottom w:w="0" w:type="dxa"/>
          </w:tblCellMar>
        </w:tblPrEx>
        <w:tc>
          <w:tcPr>
            <w:tcW w:w="1247" w:type="dxa"/>
          </w:tcPr>
          <w:p w14:paraId="70D580F8" w14:textId="77777777" w:rsidR="00AB5904" w:rsidRPr="00AB5904" w:rsidRDefault="00AB5904" w:rsidP="00AB5904">
            <w:pPr>
              <w:spacing w:line="240" w:lineRule="auto"/>
              <w:jc w:val="left"/>
              <w:rPr>
                <w:rFonts w:cs="Frankruhel"/>
                <w:sz w:val="24"/>
                <w:rtl/>
              </w:rPr>
            </w:pPr>
            <w:r>
              <w:rPr>
                <w:sz w:val="24"/>
                <w:rtl/>
              </w:rPr>
              <w:t xml:space="preserve">סעיף 8 </w:t>
            </w:r>
          </w:p>
        </w:tc>
        <w:tc>
          <w:tcPr>
            <w:tcW w:w="5669" w:type="dxa"/>
          </w:tcPr>
          <w:p w14:paraId="49C1ADBE" w14:textId="77777777" w:rsidR="00AB5904" w:rsidRPr="00AB5904" w:rsidRDefault="00AB5904" w:rsidP="00AB5904">
            <w:pPr>
              <w:spacing w:line="240" w:lineRule="auto"/>
              <w:jc w:val="left"/>
              <w:rPr>
                <w:rFonts w:cs="Frankruhel"/>
                <w:sz w:val="24"/>
                <w:rtl/>
              </w:rPr>
            </w:pPr>
            <w:r>
              <w:rPr>
                <w:sz w:val="24"/>
                <w:rtl/>
              </w:rPr>
              <w:t>פטור ממכרז</w:t>
            </w:r>
          </w:p>
        </w:tc>
        <w:tc>
          <w:tcPr>
            <w:tcW w:w="567" w:type="dxa"/>
          </w:tcPr>
          <w:p w14:paraId="26333169" w14:textId="77777777" w:rsidR="00AB5904" w:rsidRPr="00AB5904" w:rsidRDefault="00AB5904" w:rsidP="00AB5904">
            <w:pPr>
              <w:spacing w:line="240" w:lineRule="auto"/>
              <w:jc w:val="left"/>
              <w:rPr>
                <w:rStyle w:val="Hyperlink"/>
                <w:rtl/>
              </w:rPr>
            </w:pPr>
            <w:hyperlink w:anchor="Seif8" w:tooltip="פטור ממכרז" w:history="1">
              <w:r w:rsidRPr="00AB5904">
                <w:rPr>
                  <w:rStyle w:val="Hyperlink"/>
                </w:rPr>
                <w:t>Go</w:t>
              </w:r>
            </w:hyperlink>
          </w:p>
        </w:tc>
        <w:tc>
          <w:tcPr>
            <w:tcW w:w="850" w:type="dxa"/>
          </w:tcPr>
          <w:p w14:paraId="14FB4564"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5904" w:rsidRPr="00AB5904" w14:paraId="4CB3F5D8" w14:textId="77777777">
        <w:tblPrEx>
          <w:tblCellMar>
            <w:top w:w="0" w:type="dxa"/>
            <w:bottom w:w="0" w:type="dxa"/>
          </w:tblCellMar>
        </w:tblPrEx>
        <w:tc>
          <w:tcPr>
            <w:tcW w:w="1247" w:type="dxa"/>
          </w:tcPr>
          <w:p w14:paraId="06A7EDED" w14:textId="77777777" w:rsidR="00AB5904" w:rsidRPr="00AB5904" w:rsidRDefault="00AB5904" w:rsidP="00AB5904">
            <w:pPr>
              <w:spacing w:line="240" w:lineRule="auto"/>
              <w:jc w:val="left"/>
              <w:rPr>
                <w:rFonts w:cs="Frankruhel"/>
                <w:sz w:val="24"/>
                <w:rtl/>
              </w:rPr>
            </w:pPr>
            <w:r>
              <w:rPr>
                <w:sz w:val="24"/>
                <w:rtl/>
              </w:rPr>
              <w:t xml:space="preserve">סעיף 9 </w:t>
            </w:r>
          </w:p>
        </w:tc>
        <w:tc>
          <w:tcPr>
            <w:tcW w:w="5669" w:type="dxa"/>
          </w:tcPr>
          <w:p w14:paraId="735F4A6D" w14:textId="77777777" w:rsidR="00AB5904" w:rsidRPr="00AB5904" w:rsidRDefault="00AB5904" w:rsidP="00AB5904">
            <w:pPr>
              <w:spacing w:line="240" w:lineRule="auto"/>
              <w:jc w:val="left"/>
              <w:rPr>
                <w:rFonts w:cs="Frankruhel"/>
                <w:sz w:val="24"/>
                <w:rtl/>
              </w:rPr>
            </w:pPr>
            <w:r>
              <w:rPr>
                <w:sz w:val="24"/>
                <w:rtl/>
              </w:rPr>
              <w:t>ניהול בחינות</w:t>
            </w:r>
          </w:p>
        </w:tc>
        <w:tc>
          <w:tcPr>
            <w:tcW w:w="567" w:type="dxa"/>
          </w:tcPr>
          <w:p w14:paraId="29B733AE" w14:textId="77777777" w:rsidR="00AB5904" w:rsidRPr="00AB5904" w:rsidRDefault="00AB5904" w:rsidP="00AB5904">
            <w:pPr>
              <w:spacing w:line="240" w:lineRule="auto"/>
              <w:jc w:val="left"/>
              <w:rPr>
                <w:rStyle w:val="Hyperlink"/>
                <w:rtl/>
              </w:rPr>
            </w:pPr>
            <w:hyperlink w:anchor="Seif9" w:tooltip="ניהול בחינות" w:history="1">
              <w:r w:rsidRPr="00AB5904">
                <w:rPr>
                  <w:rStyle w:val="Hyperlink"/>
                </w:rPr>
                <w:t>Go</w:t>
              </w:r>
            </w:hyperlink>
          </w:p>
        </w:tc>
        <w:tc>
          <w:tcPr>
            <w:tcW w:w="850" w:type="dxa"/>
          </w:tcPr>
          <w:p w14:paraId="74466C41"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5904" w:rsidRPr="00AB5904" w14:paraId="78938C30" w14:textId="77777777">
        <w:tblPrEx>
          <w:tblCellMar>
            <w:top w:w="0" w:type="dxa"/>
            <w:bottom w:w="0" w:type="dxa"/>
          </w:tblCellMar>
        </w:tblPrEx>
        <w:tc>
          <w:tcPr>
            <w:tcW w:w="1247" w:type="dxa"/>
          </w:tcPr>
          <w:p w14:paraId="2EEB3F9A" w14:textId="77777777" w:rsidR="00AB5904" w:rsidRPr="00AB5904" w:rsidRDefault="00AB5904" w:rsidP="00AB5904">
            <w:pPr>
              <w:spacing w:line="240" w:lineRule="auto"/>
              <w:jc w:val="left"/>
              <w:rPr>
                <w:rFonts w:cs="Frankruhel"/>
                <w:sz w:val="24"/>
                <w:rtl/>
              </w:rPr>
            </w:pPr>
            <w:r>
              <w:rPr>
                <w:sz w:val="24"/>
                <w:rtl/>
              </w:rPr>
              <w:t xml:space="preserve">סעיף 10 </w:t>
            </w:r>
          </w:p>
        </w:tc>
        <w:tc>
          <w:tcPr>
            <w:tcW w:w="5669" w:type="dxa"/>
          </w:tcPr>
          <w:p w14:paraId="11F3D283" w14:textId="77777777" w:rsidR="00AB5904" w:rsidRPr="00AB5904" w:rsidRDefault="00AB5904" w:rsidP="00AB5904">
            <w:pPr>
              <w:spacing w:line="240" w:lineRule="auto"/>
              <w:jc w:val="left"/>
              <w:rPr>
                <w:rFonts w:cs="Frankruhel"/>
                <w:sz w:val="24"/>
                <w:rtl/>
              </w:rPr>
            </w:pPr>
            <w:r>
              <w:rPr>
                <w:sz w:val="24"/>
                <w:rtl/>
              </w:rPr>
              <w:t>אי תחולת סעיפים</w:t>
            </w:r>
          </w:p>
        </w:tc>
        <w:tc>
          <w:tcPr>
            <w:tcW w:w="567" w:type="dxa"/>
          </w:tcPr>
          <w:p w14:paraId="51DF9DB7" w14:textId="77777777" w:rsidR="00AB5904" w:rsidRPr="00AB5904" w:rsidRDefault="00AB5904" w:rsidP="00AB5904">
            <w:pPr>
              <w:spacing w:line="240" w:lineRule="auto"/>
              <w:jc w:val="left"/>
              <w:rPr>
                <w:rStyle w:val="Hyperlink"/>
                <w:rtl/>
              </w:rPr>
            </w:pPr>
            <w:hyperlink w:anchor="Seif10" w:tooltip="אי תחולת סעיפים" w:history="1">
              <w:r w:rsidRPr="00AB5904">
                <w:rPr>
                  <w:rStyle w:val="Hyperlink"/>
                </w:rPr>
                <w:t>Go</w:t>
              </w:r>
            </w:hyperlink>
          </w:p>
        </w:tc>
        <w:tc>
          <w:tcPr>
            <w:tcW w:w="850" w:type="dxa"/>
          </w:tcPr>
          <w:p w14:paraId="0AB2632E"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5904" w:rsidRPr="00AB5904" w14:paraId="1462B056" w14:textId="77777777">
        <w:tblPrEx>
          <w:tblCellMar>
            <w:top w:w="0" w:type="dxa"/>
            <w:bottom w:w="0" w:type="dxa"/>
          </w:tblCellMar>
        </w:tblPrEx>
        <w:tc>
          <w:tcPr>
            <w:tcW w:w="1247" w:type="dxa"/>
          </w:tcPr>
          <w:p w14:paraId="4F75FB48" w14:textId="77777777" w:rsidR="00AB5904" w:rsidRPr="00AB5904" w:rsidRDefault="00AB5904" w:rsidP="00AB5904">
            <w:pPr>
              <w:spacing w:line="240" w:lineRule="auto"/>
              <w:jc w:val="left"/>
              <w:rPr>
                <w:rFonts w:cs="Frankruhel"/>
                <w:sz w:val="24"/>
                <w:rtl/>
              </w:rPr>
            </w:pPr>
          </w:p>
        </w:tc>
        <w:tc>
          <w:tcPr>
            <w:tcW w:w="5669" w:type="dxa"/>
          </w:tcPr>
          <w:p w14:paraId="7C35DE15" w14:textId="77777777" w:rsidR="00AB5904" w:rsidRPr="00AB5904" w:rsidRDefault="00AB5904" w:rsidP="00AB5904">
            <w:pPr>
              <w:spacing w:line="240" w:lineRule="auto"/>
              <w:jc w:val="left"/>
              <w:rPr>
                <w:rFonts w:cs="Frankruhel"/>
                <w:sz w:val="24"/>
                <w:rtl/>
              </w:rPr>
            </w:pPr>
            <w:r>
              <w:rPr>
                <w:sz w:val="24"/>
                <w:rtl/>
              </w:rPr>
              <w:t>פרק שלישי: משמעת</w:t>
            </w:r>
          </w:p>
        </w:tc>
        <w:tc>
          <w:tcPr>
            <w:tcW w:w="567" w:type="dxa"/>
          </w:tcPr>
          <w:p w14:paraId="3995BF2B" w14:textId="77777777" w:rsidR="00AB5904" w:rsidRPr="00AB5904" w:rsidRDefault="00AB5904" w:rsidP="00AB5904">
            <w:pPr>
              <w:spacing w:line="240" w:lineRule="auto"/>
              <w:jc w:val="left"/>
              <w:rPr>
                <w:rStyle w:val="Hyperlink"/>
                <w:rtl/>
              </w:rPr>
            </w:pPr>
            <w:hyperlink w:anchor="med2" w:tooltip="פרק שלישי: משמעת" w:history="1">
              <w:r w:rsidRPr="00AB5904">
                <w:rPr>
                  <w:rStyle w:val="Hyperlink"/>
                </w:rPr>
                <w:t>Go</w:t>
              </w:r>
            </w:hyperlink>
          </w:p>
        </w:tc>
        <w:tc>
          <w:tcPr>
            <w:tcW w:w="850" w:type="dxa"/>
          </w:tcPr>
          <w:p w14:paraId="40D3B20F"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5904" w:rsidRPr="00AB5904" w14:paraId="3D73D90E" w14:textId="77777777">
        <w:tblPrEx>
          <w:tblCellMar>
            <w:top w:w="0" w:type="dxa"/>
            <w:bottom w:w="0" w:type="dxa"/>
          </w:tblCellMar>
        </w:tblPrEx>
        <w:tc>
          <w:tcPr>
            <w:tcW w:w="1247" w:type="dxa"/>
          </w:tcPr>
          <w:p w14:paraId="29138047" w14:textId="77777777" w:rsidR="00AB5904" w:rsidRPr="00AB5904" w:rsidRDefault="00AB5904" w:rsidP="00AB5904">
            <w:pPr>
              <w:spacing w:line="240" w:lineRule="auto"/>
              <w:jc w:val="left"/>
              <w:rPr>
                <w:rFonts w:cs="Frankruhel"/>
                <w:sz w:val="24"/>
                <w:rtl/>
              </w:rPr>
            </w:pPr>
            <w:r>
              <w:rPr>
                <w:sz w:val="24"/>
                <w:rtl/>
              </w:rPr>
              <w:t xml:space="preserve">סעיף 11 </w:t>
            </w:r>
          </w:p>
        </w:tc>
        <w:tc>
          <w:tcPr>
            <w:tcW w:w="5669" w:type="dxa"/>
          </w:tcPr>
          <w:p w14:paraId="6C2CDDA3" w14:textId="77777777" w:rsidR="00AB5904" w:rsidRPr="00AB5904" w:rsidRDefault="00AB5904" w:rsidP="00AB5904">
            <w:pPr>
              <w:spacing w:line="240" w:lineRule="auto"/>
              <w:jc w:val="left"/>
              <w:rPr>
                <w:rFonts w:cs="Frankruhel"/>
                <w:sz w:val="24"/>
                <w:rtl/>
              </w:rPr>
            </w:pPr>
            <w:r>
              <w:rPr>
                <w:sz w:val="24"/>
                <w:rtl/>
              </w:rPr>
              <w:t>תחולת חוק המשמעת</w:t>
            </w:r>
          </w:p>
        </w:tc>
        <w:tc>
          <w:tcPr>
            <w:tcW w:w="567" w:type="dxa"/>
          </w:tcPr>
          <w:p w14:paraId="103F98C0" w14:textId="77777777" w:rsidR="00AB5904" w:rsidRPr="00AB5904" w:rsidRDefault="00AB5904" w:rsidP="00AB5904">
            <w:pPr>
              <w:spacing w:line="240" w:lineRule="auto"/>
              <w:jc w:val="left"/>
              <w:rPr>
                <w:rStyle w:val="Hyperlink"/>
                <w:rtl/>
              </w:rPr>
            </w:pPr>
            <w:hyperlink w:anchor="Seif11" w:tooltip="תחולת חוק המשמעת" w:history="1">
              <w:r w:rsidRPr="00AB5904">
                <w:rPr>
                  <w:rStyle w:val="Hyperlink"/>
                </w:rPr>
                <w:t>Go</w:t>
              </w:r>
            </w:hyperlink>
          </w:p>
        </w:tc>
        <w:tc>
          <w:tcPr>
            <w:tcW w:w="850" w:type="dxa"/>
          </w:tcPr>
          <w:p w14:paraId="72D3ABD4"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5904" w:rsidRPr="00AB5904" w14:paraId="1D0C1A87" w14:textId="77777777">
        <w:tblPrEx>
          <w:tblCellMar>
            <w:top w:w="0" w:type="dxa"/>
            <w:bottom w:w="0" w:type="dxa"/>
          </w:tblCellMar>
        </w:tblPrEx>
        <w:tc>
          <w:tcPr>
            <w:tcW w:w="1247" w:type="dxa"/>
          </w:tcPr>
          <w:p w14:paraId="205ABD70" w14:textId="77777777" w:rsidR="00AB5904" w:rsidRPr="00AB5904" w:rsidRDefault="00AB5904" w:rsidP="00AB5904">
            <w:pPr>
              <w:spacing w:line="240" w:lineRule="auto"/>
              <w:jc w:val="left"/>
              <w:rPr>
                <w:rFonts w:cs="Frankruhel"/>
                <w:sz w:val="24"/>
                <w:rtl/>
              </w:rPr>
            </w:pPr>
            <w:r>
              <w:rPr>
                <w:sz w:val="24"/>
                <w:rtl/>
              </w:rPr>
              <w:t xml:space="preserve">סעיף 12 </w:t>
            </w:r>
          </w:p>
        </w:tc>
        <w:tc>
          <w:tcPr>
            <w:tcW w:w="5669" w:type="dxa"/>
          </w:tcPr>
          <w:p w14:paraId="542232E0" w14:textId="77777777" w:rsidR="00AB5904" w:rsidRPr="00AB5904" w:rsidRDefault="00AB5904" w:rsidP="00AB5904">
            <w:pPr>
              <w:spacing w:line="240" w:lineRule="auto"/>
              <w:jc w:val="left"/>
              <w:rPr>
                <w:rFonts w:cs="Frankruhel"/>
                <w:sz w:val="24"/>
                <w:rtl/>
              </w:rPr>
            </w:pPr>
            <w:r>
              <w:rPr>
                <w:sz w:val="24"/>
                <w:rtl/>
              </w:rPr>
              <w:t>ועדת משמעת</w:t>
            </w:r>
          </w:p>
        </w:tc>
        <w:tc>
          <w:tcPr>
            <w:tcW w:w="567" w:type="dxa"/>
          </w:tcPr>
          <w:p w14:paraId="3F069643" w14:textId="77777777" w:rsidR="00AB5904" w:rsidRPr="00AB5904" w:rsidRDefault="00AB5904" w:rsidP="00AB5904">
            <w:pPr>
              <w:spacing w:line="240" w:lineRule="auto"/>
              <w:jc w:val="left"/>
              <w:rPr>
                <w:rStyle w:val="Hyperlink"/>
                <w:rtl/>
              </w:rPr>
            </w:pPr>
            <w:hyperlink w:anchor="Seif12" w:tooltip="ועדת משמעת" w:history="1">
              <w:r w:rsidRPr="00AB5904">
                <w:rPr>
                  <w:rStyle w:val="Hyperlink"/>
                </w:rPr>
                <w:t>Go</w:t>
              </w:r>
            </w:hyperlink>
          </w:p>
        </w:tc>
        <w:tc>
          <w:tcPr>
            <w:tcW w:w="850" w:type="dxa"/>
          </w:tcPr>
          <w:p w14:paraId="7ABF6ED7"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5904" w:rsidRPr="00AB5904" w14:paraId="760F9AFE" w14:textId="77777777">
        <w:tblPrEx>
          <w:tblCellMar>
            <w:top w:w="0" w:type="dxa"/>
            <w:bottom w:w="0" w:type="dxa"/>
          </w:tblCellMar>
        </w:tblPrEx>
        <w:tc>
          <w:tcPr>
            <w:tcW w:w="1247" w:type="dxa"/>
          </w:tcPr>
          <w:p w14:paraId="74628096" w14:textId="77777777" w:rsidR="00AB5904" w:rsidRPr="00AB5904" w:rsidRDefault="00AB5904" w:rsidP="00AB5904">
            <w:pPr>
              <w:spacing w:line="240" w:lineRule="auto"/>
              <w:jc w:val="left"/>
              <w:rPr>
                <w:rFonts w:cs="Frankruhel"/>
                <w:sz w:val="24"/>
                <w:rtl/>
              </w:rPr>
            </w:pPr>
            <w:r>
              <w:rPr>
                <w:sz w:val="24"/>
                <w:rtl/>
              </w:rPr>
              <w:t xml:space="preserve">סעיף 13 </w:t>
            </w:r>
          </w:p>
        </w:tc>
        <w:tc>
          <w:tcPr>
            <w:tcW w:w="5669" w:type="dxa"/>
          </w:tcPr>
          <w:p w14:paraId="01EBE8A4" w14:textId="77777777" w:rsidR="00AB5904" w:rsidRPr="00AB5904" w:rsidRDefault="00AB5904" w:rsidP="00AB5904">
            <w:pPr>
              <w:spacing w:line="240" w:lineRule="auto"/>
              <w:jc w:val="left"/>
              <w:rPr>
                <w:rFonts w:cs="Frankruhel"/>
                <w:sz w:val="24"/>
                <w:rtl/>
              </w:rPr>
            </w:pPr>
            <w:r>
              <w:rPr>
                <w:sz w:val="24"/>
                <w:rtl/>
              </w:rPr>
              <w:t>בית הדין</w:t>
            </w:r>
          </w:p>
        </w:tc>
        <w:tc>
          <w:tcPr>
            <w:tcW w:w="567" w:type="dxa"/>
          </w:tcPr>
          <w:p w14:paraId="52488FA7" w14:textId="77777777" w:rsidR="00AB5904" w:rsidRPr="00AB5904" w:rsidRDefault="00AB5904" w:rsidP="00AB5904">
            <w:pPr>
              <w:spacing w:line="240" w:lineRule="auto"/>
              <w:jc w:val="left"/>
              <w:rPr>
                <w:rStyle w:val="Hyperlink"/>
                <w:rtl/>
              </w:rPr>
            </w:pPr>
            <w:hyperlink w:anchor="Seif13" w:tooltip="בית הדין" w:history="1">
              <w:r w:rsidRPr="00AB5904">
                <w:rPr>
                  <w:rStyle w:val="Hyperlink"/>
                </w:rPr>
                <w:t>Go</w:t>
              </w:r>
            </w:hyperlink>
          </w:p>
        </w:tc>
        <w:tc>
          <w:tcPr>
            <w:tcW w:w="850" w:type="dxa"/>
          </w:tcPr>
          <w:p w14:paraId="44BBDCBA"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B5904" w:rsidRPr="00AB5904" w14:paraId="71752F6B" w14:textId="77777777">
        <w:tblPrEx>
          <w:tblCellMar>
            <w:top w:w="0" w:type="dxa"/>
            <w:bottom w:w="0" w:type="dxa"/>
          </w:tblCellMar>
        </w:tblPrEx>
        <w:tc>
          <w:tcPr>
            <w:tcW w:w="1247" w:type="dxa"/>
          </w:tcPr>
          <w:p w14:paraId="4FB9F0CB" w14:textId="77777777" w:rsidR="00AB5904" w:rsidRPr="00AB5904" w:rsidRDefault="00AB5904" w:rsidP="00AB5904">
            <w:pPr>
              <w:spacing w:line="240" w:lineRule="auto"/>
              <w:jc w:val="left"/>
              <w:rPr>
                <w:rFonts w:cs="Frankruhel"/>
                <w:sz w:val="24"/>
                <w:rtl/>
              </w:rPr>
            </w:pPr>
            <w:r>
              <w:rPr>
                <w:sz w:val="24"/>
                <w:rtl/>
              </w:rPr>
              <w:t xml:space="preserve">סעיף 14 </w:t>
            </w:r>
          </w:p>
        </w:tc>
        <w:tc>
          <w:tcPr>
            <w:tcW w:w="5669" w:type="dxa"/>
          </w:tcPr>
          <w:p w14:paraId="2B577297" w14:textId="77777777" w:rsidR="00AB5904" w:rsidRPr="00AB5904" w:rsidRDefault="00AB5904" w:rsidP="00AB5904">
            <w:pPr>
              <w:spacing w:line="240" w:lineRule="auto"/>
              <w:jc w:val="left"/>
              <w:rPr>
                <w:rFonts w:cs="Frankruhel"/>
                <w:sz w:val="24"/>
                <w:rtl/>
              </w:rPr>
            </w:pPr>
            <w:r>
              <w:rPr>
                <w:sz w:val="24"/>
                <w:rtl/>
              </w:rPr>
              <w:t>אי תחולה</w:t>
            </w:r>
          </w:p>
        </w:tc>
        <w:tc>
          <w:tcPr>
            <w:tcW w:w="567" w:type="dxa"/>
          </w:tcPr>
          <w:p w14:paraId="54D3D256" w14:textId="77777777" w:rsidR="00AB5904" w:rsidRPr="00AB5904" w:rsidRDefault="00AB5904" w:rsidP="00AB5904">
            <w:pPr>
              <w:spacing w:line="240" w:lineRule="auto"/>
              <w:jc w:val="left"/>
              <w:rPr>
                <w:rStyle w:val="Hyperlink"/>
                <w:rtl/>
              </w:rPr>
            </w:pPr>
            <w:hyperlink w:anchor="Seif14" w:tooltip="אי תחולה" w:history="1">
              <w:r w:rsidRPr="00AB5904">
                <w:rPr>
                  <w:rStyle w:val="Hyperlink"/>
                </w:rPr>
                <w:t>Go</w:t>
              </w:r>
            </w:hyperlink>
          </w:p>
        </w:tc>
        <w:tc>
          <w:tcPr>
            <w:tcW w:w="850" w:type="dxa"/>
          </w:tcPr>
          <w:p w14:paraId="5D391205"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B5904" w:rsidRPr="00AB5904" w14:paraId="3B30B00D" w14:textId="77777777">
        <w:tblPrEx>
          <w:tblCellMar>
            <w:top w:w="0" w:type="dxa"/>
            <w:bottom w:w="0" w:type="dxa"/>
          </w:tblCellMar>
        </w:tblPrEx>
        <w:tc>
          <w:tcPr>
            <w:tcW w:w="1247" w:type="dxa"/>
          </w:tcPr>
          <w:p w14:paraId="37A90166" w14:textId="77777777" w:rsidR="00AB5904" w:rsidRPr="00AB5904" w:rsidRDefault="00AB5904" w:rsidP="00AB5904">
            <w:pPr>
              <w:spacing w:line="240" w:lineRule="auto"/>
              <w:jc w:val="left"/>
              <w:rPr>
                <w:rFonts w:cs="Frankruhel"/>
                <w:sz w:val="24"/>
                <w:rtl/>
              </w:rPr>
            </w:pPr>
          </w:p>
        </w:tc>
        <w:tc>
          <w:tcPr>
            <w:tcW w:w="5669" w:type="dxa"/>
          </w:tcPr>
          <w:p w14:paraId="69A784B0" w14:textId="77777777" w:rsidR="00AB5904" w:rsidRPr="00AB5904" w:rsidRDefault="00AB5904" w:rsidP="00AB5904">
            <w:pPr>
              <w:spacing w:line="240" w:lineRule="auto"/>
              <w:jc w:val="left"/>
              <w:rPr>
                <w:rFonts w:cs="Frankruhel"/>
                <w:sz w:val="24"/>
                <w:rtl/>
              </w:rPr>
            </w:pPr>
            <w:r>
              <w:rPr>
                <w:sz w:val="24"/>
                <w:rtl/>
              </w:rPr>
              <w:t>פרק רביעי: שונות</w:t>
            </w:r>
          </w:p>
        </w:tc>
        <w:tc>
          <w:tcPr>
            <w:tcW w:w="567" w:type="dxa"/>
          </w:tcPr>
          <w:p w14:paraId="5A9A3D96" w14:textId="77777777" w:rsidR="00AB5904" w:rsidRPr="00AB5904" w:rsidRDefault="00AB5904" w:rsidP="00AB5904">
            <w:pPr>
              <w:spacing w:line="240" w:lineRule="auto"/>
              <w:jc w:val="left"/>
              <w:rPr>
                <w:rStyle w:val="Hyperlink"/>
                <w:rtl/>
              </w:rPr>
            </w:pPr>
            <w:hyperlink w:anchor="med3" w:tooltip="פרק רביעי: שונות" w:history="1">
              <w:r w:rsidRPr="00AB5904">
                <w:rPr>
                  <w:rStyle w:val="Hyperlink"/>
                </w:rPr>
                <w:t>Go</w:t>
              </w:r>
            </w:hyperlink>
          </w:p>
        </w:tc>
        <w:tc>
          <w:tcPr>
            <w:tcW w:w="850" w:type="dxa"/>
          </w:tcPr>
          <w:p w14:paraId="6A3981AD"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B5904" w:rsidRPr="00AB5904" w14:paraId="7D21DE80" w14:textId="77777777">
        <w:tblPrEx>
          <w:tblCellMar>
            <w:top w:w="0" w:type="dxa"/>
            <w:bottom w:w="0" w:type="dxa"/>
          </w:tblCellMar>
        </w:tblPrEx>
        <w:tc>
          <w:tcPr>
            <w:tcW w:w="1247" w:type="dxa"/>
          </w:tcPr>
          <w:p w14:paraId="55DEB345" w14:textId="77777777" w:rsidR="00AB5904" w:rsidRPr="00AB5904" w:rsidRDefault="00AB5904" w:rsidP="00AB5904">
            <w:pPr>
              <w:spacing w:line="240" w:lineRule="auto"/>
              <w:jc w:val="left"/>
              <w:rPr>
                <w:rFonts w:cs="Frankruhel"/>
                <w:sz w:val="24"/>
                <w:rtl/>
              </w:rPr>
            </w:pPr>
            <w:r>
              <w:rPr>
                <w:sz w:val="24"/>
                <w:rtl/>
              </w:rPr>
              <w:t xml:space="preserve">סעיף 15 </w:t>
            </w:r>
          </w:p>
        </w:tc>
        <w:tc>
          <w:tcPr>
            <w:tcW w:w="5669" w:type="dxa"/>
          </w:tcPr>
          <w:p w14:paraId="5B904205" w14:textId="77777777" w:rsidR="00AB5904" w:rsidRPr="00AB5904" w:rsidRDefault="00AB5904" w:rsidP="00AB5904">
            <w:pPr>
              <w:spacing w:line="240" w:lineRule="auto"/>
              <w:jc w:val="left"/>
              <w:rPr>
                <w:rFonts w:cs="Frankruhel"/>
                <w:sz w:val="24"/>
                <w:rtl/>
              </w:rPr>
            </w:pPr>
            <w:r>
              <w:rPr>
                <w:sz w:val="24"/>
                <w:rtl/>
              </w:rPr>
              <w:t>תיאום</w:t>
            </w:r>
          </w:p>
        </w:tc>
        <w:tc>
          <w:tcPr>
            <w:tcW w:w="567" w:type="dxa"/>
          </w:tcPr>
          <w:p w14:paraId="48419F7E" w14:textId="77777777" w:rsidR="00AB5904" w:rsidRPr="00AB5904" w:rsidRDefault="00AB5904" w:rsidP="00AB5904">
            <w:pPr>
              <w:spacing w:line="240" w:lineRule="auto"/>
              <w:jc w:val="left"/>
              <w:rPr>
                <w:rStyle w:val="Hyperlink"/>
                <w:rtl/>
              </w:rPr>
            </w:pPr>
            <w:hyperlink w:anchor="Seif15" w:tooltip="תיאום" w:history="1">
              <w:r w:rsidRPr="00AB5904">
                <w:rPr>
                  <w:rStyle w:val="Hyperlink"/>
                </w:rPr>
                <w:t>Go</w:t>
              </w:r>
            </w:hyperlink>
          </w:p>
        </w:tc>
        <w:tc>
          <w:tcPr>
            <w:tcW w:w="850" w:type="dxa"/>
          </w:tcPr>
          <w:p w14:paraId="18909146"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B5904" w:rsidRPr="00AB5904" w14:paraId="1A277C72" w14:textId="77777777">
        <w:tblPrEx>
          <w:tblCellMar>
            <w:top w:w="0" w:type="dxa"/>
            <w:bottom w:w="0" w:type="dxa"/>
          </w:tblCellMar>
        </w:tblPrEx>
        <w:tc>
          <w:tcPr>
            <w:tcW w:w="1247" w:type="dxa"/>
          </w:tcPr>
          <w:p w14:paraId="1761DDEC" w14:textId="77777777" w:rsidR="00AB5904" w:rsidRPr="00AB5904" w:rsidRDefault="00AB5904" w:rsidP="00AB5904">
            <w:pPr>
              <w:spacing w:line="240" w:lineRule="auto"/>
              <w:jc w:val="left"/>
              <w:rPr>
                <w:rFonts w:cs="Frankruhel"/>
                <w:sz w:val="24"/>
                <w:rtl/>
              </w:rPr>
            </w:pPr>
            <w:r>
              <w:rPr>
                <w:sz w:val="24"/>
                <w:rtl/>
              </w:rPr>
              <w:t xml:space="preserve">סעיף 16 </w:t>
            </w:r>
          </w:p>
        </w:tc>
        <w:tc>
          <w:tcPr>
            <w:tcW w:w="5669" w:type="dxa"/>
          </w:tcPr>
          <w:p w14:paraId="208B5F4F" w14:textId="77777777" w:rsidR="00AB5904" w:rsidRPr="00AB5904" w:rsidRDefault="00AB5904" w:rsidP="00AB5904">
            <w:pPr>
              <w:spacing w:line="240" w:lineRule="auto"/>
              <w:jc w:val="left"/>
              <w:rPr>
                <w:rFonts w:cs="Frankruhel"/>
                <w:sz w:val="24"/>
                <w:rtl/>
              </w:rPr>
            </w:pPr>
            <w:r>
              <w:rPr>
                <w:sz w:val="24"/>
                <w:rtl/>
              </w:rPr>
              <w:t>השם</w:t>
            </w:r>
          </w:p>
        </w:tc>
        <w:tc>
          <w:tcPr>
            <w:tcW w:w="567" w:type="dxa"/>
          </w:tcPr>
          <w:p w14:paraId="1DD4127F" w14:textId="77777777" w:rsidR="00AB5904" w:rsidRPr="00AB5904" w:rsidRDefault="00AB5904" w:rsidP="00AB5904">
            <w:pPr>
              <w:spacing w:line="240" w:lineRule="auto"/>
              <w:jc w:val="left"/>
              <w:rPr>
                <w:rStyle w:val="Hyperlink"/>
                <w:rtl/>
              </w:rPr>
            </w:pPr>
            <w:hyperlink w:anchor="Seif16" w:tooltip="השם" w:history="1">
              <w:r w:rsidRPr="00AB5904">
                <w:rPr>
                  <w:rStyle w:val="Hyperlink"/>
                </w:rPr>
                <w:t>Go</w:t>
              </w:r>
            </w:hyperlink>
          </w:p>
        </w:tc>
        <w:tc>
          <w:tcPr>
            <w:tcW w:w="850" w:type="dxa"/>
          </w:tcPr>
          <w:p w14:paraId="6BD65FD6" w14:textId="77777777" w:rsidR="00AB5904" w:rsidRPr="00AB5904" w:rsidRDefault="00AB5904" w:rsidP="00AB59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77DDE3DF" w14:textId="77777777" w:rsidR="003353D6" w:rsidRDefault="003353D6">
      <w:pPr>
        <w:pStyle w:val="big-header"/>
        <w:ind w:left="0" w:right="1134"/>
        <w:rPr>
          <w:rFonts w:cs="FrankRuehl"/>
          <w:sz w:val="32"/>
          <w:rtl/>
        </w:rPr>
      </w:pPr>
    </w:p>
    <w:p w14:paraId="167BE6A3" w14:textId="77777777" w:rsidR="003353D6" w:rsidRDefault="003353D6" w:rsidP="00E73230">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הבינוי והפינוי של אזורי שיקום </w:t>
      </w:r>
      <w:r w:rsidR="00B37150">
        <w:rPr>
          <w:rFonts w:cs="FrankRuehl" w:hint="cs"/>
          <w:sz w:val="32"/>
          <w:rtl/>
        </w:rPr>
        <w:t xml:space="preserve">(תנאי עבודתם של עובדים), </w:t>
      </w:r>
      <w:r w:rsidR="00B37150">
        <w:rPr>
          <w:rFonts w:cs="FrankRuehl"/>
          <w:sz w:val="32"/>
          <w:rtl/>
        </w:rPr>
        <w:br/>
      </w:r>
      <w:r w:rsidR="00B37150">
        <w:rPr>
          <w:rFonts w:cs="FrankRuehl" w:hint="cs"/>
          <w:sz w:val="32"/>
          <w:rtl/>
        </w:rPr>
        <w:t>תשכ"ז-</w:t>
      </w:r>
      <w:r>
        <w:rPr>
          <w:rFonts w:cs="FrankRuehl" w:hint="cs"/>
          <w:sz w:val="32"/>
          <w:rtl/>
        </w:rPr>
        <w:t>1967</w:t>
      </w:r>
      <w:r w:rsidR="00B37150">
        <w:rPr>
          <w:rStyle w:val="a6"/>
          <w:rFonts w:cs="FrankRuehl"/>
          <w:sz w:val="32"/>
          <w:rtl/>
        </w:rPr>
        <w:footnoteReference w:customMarkFollows="1" w:id="1"/>
        <w:t>*</w:t>
      </w:r>
    </w:p>
    <w:p w14:paraId="2A4BC22C" w14:textId="77777777" w:rsidR="003353D6" w:rsidRDefault="003353D6" w:rsidP="00B3715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11 ו-63 לחוק בינו</w:t>
      </w:r>
      <w:r w:rsidR="00B37150">
        <w:rPr>
          <w:rStyle w:val="default"/>
          <w:rFonts w:cs="FrankRuehl" w:hint="cs"/>
          <w:rtl/>
        </w:rPr>
        <w:t>י ופינוי של אזורי שיקום, תשכ"ה-</w:t>
      </w:r>
      <w:r>
        <w:rPr>
          <w:rStyle w:val="default"/>
          <w:rFonts w:cs="FrankRuehl" w:hint="cs"/>
          <w:rtl/>
        </w:rPr>
        <w:t xml:space="preserve">1965, אני מתקין תקנות אלה: </w:t>
      </w:r>
    </w:p>
    <w:p w14:paraId="3764EC59" w14:textId="77777777" w:rsidR="003353D6" w:rsidRDefault="003353D6">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פרשנות</w:t>
      </w:r>
    </w:p>
    <w:p w14:paraId="35CBEE6B" w14:textId="77777777" w:rsidR="003353D6" w:rsidRDefault="003353D6">
      <w:pPr>
        <w:pStyle w:val="P00"/>
        <w:spacing w:before="72"/>
        <w:ind w:left="0" w:right="1134"/>
        <w:rPr>
          <w:rStyle w:val="default"/>
          <w:rFonts w:cs="FrankRuehl" w:hint="cs"/>
          <w:rtl/>
        </w:rPr>
      </w:pPr>
      <w:bookmarkStart w:id="1" w:name="Seif1"/>
      <w:bookmarkEnd w:id="1"/>
      <w:r>
        <w:rPr>
          <w:lang w:val="he-IL"/>
        </w:rPr>
        <w:pict w14:anchorId="6C345E7C">
          <v:rect id="_x0000_s1026" style="position:absolute;left:0;text-align:left;margin-left:464.5pt;margin-top:8.05pt;width:75.05pt;height:10pt;z-index:251650048" o:allowincell="f" filled="f" stroked="f" strokecolor="lime" strokeweight=".25pt">
            <v:textbox inset="0,0,0,0">
              <w:txbxContent>
                <w:p w14:paraId="41BEA2B0" w14:textId="77777777" w:rsidR="003353D6" w:rsidRDefault="003353D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B37150">
        <w:rPr>
          <w:rStyle w:val="default"/>
          <w:rFonts w:cs="FrankRuehl" w:hint="cs"/>
          <w:rtl/>
        </w:rPr>
        <w:t xml:space="preserve">קנות אלה </w:t>
      </w:r>
      <w:r w:rsidR="00C44EC5">
        <w:rPr>
          <w:rStyle w:val="default"/>
          <w:rFonts w:cs="FrankRuehl"/>
          <w:rtl/>
        </w:rPr>
        <w:t>–</w:t>
      </w:r>
    </w:p>
    <w:p w14:paraId="6B8661C6" w14:textId="77777777" w:rsidR="003353D6" w:rsidRDefault="003353D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ה</w:t>
      </w:r>
      <w:r>
        <w:rPr>
          <w:rStyle w:val="default"/>
          <w:rFonts w:cs="FrankRuehl" w:hint="cs"/>
          <w:rtl/>
        </w:rPr>
        <w:t>מינויים"</w:t>
      </w:r>
      <w:r w:rsidR="00B37150">
        <w:rPr>
          <w:rStyle w:val="default"/>
          <w:rFonts w:cs="FrankRuehl" w:hint="cs"/>
          <w:rtl/>
        </w:rPr>
        <w:t xml:space="preserve"> </w:t>
      </w:r>
      <w:r w:rsidR="00C44EC5">
        <w:rPr>
          <w:rStyle w:val="default"/>
          <w:rFonts w:cs="FrankRuehl"/>
          <w:rtl/>
        </w:rPr>
        <w:t>–</w:t>
      </w:r>
      <w:r>
        <w:rPr>
          <w:rStyle w:val="default"/>
          <w:rFonts w:cs="FrankRuehl" w:hint="cs"/>
          <w:rtl/>
        </w:rPr>
        <w:t xml:space="preserve"> חוק שירות המדינה (מינוי</w:t>
      </w:r>
      <w:r>
        <w:rPr>
          <w:rStyle w:val="default"/>
          <w:rFonts w:cs="FrankRuehl"/>
          <w:rtl/>
        </w:rPr>
        <w:t>י</w:t>
      </w:r>
      <w:r w:rsidR="00B37150">
        <w:rPr>
          <w:rStyle w:val="default"/>
          <w:rFonts w:cs="FrankRuehl" w:hint="cs"/>
          <w:rtl/>
        </w:rPr>
        <w:t>ם), תשי"ט-</w:t>
      </w:r>
      <w:r>
        <w:rPr>
          <w:rStyle w:val="default"/>
          <w:rFonts w:cs="FrankRuehl" w:hint="cs"/>
          <w:rtl/>
        </w:rPr>
        <w:t>1959;</w:t>
      </w:r>
    </w:p>
    <w:p w14:paraId="1D61E025" w14:textId="77777777" w:rsidR="003353D6" w:rsidRDefault="003353D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המשמעת" </w:t>
      </w:r>
      <w:r w:rsidR="00C44EC5">
        <w:rPr>
          <w:rStyle w:val="default"/>
          <w:rFonts w:cs="FrankRuehl"/>
          <w:rtl/>
        </w:rPr>
        <w:t>–</w:t>
      </w:r>
      <w:r>
        <w:rPr>
          <w:rStyle w:val="default"/>
          <w:rFonts w:cs="FrankRuehl" w:hint="cs"/>
          <w:rtl/>
        </w:rPr>
        <w:t xml:space="preserve"> ח</w:t>
      </w:r>
      <w:r w:rsidR="00B37150">
        <w:rPr>
          <w:rStyle w:val="default"/>
          <w:rFonts w:cs="FrankRuehl" w:hint="cs"/>
          <w:rtl/>
        </w:rPr>
        <w:t>וק שירות המדינה (משמעת), תשכ"ג-</w:t>
      </w:r>
      <w:r>
        <w:rPr>
          <w:rStyle w:val="default"/>
          <w:rFonts w:cs="FrankRuehl" w:hint="cs"/>
          <w:rtl/>
        </w:rPr>
        <w:t>1963;</w:t>
      </w:r>
    </w:p>
    <w:p w14:paraId="4EE09E9E" w14:textId="77777777" w:rsidR="003353D6" w:rsidRDefault="003353D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רשות"</w:t>
      </w:r>
      <w:r w:rsidR="00C44EC5">
        <w:rPr>
          <w:rStyle w:val="default"/>
          <w:rFonts w:cs="FrankRuehl" w:hint="cs"/>
          <w:rtl/>
        </w:rPr>
        <w:t xml:space="preserve"> </w:t>
      </w:r>
      <w:r w:rsidR="00C44EC5">
        <w:rPr>
          <w:rStyle w:val="default"/>
          <w:rFonts w:cs="FrankRuehl"/>
          <w:rtl/>
        </w:rPr>
        <w:t>–</w:t>
      </w:r>
      <w:r>
        <w:rPr>
          <w:rStyle w:val="default"/>
          <w:rFonts w:cs="FrankRuehl" w:hint="cs"/>
          <w:rtl/>
        </w:rPr>
        <w:t xml:space="preserve"> הרשות לבינוי ופינוי של אזורי שיקום שהוקמה על פי סעיף 2 לחוק.</w:t>
      </w:r>
    </w:p>
    <w:p w14:paraId="1A31EF90" w14:textId="77777777" w:rsidR="003353D6" w:rsidRDefault="003353D6">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שני: מינויים של עובדי הרשות</w:t>
      </w:r>
    </w:p>
    <w:p w14:paraId="08C02AD4" w14:textId="77777777" w:rsidR="003353D6" w:rsidRDefault="003353D6">
      <w:pPr>
        <w:pStyle w:val="P00"/>
        <w:spacing w:before="72"/>
        <w:ind w:left="0" w:right="1134"/>
        <w:rPr>
          <w:rStyle w:val="default"/>
          <w:rFonts w:cs="FrankRuehl"/>
          <w:rtl/>
        </w:rPr>
      </w:pPr>
      <w:bookmarkStart w:id="3" w:name="Seif2"/>
      <w:bookmarkEnd w:id="3"/>
      <w:r>
        <w:rPr>
          <w:lang w:val="he-IL"/>
        </w:rPr>
        <w:pict w14:anchorId="3019B5DB">
          <v:rect id="_x0000_s1027" style="position:absolute;left:0;text-align:left;margin-left:464.5pt;margin-top:8.05pt;width:75.05pt;height:10pt;z-index:251651072" o:allowincell="f" filled="f" stroked="f" strokecolor="lime" strokeweight=".25pt">
            <v:textbox inset="0,0,0,0">
              <w:txbxContent>
                <w:p w14:paraId="03B4BBA7" w14:textId="77777777" w:rsidR="003353D6" w:rsidRDefault="003353D6">
                  <w:pPr>
                    <w:spacing w:line="160" w:lineRule="exact"/>
                    <w:jc w:val="left"/>
                    <w:rPr>
                      <w:rFonts w:cs="Miriam"/>
                      <w:noProof/>
                      <w:sz w:val="18"/>
                      <w:szCs w:val="18"/>
                      <w:rtl/>
                    </w:rPr>
                  </w:pPr>
                  <w:r>
                    <w:rPr>
                      <w:rFonts w:cs="Miriam"/>
                      <w:sz w:val="18"/>
                      <w:szCs w:val="18"/>
                      <w:rtl/>
                    </w:rPr>
                    <w:t>תח</w:t>
                  </w:r>
                  <w:r>
                    <w:rPr>
                      <w:rFonts w:cs="Miriam" w:hint="cs"/>
                      <w:sz w:val="18"/>
                      <w:szCs w:val="18"/>
                      <w:rtl/>
                    </w:rPr>
                    <w:t>ולת חוק המינויים</w:t>
                  </w:r>
                </w:p>
              </w:txbxContent>
            </v:textbox>
            <w10:anchorlock/>
          </v:rect>
        </w:pict>
      </w:r>
      <w:r>
        <w:rPr>
          <w:rStyle w:val="big-number"/>
          <w:rFonts w:cs="Miriam"/>
          <w:rtl/>
        </w:rPr>
        <w:t>2.</w:t>
      </w:r>
      <w:r>
        <w:rPr>
          <w:rStyle w:val="big-number"/>
          <w:rFonts w:cs="Miriam"/>
          <w:rtl/>
        </w:rPr>
        <w:tab/>
      </w:r>
      <w:r>
        <w:rPr>
          <w:rStyle w:val="default"/>
          <w:rFonts w:cs="FrankRuehl"/>
          <w:rtl/>
        </w:rPr>
        <w:t>חו</w:t>
      </w:r>
      <w:r>
        <w:rPr>
          <w:rStyle w:val="default"/>
          <w:rFonts w:cs="FrankRuehl" w:hint="cs"/>
          <w:rtl/>
        </w:rPr>
        <w:t>ק המינויים יחול על עובדי הרשות בשינויים</w:t>
      </w:r>
      <w:r>
        <w:rPr>
          <w:rStyle w:val="default"/>
          <w:rFonts w:cs="FrankRuehl"/>
          <w:rtl/>
        </w:rPr>
        <w:t xml:space="preserve"> ו</w:t>
      </w:r>
      <w:r>
        <w:rPr>
          <w:rStyle w:val="default"/>
          <w:rFonts w:cs="FrankRuehl" w:hint="cs"/>
          <w:rtl/>
        </w:rPr>
        <w:t>בתיאומים כלהלן, מלבד אם נאמר אחרת בתקנות אלה:</w:t>
      </w:r>
    </w:p>
    <w:p w14:paraId="4F37AD61" w14:textId="77777777" w:rsidR="003353D6" w:rsidRDefault="003353D6" w:rsidP="00C44EC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סמכויות הנתונות בחוק המינויים לממשלה יהיו נתונות לשר השיכון;</w:t>
      </w:r>
    </w:p>
    <w:p w14:paraId="26033C14" w14:textId="77777777" w:rsidR="003353D6" w:rsidRDefault="003353D6" w:rsidP="00C44EC5">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סמכויות הנתונות בחוק המינויים לשר יהיו נתונות ליושב ראש הרשות;</w:t>
      </w:r>
    </w:p>
    <w:p w14:paraId="65249CEF" w14:textId="77777777" w:rsidR="003353D6" w:rsidRDefault="003353D6" w:rsidP="00C44EC5">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סמכויות הנתונות בחוק המינויים לנציב שירות המדינה ולמנהל הכללי יהיו נת</w:t>
      </w:r>
      <w:r>
        <w:rPr>
          <w:rStyle w:val="default"/>
          <w:rFonts w:cs="FrankRuehl"/>
          <w:rtl/>
        </w:rPr>
        <w:t>ונ</w:t>
      </w:r>
      <w:r>
        <w:rPr>
          <w:rStyle w:val="default"/>
          <w:rFonts w:cs="FrankRuehl" w:hint="cs"/>
          <w:rtl/>
        </w:rPr>
        <w:t>ות למנהל הרש</w:t>
      </w:r>
      <w:r>
        <w:rPr>
          <w:rStyle w:val="default"/>
          <w:rFonts w:cs="FrankRuehl"/>
          <w:rtl/>
        </w:rPr>
        <w:t>ו</w:t>
      </w:r>
      <w:r>
        <w:rPr>
          <w:rStyle w:val="default"/>
          <w:rFonts w:cs="FrankRuehl" w:hint="cs"/>
          <w:rtl/>
        </w:rPr>
        <w:t>ת;</w:t>
      </w:r>
    </w:p>
    <w:p w14:paraId="48A57C94" w14:textId="77777777" w:rsidR="003353D6" w:rsidRDefault="003353D6" w:rsidP="00C44EC5">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סמכויות הנתונות בחוק המנויים לועדת השירות יהיו נתונות לועדה המורכבת מיושב- ראש הרשות שישמש יושב ראש הועדה, מנהל הרשות וסגנו, ושני מומחים לעניני תכנון וארגון שמונו על ידי שר השיכון לאחר התייעצות ברשות ושלא מבין חברי הרשות או עובדיה (ל</w:t>
      </w:r>
      <w:r>
        <w:rPr>
          <w:rStyle w:val="default"/>
          <w:rFonts w:cs="FrankRuehl"/>
          <w:rtl/>
        </w:rPr>
        <w:t>הל</w:t>
      </w:r>
      <w:r>
        <w:rPr>
          <w:rStyle w:val="default"/>
          <w:rFonts w:cs="FrankRuehl" w:hint="cs"/>
          <w:rtl/>
        </w:rPr>
        <w:t xml:space="preserve">ן </w:t>
      </w:r>
      <w:r w:rsidR="00C44EC5">
        <w:rPr>
          <w:rStyle w:val="default"/>
          <w:rFonts w:cs="FrankRuehl"/>
          <w:rtl/>
        </w:rPr>
        <w:t>–</w:t>
      </w:r>
      <w:r>
        <w:rPr>
          <w:rStyle w:val="default"/>
          <w:rFonts w:cs="FrankRuehl" w:hint="cs"/>
          <w:rtl/>
        </w:rPr>
        <w:t xml:space="preserve"> ועדת השי</w:t>
      </w:r>
      <w:r>
        <w:rPr>
          <w:rStyle w:val="default"/>
          <w:rFonts w:cs="FrankRuehl"/>
          <w:rtl/>
        </w:rPr>
        <w:t>ר</w:t>
      </w:r>
      <w:r>
        <w:rPr>
          <w:rStyle w:val="default"/>
          <w:rFonts w:cs="FrankRuehl" w:hint="cs"/>
          <w:rtl/>
        </w:rPr>
        <w:t>ות הפנימית);</w:t>
      </w:r>
    </w:p>
    <w:p w14:paraId="0FA907FE" w14:textId="77777777" w:rsidR="003353D6" w:rsidRDefault="003353D6" w:rsidP="00C44EC5">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סמכות לקבוע את הבחינות והמבחנים כאמור בסעיף 25 לחוק המינו</w:t>
      </w:r>
      <w:r>
        <w:rPr>
          <w:rStyle w:val="default"/>
          <w:rFonts w:cs="FrankRuehl"/>
          <w:rtl/>
        </w:rPr>
        <w:t>יי</w:t>
      </w:r>
      <w:r>
        <w:rPr>
          <w:rStyle w:val="default"/>
          <w:rFonts w:cs="FrankRuehl" w:hint="cs"/>
          <w:rtl/>
        </w:rPr>
        <w:t>ם תהיה נתונה</w:t>
      </w:r>
      <w:r>
        <w:rPr>
          <w:rStyle w:val="default"/>
          <w:rFonts w:cs="FrankRuehl"/>
          <w:rtl/>
        </w:rPr>
        <w:t xml:space="preserve"> </w:t>
      </w:r>
      <w:r>
        <w:rPr>
          <w:rStyle w:val="default"/>
          <w:rFonts w:cs="FrankRuehl" w:hint="cs"/>
          <w:rtl/>
        </w:rPr>
        <w:t>לועדת השירות הפנימית באישור שר השיכון;</w:t>
      </w:r>
    </w:p>
    <w:p w14:paraId="62A46706" w14:textId="77777777" w:rsidR="003353D6" w:rsidRDefault="003353D6" w:rsidP="00C44EC5">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צהרת האמונים לפי סעיף 34 לחוק המינויים תהיה בפני מנהל הרשות, אולם מנהל הרשות וסגנו יצהירו בפני יושב-ראש הרשות;</w:t>
      </w:r>
    </w:p>
    <w:p w14:paraId="58114385" w14:textId="77777777" w:rsidR="003353D6" w:rsidRDefault="003353D6" w:rsidP="00C44EC5">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מכות נציב השירות לפי סעיף 37 לחוק המינויים תהיה נתונה לשר השיכון;</w:t>
      </w:r>
    </w:p>
    <w:p w14:paraId="29582633" w14:textId="77777777" w:rsidR="003353D6" w:rsidRDefault="003353D6" w:rsidP="00C44EC5">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ח</w:t>
      </w:r>
      <w:r>
        <w:rPr>
          <w:rStyle w:val="default"/>
          <w:rFonts w:cs="FrankRuehl" w:hint="cs"/>
          <w:rtl/>
        </w:rPr>
        <w:t>ובת ההתיי</w:t>
      </w:r>
      <w:r>
        <w:rPr>
          <w:rStyle w:val="default"/>
          <w:rFonts w:cs="FrankRuehl"/>
          <w:rtl/>
        </w:rPr>
        <w:t>עצ</w:t>
      </w:r>
      <w:r>
        <w:rPr>
          <w:rStyle w:val="default"/>
          <w:rFonts w:cs="FrankRuehl" w:hint="cs"/>
          <w:rtl/>
        </w:rPr>
        <w:t>ות הקבועה בסעיף 47 לחוק המינויים תקויים עם הארגון הארצי המייצג את המספר הגדול ביותר של עובדים במדינה ועם הנציגות המוסמכת של עובדי הרשות.</w:t>
      </w:r>
    </w:p>
    <w:p w14:paraId="35BE470C" w14:textId="77777777" w:rsidR="003353D6" w:rsidRDefault="003353D6">
      <w:pPr>
        <w:pStyle w:val="P00"/>
        <w:spacing w:before="72"/>
        <w:ind w:left="0" w:right="1134"/>
        <w:rPr>
          <w:rStyle w:val="default"/>
          <w:rFonts w:cs="FrankRuehl"/>
          <w:rtl/>
        </w:rPr>
      </w:pPr>
      <w:bookmarkStart w:id="4" w:name="Seif3"/>
      <w:bookmarkEnd w:id="4"/>
      <w:r>
        <w:rPr>
          <w:lang w:val="he-IL"/>
        </w:rPr>
        <w:pict w14:anchorId="6562614E">
          <v:rect id="_x0000_s1028" style="position:absolute;left:0;text-align:left;margin-left:464.5pt;margin-top:8.05pt;width:75.05pt;height:20pt;z-index:251652096" o:allowincell="f" filled="f" stroked="f" strokecolor="lime" strokeweight=".25pt">
            <v:textbox inset="0,0,0,0">
              <w:txbxContent>
                <w:p w14:paraId="6C75AC54" w14:textId="77777777" w:rsidR="003353D6" w:rsidRDefault="003353D6" w:rsidP="00B37150">
                  <w:pPr>
                    <w:spacing w:line="160" w:lineRule="exact"/>
                    <w:jc w:val="left"/>
                    <w:rPr>
                      <w:rFonts w:cs="Miriam"/>
                      <w:noProof/>
                      <w:sz w:val="18"/>
                      <w:szCs w:val="18"/>
                      <w:rtl/>
                    </w:rPr>
                  </w:pPr>
                  <w:r>
                    <w:rPr>
                      <w:rFonts w:cs="Miriam"/>
                      <w:sz w:val="18"/>
                      <w:szCs w:val="18"/>
                      <w:rtl/>
                    </w:rPr>
                    <w:t>אי</w:t>
                  </w:r>
                  <w:r w:rsidR="00B37150">
                    <w:rPr>
                      <w:rFonts w:cs="Miriam" w:hint="cs"/>
                      <w:sz w:val="18"/>
                      <w:szCs w:val="18"/>
                      <w:rtl/>
                    </w:rPr>
                    <w:t>-</w:t>
                  </w:r>
                  <w:r>
                    <w:rPr>
                      <w:rFonts w:cs="Miriam" w:hint="cs"/>
                      <w:sz w:val="18"/>
                      <w:szCs w:val="18"/>
                      <w:rtl/>
                    </w:rPr>
                    <w:t xml:space="preserve">תחולת </w:t>
                  </w:r>
                  <w:r>
                    <w:rPr>
                      <w:rFonts w:cs="Miriam"/>
                      <w:sz w:val="18"/>
                      <w:szCs w:val="18"/>
                      <w:rtl/>
                    </w:rPr>
                    <w:t>חו</w:t>
                  </w:r>
                  <w:r>
                    <w:rPr>
                      <w:rFonts w:cs="Miriam" w:hint="cs"/>
                      <w:sz w:val="18"/>
                      <w:szCs w:val="18"/>
                      <w:rtl/>
                    </w:rPr>
                    <w:t>ק המינויים</w:t>
                  </w:r>
                </w:p>
              </w:txbxContent>
            </v:textbox>
            <w10:anchorlock/>
          </v:rect>
        </w:pict>
      </w:r>
      <w:r>
        <w:rPr>
          <w:rStyle w:val="big-number"/>
          <w:rFonts w:cs="Miriam"/>
          <w:rtl/>
        </w:rPr>
        <w:t>3.</w:t>
      </w:r>
      <w:r>
        <w:rPr>
          <w:rStyle w:val="big-number"/>
          <w:rFonts w:cs="Miriam"/>
          <w:rtl/>
        </w:rPr>
        <w:tab/>
      </w:r>
      <w:r>
        <w:rPr>
          <w:rStyle w:val="default"/>
          <w:rFonts w:cs="FrankRuehl"/>
          <w:rtl/>
        </w:rPr>
        <w:t>חו</w:t>
      </w:r>
      <w:r>
        <w:rPr>
          <w:rStyle w:val="default"/>
          <w:rFonts w:cs="FrankRuehl" w:hint="cs"/>
          <w:rtl/>
        </w:rPr>
        <w:t>ק המינויים לא יחול על מנהל הרשות וסגנו.</w:t>
      </w:r>
    </w:p>
    <w:p w14:paraId="5FB86D00" w14:textId="77777777" w:rsidR="003353D6" w:rsidRDefault="003353D6">
      <w:pPr>
        <w:pStyle w:val="P00"/>
        <w:spacing w:before="72"/>
        <w:ind w:left="0" w:right="1134"/>
        <w:rPr>
          <w:rStyle w:val="default"/>
          <w:rFonts w:cs="FrankRuehl" w:hint="cs"/>
          <w:rtl/>
        </w:rPr>
      </w:pPr>
      <w:bookmarkStart w:id="5" w:name="Seif4"/>
      <w:bookmarkEnd w:id="5"/>
      <w:r>
        <w:rPr>
          <w:lang w:val="he-IL"/>
        </w:rPr>
        <w:pict w14:anchorId="0A3BE9DF">
          <v:rect id="_x0000_s1029" style="position:absolute;left:0;text-align:left;margin-left:464.5pt;margin-top:8.05pt;width:75.05pt;height:30pt;z-index:251653120" o:allowincell="f" filled="f" stroked="f" strokecolor="lime" strokeweight=".25pt">
            <v:textbox inset="0,0,0,0">
              <w:txbxContent>
                <w:p w14:paraId="1912B175" w14:textId="77777777" w:rsidR="003353D6" w:rsidRDefault="003353D6">
                  <w:pPr>
                    <w:spacing w:line="160" w:lineRule="exact"/>
                    <w:jc w:val="left"/>
                    <w:rPr>
                      <w:rFonts w:cs="Miriam"/>
                      <w:noProof/>
                      <w:sz w:val="18"/>
                      <w:szCs w:val="18"/>
                      <w:rtl/>
                    </w:rPr>
                  </w:pPr>
                  <w:r>
                    <w:rPr>
                      <w:rFonts w:cs="Miriam"/>
                      <w:sz w:val="18"/>
                      <w:szCs w:val="18"/>
                      <w:rtl/>
                    </w:rPr>
                    <w:t>סמ</w:t>
                  </w:r>
                  <w:r>
                    <w:rPr>
                      <w:rFonts w:cs="Miriam" w:hint="cs"/>
                      <w:sz w:val="18"/>
                      <w:szCs w:val="18"/>
                      <w:rtl/>
                    </w:rPr>
                    <w:t>כות לעשות חוזה מיוחד</w:t>
                  </w:r>
                </w:p>
                <w:p w14:paraId="7D2E9291" w14:textId="77777777" w:rsidR="003353D6" w:rsidRDefault="003353D6">
                  <w:pPr>
                    <w:spacing w:line="160" w:lineRule="exact"/>
                    <w:jc w:val="left"/>
                    <w:rPr>
                      <w:rFonts w:cs="Miriam"/>
                      <w:noProof/>
                      <w:sz w:val="18"/>
                      <w:szCs w:val="18"/>
                      <w:rtl/>
                    </w:rPr>
                  </w:pPr>
                  <w:r>
                    <w:rPr>
                      <w:rFonts w:cs="Miriam"/>
                      <w:sz w:val="18"/>
                      <w:szCs w:val="18"/>
                      <w:rtl/>
                    </w:rPr>
                    <w:t>תק</w:t>
                  </w:r>
                  <w:r w:rsidR="00B37150">
                    <w:rPr>
                      <w:rFonts w:cs="Miriam" w:hint="cs"/>
                      <w:sz w:val="18"/>
                      <w:szCs w:val="18"/>
                      <w:rtl/>
                    </w:rPr>
                    <w:t>' תשל"ג-</w:t>
                  </w:r>
                  <w:r>
                    <w:rPr>
                      <w:rFonts w:cs="Miriam" w:hint="cs"/>
                      <w:sz w:val="18"/>
                      <w:szCs w:val="18"/>
                      <w:rtl/>
                    </w:rPr>
                    <w:t>1973</w:t>
                  </w:r>
                </w:p>
              </w:txbxContent>
            </v:textbox>
            <w10:anchorlock/>
          </v:rect>
        </w:pict>
      </w:r>
      <w:r>
        <w:rPr>
          <w:rStyle w:val="big-number"/>
          <w:rFonts w:cs="Miriam"/>
          <w:rtl/>
        </w:rPr>
        <w:t>4.</w:t>
      </w:r>
      <w:r>
        <w:rPr>
          <w:rStyle w:val="big-number"/>
          <w:rFonts w:cs="Miriam"/>
          <w:rtl/>
        </w:rPr>
        <w:tab/>
      </w:r>
      <w:r>
        <w:rPr>
          <w:rStyle w:val="default"/>
          <w:rFonts w:cs="FrankRuehl"/>
          <w:rtl/>
        </w:rPr>
        <w:t>הס</w:t>
      </w:r>
      <w:r>
        <w:rPr>
          <w:rStyle w:val="default"/>
          <w:rFonts w:cs="FrankRuehl" w:hint="cs"/>
          <w:rtl/>
        </w:rPr>
        <w:t>מכות לעשות חוזה מיוחד עם אדם שיועסק בשירות הרשות תהיה נתונה ליושב</w:t>
      </w:r>
      <w:r>
        <w:rPr>
          <w:rStyle w:val="default"/>
          <w:rFonts w:cs="FrankRuehl"/>
          <w:rtl/>
        </w:rPr>
        <w:t xml:space="preserve"> ר</w:t>
      </w:r>
      <w:r>
        <w:rPr>
          <w:rStyle w:val="default"/>
          <w:rFonts w:cs="FrankRuehl" w:hint="cs"/>
          <w:rtl/>
        </w:rPr>
        <w:t xml:space="preserve">אש ולמנהל הרשות ביחד. </w:t>
      </w:r>
    </w:p>
    <w:p w14:paraId="413A8A71" w14:textId="77777777" w:rsidR="00BF4627" w:rsidRPr="00B37150" w:rsidRDefault="00BF4627" w:rsidP="00BF4627">
      <w:pPr>
        <w:pStyle w:val="P00"/>
        <w:tabs>
          <w:tab w:val="clear" w:pos="6259"/>
        </w:tabs>
        <w:spacing w:before="0"/>
        <w:ind w:left="0" w:right="1134"/>
        <w:rPr>
          <w:rFonts w:cs="FrankRuehl" w:hint="cs"/>
          <w:vanish/>
          <w:szCs w:val="20"/>
          <w:shd w:val="clear" w:color="auto" w:fill="FFFF99"/>
          <w:rtl/>
        </w:rPr>
      </w:pPr>
      <w:bookmarkStart w:id="6" w:name="Rov24"/>
      <w:r w:rsidRPr="00B37150">
        <w:rPr>
          <w:rFonts w:cs="FrankRuehl" w:hint="cs"/>
          <w:vanish/>
          <w:color w:val="FF0000"/>
          <w:szCs w:val="20"/>
          <w:shd w:val="clear" w:color="auto" w:fill="FFFF99"/>
          <w:rtl/>
        </w:rPr>
        <w:t>מיום 5.4.1973</w:t>
      </w:r>
    </w:p>
    <w:p w14:paraId="7DDDEB09" w14:textId="77777777" w:rsidR="00BF4627" w:rsidRPr="00B37150" w:rsidRDefault="00BF4627" w:rsidP="00BF4627">
      <w:pPr>
        <w:pStyle w:val="P00"/>
        <w:spacing w:before="0"/>
        <w:ind w:left="0" w:right="1134"/>
        <w:rPr>
          <w:rFonts w:cs="FrankRuehl" w:hint="cs"/>
          <w:b/>
          <w:bCs/>
          <w:vanish/>
          <w:szCs w:val="20"/>
          <w:shd w:val="clear" w:color="auto" w:fill="FFFF99"/>
          <w:rtl/>
        </w:rPr>
      </w:pPr>
      <w:r w:rsidRPr="00B37150">
        <w:rPr>
          <w:rFonts w:cs="FrankRuehl" w:hint="cs"/>
          <w:b/>
          <w:bCs/>
          <w:vanish/>
          <w:szCs w:val="20"/>
          <w:shd w:val="clear" w:color="auto" w:fill="FFFF99"/>
          <w:rtl/>
        </w:rPr>
        <w:t>תק' תשל"ג-1973</w:t>
      </w:r>
    </w:p>
    <w:p w14:paraId="458EBE3E" w14:textId="77777777" w:rsidR="00BF4627" w:rsidRPr="00B37150" w:rsidRDefault="00BF4627" w:rsidP="00BF4627">
      <w:pPr>
        <w:pStyle w:val="P00"/>
        <w:spacing w:before="0"/>
        <w:ind w:left="0" w:right="1134"/>
        <w:rPr>
          <w:rFonts w:cs="FrankRuehl" w:hint="cs"/>
          <w:vanish/>
          <w:szCs w:val="20"/>
          <w:shd w:val="clear" w:color="auto" w:fill="FFFF99"/>
          <w:rtl/>
        </w:rPr>
      </w:pPr>
      <w:hyperlink r:id="rId6" w:history="1">
        <w:r w:rsidRPr="00B37150">
          <w:rPr>
            <w:rStyle w:val="Hyperlink"/>
            <w:rFonts w:cs="FrankRuehl" w:hint="cs"/>
            <w:vanish/>
            <w:szCs w:val="20"/>
            <w:shd w:val="clear" w:color="auto" w:fill="FFFF99"/>
            <w:rtl/>
          </w:rPr>
          <w:t>ק"ת תשל"ג מס' 2993</w:t>
        </w:r>
      </w:hyperlink>
      <w:r w:rsidRPr="00B37150">
        <w:rPr>
          <w:rFonts w:cs="FrankRuehl" w:hint="cs"/>
          <w:vanish/>
          <w:szCs w:val="20"/>
          <w:shd w:val="clear" w:color="auto" w:fill="FFFF99"/>
          <w:rtl/>
        </w:rPr>
        <w:t xml:space="preserve"> מיום 5.4.1973 עמ' 1121</w:t>
      </w:r>
    </w:p>
    <w:p w14:paraId="102521AD" w14:textId="77777777" w:rsidR="00BF4627" w:rsidRPr="00B37150" w:rsidRDefault="00BF4627" w:rsidP="00BF4627">
      <w:pPr>
        <w:pStyle w:val="P00"/>
        <w:spacing w:before="0"/>
        <w:ind w:left="0" w:right="1134"/>
        <w:rPr>
          <w:rFonts w:cs="FrankRuehl" w:hint="cs"/>
          <w:b/>
          <w:bCs/>
          <w:vanish/>
          <w:szCs w:val="20"/>
          <w:shd w:val="clear" w:color="auto" w:fill="FFFF99"/>
          <w:rtl/>
        </w:rPr>
      </w:pPr>
      <w:r w:rsidRPr="00B37150">
        <w:rPr>
          <w:rFonts w:cs="FrankRuehl" w:hint="cs"/>
          <w:b/>
          <w:bCs/>
          <w:vanish/>
          <w:szCs w:val="20"/>
          <w:shd w:val="clear" w:color="auto" w:fill="FFFF99"/>
          <w:rtl/>
        </w:rPr>
        <w:t>החלפת תקנה 4</w:t>
      </w:r>
    </w:p>
    <w:p w14:paraId="7B899275" w14:textId="77777777" w:rsidR="00BF4627" w:rsidRPr="00B37150" w:rsidRDefault="00BF4627" w:rsidP="00BF4627">
      <w:pPr>
        <w:pStyle w:val="P00"/>
        <w:ind w:left="0" w:right="1134"/>
        <w:rPr>
          <w:rFonts w:cs="FrankRuehl" w:hint="cs"/>
          <w:vanish/>
          <w:szCs w:val="20"/>
          <w:shd w:val="clear" w:color="auto" w:fill="FFFF99"/>
          <w:rtl/>
        </w:rPr>
      </w:pPr>
      <w:r w:rsidRPr="00B37150">
        <w:rPr>
          <w:rFonts w:cs="FrankRuehl" w:hint="cs"/>
          <w:vanish/>
          <w:szCs w:val="20"/>
          <w:shd w:val="clear" w:color="auto" w:fill="FFFF99"/>
          <w:rtl/>
        </w:rPr>
        <w:t>הנוסח הקודם:</w:t>
      </w:r>
    </w:p>
    <w:p w14:paraId="67C47D93" w14:textId="77777777" w:rsidR="00BF4627" w:rsidRPr="0017457C" w:rsidRDefault="00BF4627" w:rsidP="0017457C">
      <w:pPr>
        <w:pStyle w:val="P00"/>
        <w:spacing w:before="0"/>
        <w:ind w:left="0" w:right="1134"/>
        <w:rPr>
          <w:rStyle w:val="default"/>
          <w:rFonts w:cs="FrankRuehl" w:hint="cs"/>
          <w:strike/>
          <w:sz w:val="2"/>
          <w:szCs w:val="2"/>
          <w:rtl/>
        </w:rPr>
      </w:pPr>
      <w:r w:rsidRPr="00B37150">
        <w:rPr>
          <w:rFonts w:cs="FrankRuehl" w:hint="cs"/>
          <w:strike/>
          <w:vanish/>
          <w:sz w:val="22"/>
          <w:szCs w:val="22"/>
          <w:shd w:val="clear" w:color="auto" w:fill="FFFF99"/>
          <w:rtl/>
        </w:rPr>
        <w:t>4.</w:t>
      </w:r>
      <w:r w:rsidRPr="00B37150">
        <w:rPr>
          <w:rFonts w:cs="FrankRuehl" w:hint="cs"/>
          <w:strike/>
          <w:vanish/>
          <w:sz w:val="22"/>
          <w:szCs w:val="22"/>
          <w:shd w:val="clear" w:color="auto" w:fill="FFFF99"/>
          <w:rtl/>
        </w:rPr>
        <w:tab/>
        <w:t>הסמכות לעשות חוזה מיוחד עם אדם שיועסק בשירות הרשות תהיה נתונה לשר השיכון; שר השיכון ייוצג על ידי יושב ראש הרשות בעשיית חוזה מיוחד כאמור אלא אם ייחד השר סמכות זו לעצמו.</w:t>
      </w:r>
      <w:bookmarkEnd w:id="6"/>
    </w:p>
    <w:p w14:paraId="78125FF8" w14:textId="77777777" w:rsidR="003353D6" w:rsidRDefault="003353D6">
      <w:pPr>
        <w:pStyle w:val="P00"/>
        <w:spacing w:before="72"/>
        <w:ind w:left="0" w:right="1134"/>
        <w:rPr>
          <w:rStyle w:val="default"/>
          <w:rFonts w:cs="FrankRuehl"/>
          <w:rtl/>
        </w:rPr>
      </w:pPr>
      <w:bookmarkStart w:id="7" w:name="Seif5"/>
      <w:bookmarkEnd w:id="7"/>
      <w:r>
        <w:rPr>
          <w:lang w:val="he-IL"/>
        </w:rPr>
        <w:pict w14:anchorId="3787BF24">
          <v:rect id="_x0000_s1030" style="position:absolute;left:0;text-align:left;margin-left:464.5pt;margin-top:8.05pt;width:75.05pt;height:20pt;z-index:251654144" o:allowincell="f" filled="f" stroked="f" strokecolor="lime" strokeweight=".25pt">
            <v:textbox inset="0,0,0,0">
              <w:txbxContent>
                <w:p w14:paraId="37F95B1B" w14:textId="77777777" w:rsidR="003353D6" w:rsidRDefault="003353D6" w:rsidP="00B37150">
                  <w:pPr>
                    <w:spacing w:line="160" w:lineRule="exact"/>
                    <w:jc w:val="left"/>
                    <w:rPr>
                      <w:rFonts w:cs="Miriam"/>
                      <w:noProof/>
                      <w:sz w:val="18"/>
                      <w:szCs w:val="18"/>
                      <w:rtl/>
                    </w:rPr>
                  </w:pPr>
                  <w:r>
                    <w:rPr>
                      <w:rFonts w:cs="Miriam"/>
                      <w:sz w:val="18"/>
                      <w:szCs w:val="18"/>
                      <w:rtl/>
                    </w:rPr>
                    <w:t>מק</w:t>
                  </w:r>
                  <w:r>
                    <w:rPr>
                      <w:rFonts w:cs="Miriam" w:hint="cs"/>
                      <w:sz w:val="18"/>
                      <w:szCs w:val="18"/>
                      <w:rtl/>
                    </w:rPr>
                    <w:t xml:space="preserve">רים להעסקה </w:t>
                  </w:r>
                  <w:r w:rsidR="00B37150">
                    <w:rPr>
                      <w:rFonts w:cs="Miriam"/>
                      <w:sz w:val="18"/>
                      <w:szCs w:val="18"/>
                      <w:rtl/>
                    </w:rPr>
                    <w:br/>
                  </w:r>
                  <w:r>
                    <w:rPr>
                      <w:rFonts w:cs="Miriam" w:hint="cs"/>
                      <w:sz w:val="18"/>
                      <w:szCs w:val="18"/>
                      <w:rtl/>
                    </w:rPr>
                    <w:t>על-פי חוזה מיוחד</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לה המקרים שבהם מותר להעסיק עובד ברשות על פי חוזה מיוחד:</w:t>
      </w:r>
    </w:p>
    <w:p w14:paraId="73F898B0" w14:textId="77777777" w:rsidR="003353D6" w:rsidRDefault="003353D6">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ילו מעל 50 ונתמלאו לגביו הוראות חוק המינויים;</w:t>
      </w:r>
    </w:p>
    <w:p w14:paraId="230691D9" w14:textId="77777777" w:rsidR="003353D6" w:rsidRDefault="003353D6">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יועסק בעבודה שלפי טיב</w:t>
      </w:r>
      <w:r>
        <w:rPr>
          <w:rStyle w:val="default"/>
          <w:rFonts w:cs="FrankRuehl"/>
          <w:rtl/>
        </w:rPr>
        <w:t>ה</w:t>
      </w:r>
      <w:r>
        <w:rPr>
          <w:rStyle w:val="default"/>
          <w:rFonts w:cs="FrankRuehl" w:hint="cs"/>
          <w:rtl/>
        </w:rPr>
        <w:t xml:space="preserve"> אינה צמיתה ושכרו לא ישתלם על בסיס של יום;</w:t>
      </w:r>
    </w:p>
    <w:p w14:paraId="4E15F9B0" w14:textId="77777777" w:rsidR="003353D6" w:rsidRDefault="003353D6">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יום תחילתן של תקנות אלה הוא היה מועסק</w:t>
      </w:r>
      <w:r>
        <w:rPr>
          <w:rStyle w:val="default"/>
          <w:rFonts w:cs="FrankRuehl"/>
          <w:rtl/>
        </w:rPr>
        <w:t xml:space="preserve"> ע</w:t>
      </w:r>
      <w:r>
        <w:rPr>
          <w:rStyle w:val="default"/>
          <w:rFonts w:cs="FrankRuehl" w:hint="cs"/>
          <w:rtl/>
        </w:rPr>
        <w:t>ל פי חוזה על ידי המדינה או על ידי תאגיד שהוקם בחוק, ותקופת העסקתו על פי החוזה המיוחד, לאחר תחילת תקנות אלה, מהווה המשך להעסקתו כאמור;</w:t>
      </w:r>
    </w:p>
    <w:p w14:paraId="3C18B632" w14:textId="77777777" w:rsidR="003353D6" w:rsidRDefault="003353D6">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 xml:space="preserve">ר השיכון קבע לגביו כי עבודתו </w:t>
      </w:r>
      <w:r>
        <w:rPr>
          <w:rStyle w:val="default"/>
          <w:rFonts w:cs="FrankRuehl"/>
          <w:rtl/>
        </w:rPr>
        <w:t>ח</w:t>
      </w:r>
      <w:r>
        <w:rPr>
          <w:rStyle w:val="default"/>
          <w:rFonts w:cs="FrankRuehl" w:hint="cs"/>
          <w:rtl/>
        </w:rPr>
        <w:t xml:space="preserve">יונית לרשות וכי אין אפשרות מעשית </w:t>
      </w:r>
      <w:r>
        <w:rPr>
          <w:rStyle w:val="default"/>
          <w:rFonts w:cs="FrankRuehl" w:hint="cs"/>
          <w:rtl/>
        </w:rPr>
        <w:lastRenderedPageBreak/>
        <w:t xml:space="preserve">להעסיקו במסגרת הרגילה; </w:t>
      </w:r>
    </w:p>
    <w:p w14:paraId="1B126D2A" w14:textId="77777777" w:rsidR="003353D6" w:rsidRDefault="003353D6" w:rsidP="00B37150">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וא התקבל למשרה פלונית ת</w:t>
      </w:r>
      <w:r>
        <w:rPr>
          <w:rStyle w:val="default"/>
          <w:rFonts w:cs="FrankRuehl"/>
          <w:rtl/>
        </w:rPr>
        <w:t>וך</w:t>
      </w:r>
      <w:r>
        <w:rPr>
          <w:rStyle w:val="default"/>
          <w:rFonts w:cs="FrankRuehl" w:hint="cs"/>
          <w:rtl/>
        </w:rPr>
        <w:t xml:space="preserve"> שנה מיום בו הוכרז על המשרה לפי סעיף 19 לחוק המינויים ולא נמצא בבחינה אדם כשיר לאותה משרה, ונתמלאו לגביו הוראות חוק המינויים, למעט הוראות סעיף 15 ו-19;</w:t>
      </w:r>
    </w:p>
    <w:p w14:paraId="2CF2A54C" w14:textId="77777777" w:rsidR="003353D6" w:rsidRDefault="003353D6">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וא יועסק כ</w:t>
      </w:r>
      <w:r>
        <w:rPr>
          <w:rStyle w:val="default"/>
          <w:rFonts w:cs="FrankRuehl"/>
          <w:rtl/>
        </w:rPr>
        <w:t>מ</w:t>
      </w:r>
      <w:r>
        <w:rPr>
          <w:rStyle w:val="default"/>
          <w:rFonts w:cs="FrankRuehl" w:hint="cs"/>
          <w:rtl/>
        </w:rPr>
        <w:t>זכיר אישי של יושב ראש הרשות או של מנהל הרשות, ונתמלאו בו הוראות חוק המינויים, למעט הו</w:t>
      </w:r>
      <w:r>
        <w:rPr>
          <w:rStyle w:val="default"/>
          <w:rFonts w:cs="FrankRuehl"/>
          <w:rtl/>
        </w:rPr>
        <w:t>רא</w:t>
      </w:r>
      <w:r>
        <w:rPr>
          <w:rStyle w:val="default"/>
          <w:rFonts w:cs="FrankRuehl" w:hint="cs"/>
          <w:rtl/>
        </w:rPr>
        <w:t>ות סעיף 19.</w:t>
      </w:r>
    </w:p>
    <w:p w14:paraId="73BC218F" w14:textId="77777777" w:rsidR="003353D6" w:rsidRDefault="003353D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קופת העסקה של אדם על פי חוזה מיוחד לא תעלה על שלוש שנים, ותהא נתונה, מפעם לפעם, להארכה לתקופה שלא תעלה על חמש שנים; ואולם תקופת העסקתו של אדם כאמור בתקנת משנה (א)(1) לא תעלה על עשר שנים, או על התקופה שנשארה עד </w:t>
      </w:r>
      <w:r>
        <w:rPr>
          <w:rStyle w:val="default"/>
          <w:rFonts w:cs="FrankRuehl"/>
          <w:rtl/>
        </w:rPr>
        <w:t>הג</w:t>
      </w:r>
      <w:r>
        <w:rPr>
          <w:rStyle w:val="default"/>
          <w:rFonts w:cs="FrankRuehl" w:hint="cs"/>
          <w:rtl/>
        </w:rPr>
        <w:t>יעו לגיל 65, הכל לפי התקופה הקצרה יותר.</w:t>
      </w:r>
    </w:p>
    <w:p w14:paraId="136059B2" w14:textId="77777777" w:rsidR="003353D6" w:rsidRDefault="003353D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השירות הפנימית רשאית לקבוע כללים נוספים להעסקת עובדים על פי חוזה מיוחד.</w:t>
      </w:r>
    </w:p>
    <w:p w14:paraId="725DC71F" w14:textId="77777777" w:rsidR="003353D6" w:rsidRDefault="003353D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חוק המינויים יחולו על אדם המועסק ע</w:t>
      </w:r>
      <w:r>
        <w:rPr>
          <w:rStyle w:val="default"/>
          <w:rFonts w:cs="FrankRuehl"/>
          <w:rtl/>
        </w:rPr>
        <w:t>ל</w:t>
      </w:r>
      <w:r>
        <w:rPr>
          <w:rStyle w:val="default"/>
          <w:rFonts w:cs="FrankRuehl" w:hint="cs"/>
          <w:rtl/>
        </w:rPr>
        <w:t xml:space="preserve"> פי חוזה מיוחד במידה שלא נקבע אחרת בחוזה. </w:t>
      </w:r>
    </w:p>
    <w:p w14:paraId="12ACD8B7" w14:textId="77777777" w:rsidR="003353D6" w:rsidRDefault="003353D6">
      <w:pPr>
        <w:pStyle w:val="P00"/>
        <w:spacing w:before="72"/>
        <w:ind w:left="0" w:right="1134"/>
        <w:rPr>
          <w:rStyle w:val="default"/>
          <w:rFonts w:cs="FrankRuehl"/>
          <w:rtl/>
        </w:rPr>
      </w:pPr>
      <w:bookmarkStart w:id="8" w:name="Seif6"/>
      <w:bookmarkEnd w:id="8"/>
      <w:r>
        <w:rPr>
          <w:lang w:val="he-IL"/>
        </w:rPr>
        <w:pict w14:anchorId="6DBCAB95">
          <v:rect id="_x0000_s1031" style="position:absolute;left:0;text-align:left;margin-left:464.5pt;margin-top:8.05pt;width:75.05pt;height:20pt;z-index:251655168" o:allowincell="f" filled="f" stroked="f" strokecolor="lime" strokeweight=".25pt">
            <v:textbox inset="0,0,0,0">
              <w:txbxContent>
                <w:p w14:paraId="5E4A837F" w14:textId="77777777" w:rsidR="003353D6" w:rsidRDefault="003353D6">
                  <w:pPr>
                    <w:spacing w:line="160" w:lineRule="exact"/>
                    <w:jc w:val="left"/>
                    <w:rPr>
                      <w:rFonts w:cs="Miriam"/>
                      <w:noProof/>
                      <w:sz w:val="18"/>
                      <w:szCs w:val="18"/>
                      <w:rtl/>
                    </w:rPr>
                  </w:pPr>
                  <w:r>
                    <w:rPr>
                      <w:rFonts w:cs="Miriam"/>
                      <w:sz w:val="18"/>
                      <w:szCs w:val="18"/>
                      <w:rtl/>
                    </w:rPr>
                    <w:t>תק</w:t>
                  </w:r>
                  <w:r>
                    <w:rPr>
                      <w:rFonts w:cs="Miriam" w:hint="cs"/>
                      <w:sz w:val="18"/>
                      <w:szCs w:val="18"/>
                      <w:rtl/>
                    </w:rPr>
                    <w:t>ן</w:t>
                  </w:r>
                </w:p>
                <w:p w14:paraId="6BA397D8" w14:textId="77777777" w:rsidR="003353D6" w:rsidRDefault="003353D6" w:rsidP="00B37150">
                  <w:pPr>
                    <w:spacing w:line="160" w:lineRule="exact"/>
                    <w:jc w:val="left"/>
                    <w:rPr>
                      <w:rFonts w:cs="Miriam"/>
                      <w:noProof/>
                      <w:sz w:val="18"/>
                      <w:szCs w:val="18"/>
                      <w:rtl/>
                    </w:rPr>
                  </w:pPr>
                  <w:r>
                    <w:rPr>
                      <w:rFonts w:cs="Miriam"/>
                      <w:sz w:val="18"/>
                      <w:szCs w:val="18"/>
                      <w:rtl/>
                    </w:rPr>
                    <w:t>תק</w:t>
                  </w:r>
                  <w:r>
                    <w:rPr>
                      <w:rFonts w:cs="Miriam" w:hint="cs"/>
                      <w:sz w:val="18"/>
                      <w:szCs w:val="18"/>
                      <w:rtl/>
                    </w:rPr>
                    <w:t>' תשל"ג-1973</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נהל הרשות, לאחר התייעצות עם ועדת </w:t>
      </w:r>
      <w:r>
        <w:rPr>
          <w:rStyle w:val="default"/>
          <w:rFonts w:cs="FrankRuehl"/>
          <w:rtl/>
        </w:rPr>
        <w:t>הש</w:t>
      </w:r>
      <w:r>
        <w:rPr>
          <w:rStyle w:val="default"/>
          <w:rFonts w:cs="FrankRuehl" w:hint="cs"/>
          <w:rtl/>
        </w:rPr>
        <w:t xml:space="preserve">ירות הפנימית, יערוך רשימה של המשרות בשירות הרשות על הדרגות הצמודות להן (להלן </w:t>
      </w:r>
      <w:r w:rsidR="00C44EC5">
        <w:rPr>
          <w:rStyle w:val="default"/>
          <w:rFonts w:cs="FrankRuehl"/>
          <w:rtl/>
        </w:rPr>
        <w:t>–</w:t>
      </w:r>
      <w:r>
        <w:rPr>
          <w:rStyle w:val="default"/>
          <w:rFonts w:cs="FrankRuehl" w:hint="cs"/>
          <w:rtl/>
        </w:rPr>
        <w:t xml:space="preserve"> תקן) ויביאה ליושב ראש הרשות לאישור.</w:t>
      </w:r>
    </w:p>
    <w:p w14:paraId="0C02A00D" w14:textId="77777777" w:rsidR="003353D6" w:rsidRDefault="003353D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תקנה זו החלות על הצעת תקן יחולו, בשינויים המחוייבים, על הצעת כל תיקון או שינויים בתקן. </w:t>
      </w:r>
    </w:p>
    <w:p w14:paraId="5BC2D5B5" w14:textId="77777777" w:rsidR="00BF4627" w:rsidRPr="00B37150" w:rsidRDefault="00BF4627" w:rsidP="00BF4627">
      <w:pPr>
        <w:pStyle w:val="P00"/>
        <w:tabs>
          <w:tab w:val="clear" w:pos="6259"/>
        </w:tabs>
        <w:spacing w:before="0"/>
        <w:ind w:left="0" w:right="1134"/>
        <w:rPr>
          <w:rFonts w:cs="FrankRuehl" w:hint="cs"/>
          <w:vanish/>
          <w:szCs w:val="20"/>
          <w:shd w:val="clear" w:color="auto" w:fill="FFFF99"/>
          <w:rtl/>
        </w:rPr>
      </w:pPr>
      <w:bookmarkStart w:id="9" w:name="Rov23"/>
      <w:r w:rsidRPr="00B37150">
        <w:rPr>
          <w:rFonts w:cs="FrankRuehl" w:hint="cs"/>
          <w:vanish/>
          <w:color w:val="FF0000"/>
          <w:szCs w:val="20"/>
          <w:shd w:val="clear" w:color="auto" w:fill="FFFF99"/>
          <w:rtl/>
        </w:rPr>
        <w:t>מיום 5.4.1973</w:t>
      </w:r>
    </w:p>
    <w:p w14:paraId="5C8D696D" w14:textId="77777777" w:rsidR="00BF4627" w:rsidRPr="00B37150" w:rsidRDefault="00BF4627" w:rsidP="00BF4627">
      <w:pPr>
        <w:pStyle w:val="P00"/>
        <w:spacing w:before="0"/>
        <w:ind w:left="0" w:right="1134"/>
        <w:rPr>
          <w:rFonts w:cs="FrankRuehl" w:hint="cs"/>
          <w:b/>
          <w:bCs/>
          <w:vanish/>
          <w:szCs w:val="20"/>
          <w:shd w:val="clear" w:color="auto" w:fill="FFFF99"/>
          <w:rtl/>
        </w:rPr>
      </w:pPr>
      <w:r w:rsidRPr="00B37150">
        <w:rPr>
          <w:rFonts w:cs="FrankRuehl" w:hint="cs"/>
          <w:b/>
          <w:bCs/>
          <w:vanish/>
          <w:szCs w:val="20"/>
          <w:shd w:val="clear" w:color="auto" w:fill="FFFF99"/>
          <w:rtl/>
        </w:rPr>
        <w:t>תק' תשל"ג-1973</w:t>
      </w:r>
    </w:p>
    <w:p w14:paraId="38127149" w14:textId="77777777" w:rsidR="00BF4627" w:rsidRPr="00B37150" w:rsidRDefault="00BF4627" w:rsidP="00BF4627">
      <w:pPr>
        <w:pStyle w:val="P00"/>
        <w:spacing w:before="0"/>
        <w:ind w:left="0" w:right="1134"/>
        <w:rPr>
          <w:rFonts w:cs="FrankRuehl" w:hint="cs"/>
          <w:vanish/>
          <w:szCs w:val="20"/>
          <w:shd w:val="clear" w:color="auto" w:fill="FFFF99"/>
          <w:rtl/>
        </w:rPr>
      </w:pPr>
      <w:hyperlink r:id="rId7" w:history="1">
        <w:r w:rsidRPr="00B37150">
          <w:rPr>
            <w:rStyle w:val="Hyperlink"/>
            <w:rFonts w:cs="FrankRuehl" w:hint="cs"/>
            <w:vanish/>
            <w:szCs w:val="20"/>
            <w:shd w:val="clear" w:color="auto" w:fill="FFFF99"/>
            <w:rtl/>
          </w:rPr>
          <w:t>ק"ת תשל"ג מס' 2993</w:t>
        </w:r>
      </w:hyperlink>
      <w:r w:rsidRPr="00B37150">
        <w:rPr>
          <w:rFonts w:cs="FrankRuehl" w:hint="cs"/>
          <w:vanish/>
          <w:szCs w:val="20"/>
          <w:shd w:val="clear" w:color="auto" w:fill="FFFF99"/>
          <w:rtl/>
        </w:rPr>
        <w:t xml:space="preserve"> מיום 5.4.1973 עמ' 1121</w:t>
      </w:r>
    </w:p>
    <w:p w14:paraId="3690CC92" w14:textId="77777777" w:rsidR="00BF4627" w:rsidRPr="00B37150" w:rsidRDefault="00BF4627" w:rsidP="00BF4627">
      <w:pPr>
        <w:pStyle w:val="P00"/>
        <w:spacing w:before="0"/>
        <w:ind w:left="0" w:right="1134"/>
        <w:rPr>
          <w:rFonts w:cs="FrankRuehl" w:hint="cs"/>
          <w:b/>
          <w:bCs/>
          <w:vanish/>
          <w:szCs w:val="20"/>
          <w:shd w:val="clear" w:color="auto" w:fill="FFFF99"/>
          <w:rtl/>
        </w:rPr>
      </w:pPr>
      <w:r w:rsidRPr="00B37150">
        <w:rPr>
          <w:rFonts w:cs="FrankRuehl" w:hint="cs"/>
          <w:b/>
          <w:bCs/>
          <w:vanish/>
          <w:szCs w:val="20"/>
          <w:shd w:val="clear" w:color="auto" w:fill="FFFF99"/>
          <w:rtl/>
        </w:rPr>
        <w:t>החלפת תקנת משנה 6(א)</w:t>
      </w:r>
    </w:p>
    <w:p w14:paraId="6C04C8B7" w14:textId="77777777" w:rsidR="00BF4627" w:rsidRPr="00B37150" w:rsidRDefault="00BF4627" w:rsidP="00BF4627">
      <w:pPr>
        <w:pStyle w:val="P00"/>
        <w:ind w:left="0" w:right="1134"/>
        <w:rPr>
          <w:rFonts w:cs="FrankRuehl" w:hint="cs"/>
          <w:vanish/>
          <w:szCs w:val="20"/>
          <w:shd w:val="clear" w:color="auto" w:fill="FFFF99"/>
          <w:rtl/>
        </w:rPr>
      </w:pPr>
      <w:r w:rsidRPr="00B37150">
        <w:rPr>
          <w:rFonts w:cs="FrankRuehl" w:hint="cs"/>
          <w:vanish/>
          <w:szCs w:val="20"/>
          <w:shd w:val="clear" w:color="auto" w:fill="FFFF99"/>
          <w:rtl/>
        </w:rPr>
        <w:t>הנוסח הקודם:</w:t>
      </w:r>
    </w:p>
    <w:p w14:paraId="0E94FFDB" w14:textId="77777777" w:rsidR="00BF4627" w:rsidRPr="0017457C" w:rsidRDefault="00BF4627" w:rsidP="0017457C">
      <w:pPr>
        <w:pStyle w:val="P00"/>
        <w:spacing w:before="0"/>
        <w:ind w:left="0" w:right="1134"/>
        <w:rPr>
          <w:rFonts w:cs="FrankRuehl" w:hint="cs"/>
          <w:strike/>
          <w:sz w:val="2"/>
          <w:szCs w:val="2"/>
          <w:rtl/>
        </w:rPr>
      </w:pPr>
      <w:r w:rsidRPr="00B37150">
        <w:rPr>
          <w:rFonts w:cs="FrankRuehl" w:hint="cs"/>
          <w:vanish/>
          <w:sz w:val="22"/>
          <w:szCs w:val="22"/>
          <w:shd w:val="clear" w:color="auto" w:fill="FFFF99"/>
          <w:rtl/>
        </w:rPr>
        <w:tab/>
      </w:r>
      <w:r w:rsidRPr="00B37150">
        <w:rPr>
          <w:rFonts w:cs="FrankRuehl" w:hint="cs"/>
          <w:strike/>
          <w:vanish/>
          <w:sz w:val="22"/>
          <w:szCs w:val="22"/>
          <w:shd w:val="clear" w:color="auto" w:fill="FFFF99"/>
          <w:rtl/>
        </w:rPr>
        <w:t>(א)</w:t>
      </w:r>
      <w:r w:rsidRPr="00B37150">
        <w:rPr>
          <w:rFonts w:cs="FrankRuehl" w:hint="cs"/>
          <w:strike/>
          <w:vanish/>
          <w:sz w:val="22"/>
          <w:szCs w:val="22"/>
          <w:shd w:val="clear" w:color="auto" w:fill="FFFF99"/>
          <w:rtl/>
        </w:rPr>
        <w:tab/>
        <w:t xml:space="preserve">יושב ראש הרשות, לאחר שמיעת הצעת המנהל ולאחר התייעצות עם ועדת השירות הפנימית, יערוך רשימה של המשרות בשירות הרשות על הדרגות הצמודות להן (להלן </w:t>
      </w:r>
      <w:r w:rsidRPr="00B37150">
        <w:rPr>
          <w:rFonts w:cs="FrankRuehl"/>
          <w:strike/>
          <w:vanish/>
          <w:sz w:val="22"/>
          <w:szCs w:val="22"/>
          <w:shd w:val="clear" w:color="auto" w:fill="FFFF99"/>
          <w:rtl/>
        </w:rPr>
        <w:t>–</w:t>
      </w:r>
      <w:r w:rsidRPr="00B37150">
        <w:rPr>
          <w:rFonts w:cs="FrankRuehl" w:hint="cs"/>
          <w:strike/>
          <w:vanish/>
          <w:sz w:val="22"/>
          <w:szCs w:val="22"/>
          <w:shd w:val="clear" w:color="auto" w:fill="FFFF99"/>
          <w:rtl/>
        </w:rPr>
        <w:t xml:space="preserve"> תקן) ויביאה לשר השיכון לאישור.</w:t>
      </w:r>
      <w:bookmarkEnd w:id="9"/>
    </w:p>
    <w:p w14:paraId="05283347" w14:textId="77777777" w:rsidR="003353D6" w:rsidRDefault="003353D6">
      <w:pPr>
        <w:pStyle w:val="P00"/>
        <w:spacing w:before="72"/>
        <w:ind w:left="0" w:right="1134"/>
        <w:rPr>
          <w:rStyle w:val="default"/>
          <w:rFonts w:cs="FrankRuehl"/>
          <w:rtl/>
        </w:rPr>
      </w:pPr>
      <w:bookmarkStart w:id="10" w:name="Seif7"/>
      <w:bookmarkEnd w:id="10"/>
      <w:r>
        <w:rPr>
          <w:lang w:val="he-IL"/>
        </w:rPr>
        <w:pict w14:anchorId="7A0F555B">
          <v:rect id="_x0000_s1032" style="position:absolute;left:0;text-align:left;margin-left:464.5pt;margin-top:8.05pt;width:75.05pt;height:10pt;z-index:251656192" o:allowincell="f" filled="f" stroked="f" strokecolor="lime" strokeweight=".25pt">
            <v:textbox inset="0,0,0,0">
              <w:txbxContent>
                <w:p w14:paraId="27578645" w14:textId="77777777" w:rsidR="003353D6" w:rsidRDefault="003353D6">
                  <w:pPr>
                    <w:spacing w:line="160" w:lineRule="exact"/>
                    <w:jc w:val="left"/>
                    <w:rPr>
                      <w:rFonts w:cs="Miriam"/>
                      <w:noProof/>
                      <w:sz w:val="18"/>
                      <w:szCs w:val="18"/>
                      <w:rtl/>
                    </w:rPr>
                  </w:pPr>
                  <w:r>
                    <w:rPr>
                      <w:rFonts w:cs="Miriam"/>
                      <w:sz w:val="18"/>
                      <w:szCs w:val="18"/>
                      <w:rtl/>
                    </w:rPr>
                    <w:t>כל</w:t>
                  </w:r>
                  <w:r>
                    <w:rPr>
                      <w:rFonts w:cs="Miriam" w:hint="cs"/>
                      <w:sz w:val="18"/>
                      <w:szCs w:val="18"/>
                      <w:rtl/>
                    </w:rPr>
                    <w:t>לי מכרז</w:t>
                  </w:r>
                  <w:r>
                    <w:rPr>
                      <w:rFonts w:cs="Miriam"/>
                      <w:sz w:val="18"/>
                      <w:szCs w:val="18"/>
                      <w:rtl/>
                    </w:rPr>
                    <w:t>ים</w:t>
                  </w:r>
                </w:p>
              </w:txbxContent>
            </v:textbox>
            <w10:anchorlock/>
          </v:rect>
        </w:pict>
      </w:r>
      <w:r>
        <w:rPr>
          <w:rStyle w:val="big-number"/>
          <w:rFonts w:cs="Miriam"/>
          <w:rtl/>
        </w:rPr>
        <w:t>7.</w:t>
      </w:r>
      <w:r>
        <w:rPr>
          <w:rStyle w:val="big-number"/>
          <w:rFonts w:cs="Miriam"/>
          <w:rtl/>
        </w:rPr>
        <w:tab/>
      </w:r>
      <w:r>
        <w:rPr>
          <w:rStyle w:val="default"/>
          <w:rFonts w:cs="FrankRuehl"/>
          <w:rtl/>
        </w:rPr>
        <w:t>וע</w:t>
      </w:r>
      <w:r>
        <w:rPr>
          <w:rStyle w:val="default"/>
          <w:rFonts w:cs="FrankRuehl" w:hint="cs"/>
          <w:rtl/>
        </w:rPr>
        <w:t>דת השירות הפנימית רשאית לקבוע כלל</w:t>
      </w:r>
      <w:r>
        <w:rPr>
          <w:rStyle w:val="default"/>
          <w:rFonts w:cs="FrankRuehl"/>
          <w:rtl/>
        </w:rPr>
        <w:t>ים</w:t>
      </w:r>
      <w:r>
        <w:rPr>
          <w:rStyle w:val="default"/>
          <w:rFonts w:cs="FrankRuehl" w:hint="cs"/>
          <w:rtl/>
        </w:rPr>
        <w:t xml:space="preserve"> בדבר דרכי המכרזים למשרות פנויות בשירות הרשות ופרטיהם, לרבות כללים בדבר השתתפותם של עובדי המדינה, עובדי רשויות מקומיות, עובדי תאגידים שהוקמו על פי חוק ועובדי תאגידים שיש לממשלה דעה מכרעת בהנהלתם (לכל אלה ייקרא להלן </w:t>
      </w:r>
      <w:r w:rsidR="002557E4">
        <w:rPr>
          <w:rStyle w:val="default"/>
          <w:rFonts w:cs="FrankRuehl"/>
          <w:rtl/>
        </w:rPr>
        <w:t>–</w:t>
      </w:r>
      <w:r>
        <w:rPr>
          <w:rStyle w:val="default"/>
          <w:rFonts w:cs="FrankRuehl" w:hint="cs"/>
          <w:rtl/>
        </w:rPr>
        <w:t xml:space="preserve"> מוסדות ציבור). </w:t>
      </w:r>
    </w:p>
    <w:p w14:paraId="7243DF8A" w14:textId="77777777" w:rsidR="003353D6" w:rsidRDefault="003353D6">
      <w:pPr>
        <w:pStyle w:val="P00"/>
        <w:spacing w:before="72"/>
        <w:ind w:left="0" w:right="1134"/>
        <w:rPr>
          <w:rStyle w:val="default"/>
          <w:rFonts w:cs="FrankRuehl"/>
          <w:rtl/>
        </w:rPr>
      </w:pPr>
      <w:bookmarkStart w:id="11" w:name="Seif8"/>
      <w:bookmarkEnd w:id="11"/>
      <w:r>
        <w:rPr>
          <w:lang w:val="he-IL"/>
        </w:rPr>
        <w:pict w14:anchorId="394A895B">
          <v:rect id="_x0000_s1033" style="position:absolute;left:0;text-align:left;margin-left:464.5pt;margin-top:8.05pt;width:75.05pt;height:10pt;z-index:251657216" o:allowincell="f" filled="f" stroked="f" strokecolor="lime" strokeweight=".25pt">
            <v:textbox inset="0,0,0,0">
              <w:txbxContent>
                <w:p w14:paraId="5A20F87A" w14:textId="77777777" w:rsidR="003353D6" w:rsidRDefault="003353D6">
                  <w:pPr>
                    <w:spacing w:line="160" w:lineRule="exact"/>
                    <w:jc w:val="left"/>
                    <w:rPr>
                      <w:rFonts w:cs="Miriam"/>
                      <w:noProof/>
                      <w:sz w:val="18"/>
                      <w:szCs w:val="18"/>
                      <w:rtl/>
                    </w:rPr>
                  </w:pPr>
                  <w:r>
                    <w:rPr>
                      <w:rFonts w:cs="Miriam"/>
                      <w:sz w:val="18"/>
                      <w:szCs w:val="18"/>
                      <w:rtl/>
                    </w:rPr>
                    <w:t>פט</w:t>
                  </w:r>
                  <w:r>
                    <w:rPr>
                      <w:rFonts w:cs="Miriam" w:hint="cs"/>
                      <w:sz w:val="18"/>
                      <w:szCs w:val="18"/>
                      <w:rtl/>
                    </w:rPr>
                    <w:t>ור ממכרז</w:t>
                  </w:r>
                </w:p>
              </w:txbxContent>
            </v:textbox>
            <w10:anchorlock/>
          </v:rect>
        </w:pict>
      </w:r>
      <w:r>
        <w:rPr>
          <w:rStyle w:val="big-number"/>
          <w:rFonts w:cs="Miriam"/>
          <w:rtl/>
        </w:rPr>
        <w:t>8.</w:t>
      </w:r>
      <w:r>
        <w:rPr>
          <w:rStyle w:val="big-number"/>
          <w:rFonts w:cs="Miriam"/>
          <w:rtl/>
        </w:rPr>
        <w:tab/>
      </w:r>
      <w:r>
        <w:rPr>
          <w:rStyle w:val="default"/>
          <w:rFonts w:cs="FrankRuehl"/>
          <w:rtl/>
        </w:rPr>
        <w:t>וע</w:t>
      </w:r>
      <w:r>
        <w:rPr>
          <w:rStyle w:val="default"/>
          <w:rFonts w:cs="FrankRuehl" w:hint="cs"/>
          <w:rtl/>
        </w:rPr>
        <w:t>דת השירות הפנימ</w:t>
      </w:r>
      <w:r>
        <w:rPr>
          <w:rStyle w:val="default"/>
          <w:rFonts w:cs="FrankRuehl"/>
          <w:rtl/>
        </w:rPr>
        <w:t>ית</w:t>
      </w:r>
      <w:r>
        <w:rPr>
          <w:rStyle w:val="default"/>
          <w:rFonts w:cs="FrankRuehl" w:hint="cs"/>
          <w:rtl/>
        </w:rPr>
        <w:t xml:space="preserve"> רשאית, באישור שר השיכון ובהודעה ברשומות, לקבוע משרות וסוגים של משרות שעליהם לא תחול חובת המכרז; כן רשאית ועדת השירות ה</w:t>
      </w:r>
      <w:r>
        <w:rPr>
          <w:rStyle w:val="default"/>
          <w:rFonts w:cs="FrankRuehl"/>
          <w:rtl/>
        </w:rPr>
        <w:t>פ</w:t>
      </w:r>
      <w:r>
        <w:rPr>
          <w:rStyle w:val="default"/>
          <w:rFonts w:cs="FrankRuehl" w:hint="cs"/>
          <w:rtl/>
        </w:rPr>
        <w:t>נימית באישור כאמור להתיר, בתנאים שתקבע או ללא תנאי, מינוי למשרה בלי שהוכרז עליה אם המועמד עובר לשירות הרשות משירות המדינה או משירות ב</w:t>
      </w:r>
      <w:r>
        <w:rPr>
          <w:rStyle w:val="default"/>
          <w:rFonts w:cs="FrankRuehl"/>
          <w:rtl/>
        </w:rPr>
        <w:t>מ</w:t>
      </w:r>
      <w:r>
        <w:rPr>
          <w:rStyle w:val="default"/>
          <w:rFonts w:cs="FrankRuehl" w:hint="cs"/>
          <w:rtl/>
        </w:rPr>
        <w:t>ו</w:t>
      </w:r>
      <w:r>
        <w:rPr>
          <w:rStyle w:val="default"/>
          <w:rFonts w:cs="FrankRuehl"/>
          <w:rtl/>
        </w:rPr>
        <w:t>ס</w:t>
      </w:r>
      <w:r>
        <w:rPr>
          <w:rStyle w:val="default"/>
          <w:rFonts w:cs="FrankRuehl" w:hint="cs"/>
          <w:rtl/>
        </w:rPr>
        <w:t>ד ציבורי וועדת השירות הפנימית סבורה, מסיבות שתציין בהביאה את החלטתה לאישור השר, כי העסקתו של המועמד במשרה הפנויה היא חי</w:t>
      </w:r>
      <w:r>
        <w:rPr>
          <w:rStyle w:val="default"/>
          <w:rFonts w:cs="FrankRuehl"/>
          <w:rtl/>
        </w:rPr>
        <w:t>ו</w:t>
      </w:r>
      <w:r>
        <w:rPr>
          <w:rStyle w:val="default"/>
          <w:rFonts w:cs="FrankRuehl" w:hint="cs"/>
          <w:rtl/>
        </w:rPr>
        <w:t>נית לרשות וכי בתנאי המשרה אין זה מעשי לקיים מכרז.</w:t>
      </w:r>
    </w:p>
    <w:p w14:paraId="30E3AC8A" w14:textId="77777777" w:rsidR="003353D6" w:rsidRDefault="003353D6">
      <w:pPr>
        <w:pStyle w:val="P00"/>
        <w:spacing w:before="72"/>
        <w:ind w:left="0" w:right="1134"/>
        <w:rPr>
          <w:rStyle w:val="default"/>
          <w:rFonts w:cs="FrankRuehl"/>
          <w:rtl/>
        </w:rPr>
      </w:pPr>
      <w:bookmarkStart w:id="12" w:name="Seif9"/>
      <w:bookmarkEnd w:id="12"/>
      <w:r>
        <w:rPr>
          <w:lang w:val="he-IL"/>
        </w:rPr>
        <w:pict w14:anchorId="7B84474A">
          <v:rect id="_x0000_s1034" style="position:absolute;left:0;text-align:left;margin-left:464.5pt;margin-top:8.05pt;width:75.05pt;height:10pt;z-index:251658240" o:allowincell="f" filled="f" stroked="f" strokecolor="lime" strokeweight=".25pt">
            <v:textbox inset="0,0,0,0">
              <w:txbxContent>
                <w:p w14:paraId="38EA373D" w14:textId="77777777" w:rsidR="003353D6" w:rsidRDefault="003353D6">
                  <w:pPr>
                    <w:spacing w:line="160" w:lineRule="exact"/>
                    <w:jc w:val="left"/>
                    <w:rPr>
                      <w:rFonts w:cs="Miriam"/>
                      <w:noProof/>
                      <w:sz w:val="18"/>
                      <w:szCs w:val="18"/>
                      <w:rtl/>
                    </w:rPr>
                  </w:pPr>
                  <w:r>
                    <w:rPr>
                      <w:rFonts w:cs="Miriam"/>
                      <w:sz w:val="18"/>
                      <w:szCs w:val="18"/>
                      <w:rtl/>
                    </w:rPr>
                    <w:t>ני</w:t>
                  </w:r>
                  <w:r>
                    <w:rPr>
                      <w:rFonts w:cs="Miriam" w:hint="cs"/>
                      <w:sz w:val="18"/>
                      <w:szCs w:val="18"/>
                      <w:rtl/>
                    </w:rPr>
                    <w:t>הול בחינות</w:t>
                  </w:r>
                </w:p>
              </w:txbxContent>
            </v:textbox>
            <w10:anchorlock/>
          </v:rect>
        </w:pict>
      </w:r>
      <w:r>
        <w:rPr>
          <w:rStyle w:val="big-number"/>
          <w:rFonts w:cs="Miriam"/>
          <w:rtl/>
        </w:rPr>
        <w:t>9.</w:t>
      </w:r>
      <w:r>
        <w:rPr>
          <w:rStyle w:val="big-number"/>
          <w:rFonts w:cs="Miriam"/>
          <w:rtl/>
        </w:rPr>
        <w:tab/>
      </w:r>
      <w:r>
        <w:rPr>
          <w:rStyle w:val="default"/>
          <w:rFonts w:cs="FrankRuehl"/>
          <w:rtl/>
        </w:rPr>
        <w:t>בה</w:t>
      </w:r>
      <w:r>
        <w:rPr>
          <w:rStyle w:val="default"/>
          <w:rFonts w:cs="FrankRuehl" w:hint="cs"/>
          <w:rtl/>
        </w:rPr>
        <w:t>חלת סעיף 26 לחוק המינויים, במקום המלים "נציג אחד של המשרד הנוגע בדבר" קרי "מנה</w:t>
      </w:r>
      <w:r>
        <w:rPr>
          <w:rStyle w:val="default"/>
          <w:rFonts w:cs="FrankRuehl"/>
          <w:rtl/>
        </w:rPr>
        <w:t xml:space="preserve">ל </w:t>
      </w:r>
      <w:r>
        <w:rPr>
          <w:rStyle w:val="default"/>
          <w:rFonts w:cs="FrankRuehl" w:hint="cs"/>
          <w:rtl/>
        </w:rPr>
        <w:t>הרשות או נציגו".</w:t>
      </w:r>
    </w:p>
    <w:p w14:paraId="295F0A44" w14:textId="77777777" w:rsidR="003353D6" w:rsidRDefault="003353D6" w:rsidP="00B37150">
      <w:pPr>
        <w:pStyle w:val="P00"/>
        <w:spacing w:before="72"/>
        <w:ind w:left="0" w:right="1134"/>
        <w:rPr>
          <w:rStyle w:val="default"/>
          <w:rFonts w:cs="FrankRuehl"/>
          <w:rtl/>
        </w:rPr>
      </w:pPr>
      <w:bookmarkStart w:id="13" w:name="Seif10"/>
      <w:bookmarkEnd w:id="13"/>
      <w:r>
        <w:rPr>
          <w:lang w:val="he-IL"/>
        </w:rPr>
        <w:pict w14:anchorId="1CAFDCEB">
          <v:rect id="_x0000_s1035" style="position:absolute;left:0;text-align:left;margin-left:464.5pt;margin-top:8.05pt;width:75.05pt;height:10pt;z-index:251659264" o:allowincell="f" filled="f" stroked="f" strokecolor="lime" strokeweight=".25pt">
            <v:textbox inset="0,0,0,0">
              <w:txbxContent>
                <w:p w14:paraId="56E86192" w14:textId="77777777" w:rsidR="003353D6" w:rsidRDefault="003353D6">
                  <w:pPr>
                    <w:spacing w:line="160" w:lineRule="exact"/>
                    <w:jc w:val="left"/>
                    <w:rPr>
                      <w:rFonts w:cs="Miriam"/>
                      <w:noProof/>
                      <w:sz w:val="18"/>
                      <w:szCs w:val="18"/>
                      <w:rtl/>
                    </w:rPr>
                  </w:pPr>
                  <w:r>
                    <w:rPr>
                      <w:rFonts w:cs="Miriam"/>
                      <w:sz w:val="18"/>
                      <w:szCs w:val="18"/>
                      <w:rtl/>
                    </w:rPr>
                    <w:t>אי</w:t>
                  </w:r>
                  <w:r w:rsidR="00B37150">
                    <w:rPr>
                      <w:rFonts w:cs="Miriam" w:hint="cs"/>
                      <w:sz w:val="18"/>
                      <w:szCs w:val="18"/>
                      <w:rtl/>
                    </w:rPr>
                    <w:t>-</w:t>
                  </w:r>
                  <w:r>
                    <w:rPr>
                      <w:rFonts w:cs="Miriam" w:hint="cs"/>
                      <w:sz w:val="18"/>
                      <w:szCs w:val="18"/>
                      <w:rtl/>
                    </w:rPr>
                    <w:t>תחולת סעיפים</w:t>
                  </w:r>
                </w:p>
              </w:txbxContent>
            </v:textbox>
            <w10:anchorlock/>
          </v:rect>
        </w:pict>
      </w:r>
      <w:r>
        <w:rPr>
          <w:rStyle w:val="big-number"/>
          <w:rFonts w:cs="Miriam"/>
          <w:rtl/>
        </w:rPr>
        <w:t>10.</w:t>
      </w:r>
      <w:r>
        <w:rPr>
          <w:rStyle w:val="big-number"/>
          <w:rFonts w:cs="Miriam"/>
          <w:rtl/>
        </w:rPr>
        <w:tab/>
      </w:r>
      <w:r>
        <w:rPr>
          <w:rStyle w:val="default"/>
          <w:rFonts w:cs="FrankRuehl"/>
          <w:rtl/>
        </w:rPr>
        <w:t>סע</w:t>
      </w:r>
      <w:r>
        <w:rPr>
          <w:rStyle w:val="default"/>
          <w:rFonts w:cs="FrankRuehl" w:hint="cs"/>
          <w:rtl/>
        </w:rPr>
        <w:t>יפים 1 עד 8, 12 עד 14, 20, 21 ו-40 לחוק המינויים לא יחולו על</w:t>
      </w:r>
      <w:r>
        <w:rPr>
          <w:rStyle w:val="default"/>
          <w:rFonts w:cs="FrankRuehl"/>
          <w:rtl/>
        </w:rPr>
        <w:t xml:space="preserve"> </w:t>
      </w:r>
      <w:r>
        <w:rPr>
          <w:rStyle w:val="default"/>
          <w:rFonts w:cs="FrankRuehl" w:hint="cs"/>
          <w:rtl/>
        </w:rPr>
        <w:t>עובדי הרשות.</w:t>
      </w:r>
    </w:p>
    <w:p w14:paraId="3E19AE44" w14:textId="77777777" w:rsidR="003353D6" w:rsidRDefault="003353D6">
      <w:pPr>
        <w:pStyle w:val="medium2-header"/>
        <w:keepLines w:val="0"/>
        <w:spacing w:before="72"/>
        <w:ind w:left="0" w:right="1134"/>
        <w:rPr>
          <w:rFonts w:cs="FrankRuehl"/>
          <w:noProof/>
          <w:rtl/>
        </w:rPr>
      </w:pPr>
      <w:bookmarkStart w:id="14" w:name="med2"/>
      <w:bookmarkEnd w:id="14"/>
      <w:r>
        <w:rPr>
          <w:rFonts w:cs="FrankRuehl"/>
          <w:noProof/>
          <w:rtl/>
        </w:rPr>
        <w:t>פר</w:t>
      </w:r>
      <w:r>
        <w:rPr>
          <w:rFonts w:cs="FrankRuehl" w:hint="cs"/>
          <w:noProof/>
          <w:rtl/>
        </w:rPr>
        <w:t>ק שלישי: משמעת</w:t>
      </w:r>
    </w:p>
    <w:p w14:paraId="7A3F3F31" w14:textId="77777777" w:rsidR="003353D6" w:rsidRDefault="003353D6">
      <w:pPr>
        <w:pStyle w:val="P00"/>
        <w:spacing w:before="72"/>
        <w:ind w:left="0" w:right="1134"/>
        <w:rPr>
          <w:rStyle w:val="default"/>
          <w:rFonts w:cs="FrankRuehl"/>
          <w:rtl/>
        </w:rPr>
      </w:pPr>
      <w:bookmarkStart w:id="15" w:name="Seif11"/>
      <w:bookmarkEnd w:id="15"/>
      <w:r>
        <w:rPr>
          <w:lang w:val="he-IL"/>
        </w:rPr>
        <w:pict w14:anchorId="21BAE0BD">
          <v:rect id="_x0000_s1036" style="position:absolute;left:0;text-align:left;margin-left:464.5pt;margin-top:8.05pt;width:75.05pt;height:10pt;z-index:251660288" o:allowincell="f" filled="f" stroked="f" strokecolor="lime" strokeweight=".25pt">
            <v:textbox inset="0,0,0,0">
              <w:txbxContent>
                <w:p w14:paraId="4B61EE6D" w14:textId="77777777" w:rsidR="003353D6" w:rsidRDefault="003353D6">
                  <w:pPr>
                    <w:spacing w:line="160" w:lineRule="exact"/>
                    <w:jc w:val="left"/>
                    <w:rPr>
                      <w:rFonts w:cs="Miriam"/>
                      <w:noProof/>
                      <w:sz w:val="18"/>
                      <w:szCs w:val="18"/>
                      <w:rtl/>
                    </w:rPr>
                  </w:pPr>
                  <w:r>
                    <w:rPr>
                      <w:rFonts w:cs="Miriam"/>
                      <w:sz w:val="18"/>
                      <w:szCs w:val="18"/>
                      <w:rtl/>
                    </w:rPr>
                    <w:t>תח</w:t>
                  </w:r>
                  <w:r>
                    <w:rPr>
                      <w:rFonts w:cs="Miriam" w:hint="cs"/>
                      <w:sz w:val="18"/>
                      <w:szCs w:val="18"/>
                      <w:rtl/>
                    </w:rPr>
                    <w:t>ולת חוק המשמעת</w:t>
                  </w:r>
                </w:p>
              </w:txbxContent>
            </v:textbox>
            <w10:anchorlock/>
          </v:rect>
        </w:pict>
      </w:r>
      <w:r>
        <w:rPr>
          <w:rStyle w:val="big-number"/>
          <w:rFonts w:cs="Miriam"/>
          <w:rtl/>
        </w:rPr>
        <w:t>11.</w:t>
      </w:r>
      <w:r>
        <w:rPr>
          <w:rStyle w:val="big-number"/>
          <w:rFonts w:cs="Miriam"/>
          <w:rtl/>
        </w:rPr>
        <w:tab/>
      </w:r>
      <w:r>
        <w:rPr>
          <w:rStyle w:val="default"/>
          <w:rFonts w:cs="FrankRuehl"/>
          <w:rtl/>
        </w:rPr>
        <w:t>חו</w:t>
      </w:r>
      <w:r>
        <w:rPr>
          <w:rStyle w:val="default"/>
          <w:rFonts w:cs="FrankRuehl" w:hint="cs"/>
          <w:rtl/>
        </w:rPr>
        <w:t>ק המשמעת יחול על עובדי הרשות כאילו היתה משרד של הממשלה, בשינויים המפורטים בפרק זה ובתיאומים נוספים אלה:</w:t>
      </w:r>
    </w:p>
    <w:p w14:paraId="6768287E" w14:textId="77777777" w:rsidR="003353D6" w:rsidRDefault="003353D6" w:rsidP="002557E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סמכות הנתונה בחוק המשמעת לשר, למעט שר המשפטים, תהיה נתונה לשר השיכון;</w:t>
      </w:r>
    </w:p>
    <w:p w14:paraId="21E666FB" w14:textId="77777777" w:rsidR="003353D6" w:rsidRDefault="003353D6" w:rsidP="002557E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סמכות הנתונה בחוק המשמעת לנציב השירות תהיה נתונה ליושב ראש הרשות;</w:t>
      </w:r>
    </w:p>
    <w:p w14:paraId="1F0972AB" w14:textId="77777777" w:rsidR="003353D6" w:rsidRDefault="003353D6" w:rsidP="002557E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סמכות הנתונה בחוק המשמעת לועדת השירות תהיה נתונה לועדת השירות הפנימית;</w:t>
      </w:r>
    </w:p>
    <w:p w14:paraId="4880C889" w14:textId="77777777" w:rsidR="003353D6" w:rsidRDefault="003353D6" w:rsidP="002557E4">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סמכות הנתונה בחוק המשמ</w:t>
      </w:r>
      <w:r>
        <w:rPr>
          <w:rStyle w:val="default"/>
          <w:rFonts w:cs="FrankRuehl"/>
          <w:rtl/>
        </w:rPr>
        <w:t>עת</w:t>
      </w:r>
      <w:r>
        <w:rPr>
          <w:rStyle w:val="default"/>
          <w:rFonts w:cs="FrankRuehl" w:hint="cs"/>
          <w:rtl/>
        </w:rPr>
        <w:t xml:space="preserve"> למנהל כללי תהיה נתונה למנהל הרשות.</w:t>
      </w:r>
    </w:p>
    <w:p w14:paraId="0F9A1560" w14:textId="77777777" w:rsidR="003353D6" w:rsidRDefault="003353D6">
      <w:pPr>
        <w:pStyle w:val="P00"/>
        <w:spacing w:before="72"/>
        <w:ind w:left="0" w:right="1134"/>
        <w:rPr>
          <w:rStyle w:val="default"/>
          <w:rFonts w:cs="FrankRuehl"/>
          <w:rtl/>
        </w:rPr>
      </w:pPr>
      <w:bookmarkStart w:id="16" w:name="Seif12"/>
      <w:bookmarkEnd w:id="16"/>
      <w:r>
        <w:rPr>
          <w:lang w:val="he-IL"/>
        </w:rPr>
        <w:pict w14:anchorId="194C836F">
          <v:rect id="_x0000_s1037" style="position:absolute;left:0;text-align:left;margin-left:464.5pt;margin-top:8.05pt;width:75.05pt;height:10pt;z-index:251661312" o:allowincell="f" filled="f" stroked="f" strokecolor="lime" strokeweight=".25pt">
            <v:textbox inset="0,0,0,0">
              <w:txbxContent>
                <w:p w14:paraId="56B91D77" w14:textId="77777777" w:rsidR="003353D6" w:rsidRDefault="003353D6">
                  <w:pPr>
                    <w:spacing w:line="160" w:lineRule="exact"/>
                    <w:jc w:val="left"/>
                    <w:rPr>
                      <w:rFonts w:cs="Miriam"/>
                      <w:noProof/>
                      <w:sz w:val="18"/>
                      <w:szCs w:val="18"/>
                      <w:rtl/>
                    </w:rPr>
                  </w:pPr>
                  <w:r>
                    <w:rPr>
                      <w:rFonts w:cs="Miriam"/>
                      <w:sz w:val="18"/>
                      <w:szCs w:val="18"/>
                      <w:rtl/>
                    </w:rPr>
                    <w:t>וע</w:t>
                  </w:r>
                  <w:r>
                    <w:rPr>
                      <w:rFonts w:cs="Miriam" w:hint="cs"/>
                      <w:sz w:val="18"/>
                      <w:szCs w:val="18"/>
                      <w:rtl/>
                    </w:rPr>
                    <w:t>דת משמעת</w:t>
                  </w:r>
                </w:p>
              </w:txbxContent>
            </v:textbox>
            <w10:anchorlock/>
          </v:rect>
        </w:pict>
      </w:r>
      <w:r>
        <w:rPr>
          <w:rStyle w:val="big-number"/>
          <w:rFonts w:cs="Miriam"/>
          <w:rtl/>
        </w:rPr>
        <w:t>12.</w:t>
      </w:r>
      <w:r>
        <w:rPr>
          <w:rStyle w:val="big-number"/>
          <w:rFonts w:cs="Miriam"/>
          <w:rtl/>
        </w:rPr>
        <w:tab/>
      </w:r>
      <w:r>
        <w:rPr>
          <w:rStyle w:val="default"/>
          <w:rFonts w:cs="FrankRuehl"/>
          <w:rtl/>
        </w:rPr>
        <w:t>וע</w:t>
      </w:r>
      <w:r>
        <w:rPr>
          <w:rStyle w:val="default"/>
          <w:rFonts w:cs="FrankRuehl" w:hint="cs"/>
          <w:rtl/>
        </w:rPr>
        <w:t>דת המשמעת לרשות תמונה על ידי שר המשפטים; כל עוד לא מונתה ועדה כאמור תשמש ועדת המשמעת שמונתה למשרד השיכון ועדת משמעת לעובדי הרשות.</w:t>
      </w:r>
    </w:p>
    <w:p w14:paraId="2532C30B" w14:textId="77777777" w:rsidR="003353D6" w:rsidRDefault="003353D6">
      <w:pPr>
        <w:pStyle w:val="P00"/>
        <w:spacing w:before="72"/>
        <w:ind w:left="0" w:right="1134"/>
        <w:rPr>
          <w:rStyle w:val="default"/>
          <w:rFonts w:cs="FrankRuehl"/>
          <w:rtl/>
        </w:rPr>
      </w:pPr>
      <w:bookmarkStart w:id="17" w:name="Seif13"/>
      <w:bookmarkEnd w:id="17"/>
      <w:r>
        <w:rPr>
          <w:lang w:val="he-IL"/>
        </w:rPr>
        <w:pict w14:anchorId="275B0BD2">
          <v:rect id="_x0000_s1038" style="position:absolute;left:0;text-align:left;margin-left:464.5pt;margin-top:8.05pt;width:75.05pt;height:10pt;z-index:251662336" o:allowincell="f" filled="f" stroked="f" strokecolor="lime" strokeweight=".25pt">
            <v:textbox inset="0,0,0,0">
              <w:txbxContent>
                <w:p w14:paraId="68181A66" w14:textId="77777777" w:rsidR="003353D6" w:rsidRDefault="003353D6">
                  <w:pPr>
                    <w:spacing w:line="160" w:lineRule="exact"/>
                    <w:jc w:val="left"/>
                    <w:rPr>
                      <w:rFonts w:cs="Miriam"/>
                      <w:noProof/>
                      <w:sz w:val="18"/>
                      <w:szCs w:val="18"/>
                      <w:rtl/>
                    </w:rPr>
                  </w:pPr>
                  <w:r>
                    <w:rPr>
                      <w:rFonts w:cs="Miriam"/>
                      <w:sz w:val="18"/>
                      <w:szCs w:val="18"/>
                      <w:rtl/>
                    </w:rPr>
                    <w:t>בי</w:t>
                  </w:r>
                  <w:r w:rsidR="00B37150">
                    <w:rPr>
                      <w:rFonts w:cs="Miriam" w:hint="cs"/>
                      <w:sz w:val="18"/>
                      <w:szCs w:val="18"/>
                      <w:rtl/>
                    </w:rPr>
                    <w:t>ת-</w:t>
                  </w:r>
                  <w:r>
                    <w:rPr>
                      <w:rFonts w:cs="Miriam" w:hint="cs"/>
                      <w:sz w:val="18"/>
                      <w:szCs w:val="18"/>
                      <w:rtl/>
                    </w:rPr>
                    <w:t>הדין</w:t>
                  </w:r>
                </w:p>
              </w:txbxContent>
            </v:textbox>
            <w10:anchorlock/>
          </v:rect>
        </w:pict>
      </w:r>
      <w:r>
        <w:rPr>
          <w:rStyle w:val="big-number"/>
          <w:rFonts w:cs="Miriam"/>
          <w:rtl/>
        </w:rPr>
        <w:t>13.</w:t>
      </w:r>
      <w:r>
        <w:rPr>
          <w:rStyle w:val="big-number"/>
          <w:rFonts w:cs="Miriam"/>
          <w:rtl/>
        </w:rPr>
        <w:tab/>
      </w:r>
      <w:r>
        <w:rPr>
          <w:rStyle w:val="default"/>
          <w:rFonts w:cs="FrankRuehl"/>
          <w:rtl/>
        </w:rPr>
        <w:t>בי</w:t>
      </w:r>
      <w:r>
        <w:rPr>
          <w:rStyle w:val="default"/>
          <w:rFonts w:cs="FrankRuehl" w:hint="cs"/>
          <w:rtl/>
        </w:rPr>
        <w:t>ת הדין למשמעת של עובדי המדינה ישמש בית דין למשמעת לעובדי הרשות.</w:t>
      </w:r>
    </w:p>
    <w:p w14:paraId="27713532" w14:textId="77777777" w:rsidR="003353D6" w:rsidRDefault="003353D6">
      <w:pPr>
        <w:pStyle w:val="P00"/>
        <w:spacing w:before="72"/>
        <w:ind w:left="0" w:right="1134"/>
        <w:rPr>
          <w:rStyle w:val="default"/>
          <w:rFonts w:cs="FrankRuehl"/>
          <w:rtl/>
        </w:rPr>
      </w:pPr>
      <w:bookmarkStart w:id="18" w:name="Seif14"/>
      <w:bookmarkEnd w:id="18"/>
      <w:r>
        <w:rPr>
          <w:lang w:val="he-IL"/>
        </w:rPr>
        <w:pict w14:anchorId="6AE1509A">
          <v:rect id="_x0000_s1039" style="position:absolute;left:0;text-align:left;margin-left:464.5pt;margin-top:8.05pt;width:75.05pt;height:10pt;z-index:251663360" o:allowincell="f" filled="f" stroked="f" strokecolor="lime" strokeweight=".25pt">
            <v:textbox inset="0,0,0,0">
              <w:txbxContent>
                <w:p w14:paraId="105AC6CB" w14:textId="77777777" w:rsidR="003353D6" w:rsidRDefault="003353D6">
                  <w:pPr>
                    <w:spacing w:line="160" w:lineRule="exact"/>
                    <w:jc w:val="left"/>
                    <w:rPr>
                      <w:rFonts w:cs="Miriam"/>
                      <w:noProof/>
                      <w:sz w:val="18"/>
                      <w:szCs w:val="18"/>
                      <w:rtl/>
                    </w:rPr>
                  </w:pPr>
                  <w:r>
                    <w:rPr>
                      <w:rFonts w:cs="Miriam"/>
                      <w:sz w:val="18"/>
                      <w:szCs w:val="18"/>
                      <w:rtl/>
                    </w:rPr>
                    <w:t>אי</w:t>
                  </w:r>
                  <w:r w:rsidR="00B37150">
                    <w:rPr>
                      <w:rFonts w:cs="Miriam" w:hint="cs"/>
                      <w:sz w:val="18"/>
                      <w:szCs w:val="18"/>
                      <w:rtl/>
                    </w:rPr>
                    <w:t>-</w:t>
                  </w:r>
                  <w:r>
                    <w:rPr>
                      <w:rFonts w:cs="Miriam" w:hint="cs"/>
                      <w:sz w:val="18"/>
                      <w:szCs w:val="18"/>
                      <w:rtl/>
                    </w:rPr>
                    <w:t>תחולה</w:t>
                  </w:r>
                </w:p>
              </w:txbxContent>
            </v:textbox>
            <w10:anchorlock/>
          </v:rect>
        </w:pict>
      </w:r>
      <w:r>
        <w:rPr>
          <w:rStyle w:val="big-number"/>
          <w:rFonts w:cs="Miriam"/>
          <w:rtl/>
        </w:rPr>
        <w:t>14.</w:t>
      </w:r>
      <w:r>
        <w:rPr>
          <w:rStyle w:val="big-number"/>
          <w:rFonts w:cs="Miriam"/>
          <w:rtl/>
        </w:rPr>
        <w:tab/>
      </w:r>
      <w:r>
        <w:rPr>
          <w:rStyle w:val="default"/>
          <w:rFonts w:cs="FrankRuehl"/>
          <w:rtl/>
        </w:rPr>
        <w:t>שר</w:t>
      </w:r>
      <w:r>
        <w:rPr>
          <w:rStyle w:val="default"/>
          <w:rFonts w:cs="FrankRuehl" w:hint="cs"/>
          <w:rtl/>
        </w:rPr>
        <w:t xml:space="preserve"> הש</w:t>
      </w:r>
      <w:r>
        <w:rPr>
          <w:rStyle w:val="default"/>
          <w:rFonts w:cs="FrankRuehl"/>
          <w:rtl/>
        </w:rPr>
        <w:t>יכ</w:t>
      </w:r>
      <w:r>
        <w:rPr>
          <w:rStyle w:val="default"/>
          <w:rFonts w:cs="FrankRuehl" w:hint="cs"/>
          <w:rtl/>
        </w:rPr>
        <w:t xml:space="preserve">ון רשאי, לאחר התייעצות בנציב </w:t>
      </w:r>
      <w:r>
        <w:rPr>
          <w:rStyle w:val="default"/>
          <w:rFonts w:cs="FrankRuehl"/>
          <w:rtl/>
        </w:rPr>
        <w:t>ה</w:t>
      </w:r>
      <w:r>
        <w:rPr>
          <w:rStyle w:val="default"/>
          <w:rFonts w:cs="FrankRuehl" w:hint="cs"/>
          <w:rtl/>
        </w:rPr>
        <w:t xml:space="preserve">שירות, להורות בהודעה ברשומות כי חוק המשמעת לא יחול על עובדי הרשות שחוק המינויים לא חל עליהם או על סוגי עובדים כאמור, אם הוא סבור כי קיימים אמצעי משמעת נאותים לגבי אותם עובדים; אולם כל עוד לא עשה כן, יהיה דינם של עובדים אלה </w:t>
      </w:r>
      <w:r>
        <w:rPr>
          <w:rStyle w:val="default"/>
          <w:rFonts w:cs="FrankRuehl"/>
          <w:rtl/>
        </w:rPr>
        <w:t>כ</w:t>
      </w:r>
      <w:r>
        <w:rPr>
          <w:rStyle w:val="default"/>
          <w:rFonts w:cs="FrankRuehl" w:hint="cs"/>
          <w:rtl/>
        </w:rPr>
        <w:t>ד</w:t>
      </w:r>
      <w:r>
        <w:rPr>
          <w:rStyle w:val="default"/>
          <w:rFonts w:cs="FrankRuehl"/>
          <w:rtl/>
        </w:rPr>
        <w:t>י</w:t>
      </w:r>
      <w:r>
        <w:rPr>
          <w:rStyle w:val="default"/>
          <w:rFonts w:cs="FrankRuehl" w:hint="cs"/>
          <w:rtl/>
        </w:rPr>
        <w:t>ן עובדי המדינה לענין חוק המשמ</w:t>
      </w:r>
      <w:r>
        <w:rPr>
          <w:rStyle w:val="default"/>
          <w:rFonts w:cs="FrankRuehl"/>
          <w:rtl/>
        </w:rPr>
        <w:t>ע</w:t>
      </w:r>
      <w:r>
        <w:rPr>
          <w:rStyle w:val="default"/>
          <w:rFonts w:cs="FrankRuehl" w:hint="cs"/>
          <w:rtl/>
        </w:rPr>
        <w:t>ת, לכל דבר או בשינויים שיקבע שר השיכון לאחר התייעצות עם נציב השירות.</w:t>
      </w:r>
    </w:p>
    <w:p w14:paraId="3D127B7B" w14:textId="77777777" w:rsidR="003353D6" w:rsidRDefault="003353D6">
      <w:pPr>
        <w:pStyle w:val="medium2-header"/>
        <w:keepLines w:val="0"/>
        <w:spacing w:before="72"/>
        <w:ind w:left="0" w:right="1134"/>
        <w:rPr>
          <w:rFonts w:cs="FrankRuehl"/>
          <w:noProof/>
          <w:rtl/>
        </w:rPr>
      </w:pPr>
      <w:bookmarkStart w:id="19" w:name="med3"/>
      <w:bookmarkEnd w:id="19"/>
      <w:r>
        <w:rPr>
          <w:rFonts w:cs="FrankRuehl"/>
          <w:noProof/>
          <w:rtl/>
        </w:rPr>
        <w:t>פר</w:t>
      </w:r>
      <w:r>
        <w:rPr>
          <w:rFonts w:cs="FrankRuehl" w:hint="cs"/>
          <w:noProof/>
          <w:rtl/>
        </w:rPr>
        <w:t>ק רביעי: שונות</w:t>
      </w:r>
    </w:p>
    <w:p w14:paraId="0917FFFE" w14:textId="77777777" w:rsidR="003353D6" w:rsidRDefault="003353D6">
      <w:pPr>
        <w:pStyle w:val="P00"/>
        <w:spacing w:before="72"/>
        <w:ind w:left="0" w:right="1134"/>
        <w:rPr>
          <w:rStyle w:val="default"/>
          <w:rFonts w:cs="FrankRuehl" w:hint="cs"/>
          <w:rtl/>
        </w:rPr>
      </w:pPr>
      <w:bookmarkStart w:id="20" w:name="Seif15"/>
      <w:bookmarkEnd w:id="20"/>
      <w:r>
        <w:rPr>
          <w:lang w:val="he-IL"/>
        </w:rPr>
        <w:pict w14:anchorId="60DE1190">
          <v:rect id="_x0000_s1040" style="position:absolute;left:0;text-align:left;margin-left:464.5pt;margin-top:8.05pt;width:75.05pt;height:10pt;z-index:251664384" o:allowincell="f" filled="f" stroked="f" strokecolor="lime" strokeweight=".25pt">
            <v:textbox inset="0,0,0,0">
              <w:txbxContent>
                <w:p w14:paraId="77D27E19" w14:textId="77777777" w:rsidR="003353D6" w:rsidRDefault="003353D6">
                  <w:pPr>
                    <w:spacing w:line="160" w:lineRule="exact"/>
                    <w:jc w:val="left"/>
                    <w:rPr>
                      <w:rFonts w:cs="Miriam"/>
                      <w:noProof/>
                      <w:sz w:val="18"/>
                      <w:szCs w:val="18"/>
                      <w:rtl/>
                    </w:rPr>
                  </w:pPr>
                  <w:r>
                    <w:rPr>
                      <w:rFonts w:cs="Miriam"/>
                      <w:sz w:val="18"/>
                      <w:szCs w:val="18"/>
                      <w:rtl/>
                    </w:rPr>
                    <w:t>תי</w:t>
                  </w:r>
                  <w:r>
                    <w:rPr>
                      <w:rFonts w:cs="Miriam" w:hint="cs"/>
                      <w:sz w:val="18"/>
                      <w:szCs w:val="18"/>
                      <w:rtl/>
                    </w:rPr>
                    <w:t>אום</w:t>
                  </w:r>
                </w:p>
              </w:txbxContent>
            </v:textbox>
            <w10:anchorlock/>
          </v:rect>
        </w:pict>
      </w:r>
      <w:r>
        <w:rPr>
          <w:rStyle w:val="big-number"/>
          <w:rFonts w:cs="Miriam"/>
          <w:rtl/>
        </w:rPr>
        <w:t>15.</w:t>
      </w:r>
      <w:r>
        <w:rPr>
          <w:rStyle w:val="big-number"/>
          <w:rFonts w:cs="Miriam"/>
          <w:rtl/>
        </w:rPr>
        <w:tab/>
      </w:r>
      <w:r>
        <w:rPr>
          <w:rStyle w:val="default"/>
          <w:rFonts w:cs="FrankRuehl"/>
          <w:rtl/>
        </w:rPr>
        <w:t>לג</w:t>
      </w:r>
      <w:r>
        <w:rPr>
          <w:rStyle w:val="default"/>
          <w:rFonts w:cs="FrankRuehl" w:hint="cs"/>
          <w:rtl/>
        </w:rPr>
        <w:t>בי עובדי הרשות יראו כל מקום בחוק המינויים, בחוק הגימלא</w:t>
      </w:r>
      <w:r w:rsidR="002557E4">
        <w:rPr>
          <w:rStyle w:val="default"/>
          <w:rFonts w:cs="FrankRuehl" w:hint="cs"/>
          <w:rtl/>
        </w:rPr>
        <w:t xml:space="preserve">ות, ובחוק המשמעת שמדובר בו על </w:t>
      </w:r>
      <w:r w:rsidR="002557E4">
        <w:rPr>
          <w:rStyle w:val="default"/>
          <w:rFonts w:cs="FrankRuehl"/>
          <w:rtl/>
        </w:rPr>
        <w:t>–</w:t>
      </w:r>
    </w:p>
    <w:p w14:paraId="78C472BC" w14:textId="77777777" w:rsidR="003353D6" w:rsidRDefault="003353D6" w:rsidP="002557E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 xml:space="preserve">ירות המדינה </w:t>
      </w:r>
      <w:r w:rsidR="002557E4">
        <w:rPr>
          <w:rStyle w:val="default"/>
          <w:rFonts w:cs="FrankRuehl"/>
          <w:rtl/>
        </w:rPr>
        <w:t>–</w:t>
      </w:r>
      <w:r>
        <w:rPr>
          <w:rStyle w:val="default"/>
          <w:rFonts w:cs="FrankRuehl" w:hint="cs"/>
          <w:rtl/>
        </w:rPr>
        <w:t xml:space="preserve"> כמכוון לשירות ברשות;</w:t>
      </w:r>
    </w:p>
    <w:p w14:paraId="237290BB" w14:textId="77777777" w:rsidR="003353D6" w:rsidRDefault="003353D6" w:rsidP="002557E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w:t>
      </w:r>
      <w:r>
        <w:rPr>
          <w:rStyle w:val="default"/>
          <w:rFonts w:cs="FrankRuehl"/>
          <w:rtl/>
        </w:rPr>
        <w:t>ו</w:t>
      </w:r>
      <w:r>
        <w:rPr>
          <w:rStyle w:val="default"/>
          <w:rFonts w:cs="FrankRuehl" w:hint="cs"/>
          <w:rtl/>
        </w:rPr>
        <w:t xml:space="preserve">בד המדינה </w:t>
      </w:r>
      <w:r w:rsidR="002557E4">
        <w:rPr>
          <w:rStyle w:val="default"/>
          <w:rFonts w:cs="FrankRuehl"/>
          <w:rtl/>
        </w:rPr>
        <w:t>–</w:t>
      </w:r>
      <w:r>
        <w:rPr>
          <w:rStyle w:val="default"/>
          <w:rFonts w:cs="FrankRuehl" w:hint="cs"/>
          <w:rtl/>
        </w:rPr>
        <w:t xml:space="preserve"> כמכוון לעובד הרשות;</w:t>
      </w:r>
    </w:p>
    <w:p w14:paraId="7D272847" w14:textId="77777777" w:rsidR="003353D6" w:rsidRDefault="003353D6" w:rsidP="002557E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שרד של הממשלה </w:t>
      </w:r>
      <w:r w:rsidR="002557E4">
        <w:rPr>
          <w:rStyle w:val="default"/>
          <w:rFonts w:cs="FrankRuehl"/>
          <w:rtl/>
        </w:rPr>
        <w:t>–</w:t>
      </w:r>
      <w:r>
        <w:rPr>
          <w:rStyle w:val="default"/>
          <w:rFonts w:cs="FrankRuehl" w:hint="cs"/>
          <w:rtl/>
        </w:rPr>
        <w:t xml:space="preserve"> כמכוון לרשות.</w:t>
      </w:r>
    </w:p>
    <w:p w14:paraId="62411D88" w14:textId="77777777" w:rsidR="003353D6" w:rsidRDefault="003353D6" w:rsidP="00B37150">
      <w:pPr>
        <w:pStyle w:val="P00"/>
        <w:spacing w:before="72"/>
        <w:ind w:left="0" w:right="1134"/>
        <w:rPr>
          <w:rStyle w:val="default"/>
          <w:rFonts w:cs="FrankRuehl"/>
          <w:rtl/>
        </w:rPr>
      </w:pPr>
      <w:bookmarkStart w:id="21" w:name="Seif16"/>
      <w:bookmarkEnd w:id="21"/>
      <w:r>
        <w:rPr>
          <w:lang w:val="he-IL"/>
        </w:rPr>
        <w:pict w14:anchorId="4254B7A0">
          <v:rect id="_x0000_s1041" style="position:absolute;left:0;text-align:left;margin-left:464.5pt;margin-top:8.05pt;width:75.05pt;height:10pt;z-index:251665408" o:allowincell="f" filled="f" stroked="f" strokecolor="lime" strokeweight=".25pt">
            <v:textbox inset="0,0,0,0">
              <w:txbxContent>
                <w:p w14:paraId="67D26A49" w14:textId="77777777" w:rsidR="003353D6" w:rsidRDefault="003353D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16.</w:t>
      </w:r>
      <w:r>
        <w:rPr>
          <w:rStyle w:val="big-number"/>
          <w:rFonts w:cs="Miriam"/>
          <w:rtl/>
        </w:rPr>
        <w:tab/>
      </w:r>
      <w:r>
        <w:rPr>
          <w:rStyle w:val="default"/>
          <w:rFonts w:cs="FrankRuehl"/>
          <w:rtl/>
        </w:rPr>
        <w:t>לת</w:t>
      </w:r>
      <w:r>
        <w:rPr>
          <w:rStyle w:val="default"/>
          <w:rFonts w:cs="FrankRuehl" w:hint="cs"/>
          <w:rtl/>
        </w:rPr>
        <w:t>קנות אלה ייקרא "תקנות הבינוי והפינוי של אזורי שיקום (תנאי עבודתם של עובדים), תשכ"ז-1967".</w:t>
      </w:r>
    </w:p>
    <w:p w14:paraId="7716E06A" w14:textId="77777777" w:rsidR="003353D6" w:rsidRDefault="003353D6">
      <w:pPr>
        <w:pStyle w:val="P00"/>
        <w:spacing w:before="72"/>
        <w:ind w:left="0" w:right="1134"/>
        <w:rPr>
          <w:rStyle w:val="default"/>
          <w:rFonts w:cs="FrankRuehl" w:hint="cs"/>
          <w:rtl/>
        </w:rPr>
      </w:pPr>
    </w:p>
    <w:p w14:paraId="43AC45EF" w14:textId="77777777" w:rsidR="00B37150" w:rsidRDefault="00B37150">
      <w:pPr>
        <w:pStyle w:val="P00"/>
        <w:spacing w:before="72"/>
        <w:ind w:left="0" w:right="1134"/>
        <w:rPr>
          <w:rStyle w:val="default"/>
          <w:rFonts w:cs="FrankRuehl" w:hint="cs"/>
          <w:rtl/>
        </w:rPr>
      </w:pPr>
    </w:p>
    <w:p w14:paraId="4303AC61" w14:textId="77777777" w:rsidR="003353D6" w:rsidRDefault="003353D6" w:rsidP="002557E4">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ב באייר תשכ"ז (22 במאי 1967)</w:t>
      </w:r>
      <w:r>
        <w:rPr>
          <w:rFonts w:cs="FrankRuehl"/>
          <w:sz w:val="26"/>
          <w:rtl/>
        </w:rPr>
        <w:tab/>
        <w:t>מ</w:t>
      </w:r>
      <w:r>
        <w:rPr>
          <w:rFonts w:cs="FrankRuehl" w:hint="cs"/>
          <w:sz w:val="26"/>
          <w:rtl/>
        </w:rPr>
        <w:t>רדכי בנטוב</w:t>
      </w:r>
    </w:p>
    <w:p w14:paraId="7EF8D4CF" w14:textId="77777777" w:rsidR="003353D6" w:rsidRDefault="003353D6" w:rsidP="002557E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השיכון</w:t>
      </w:r>
    </w:p>
    <w:p w14:paraId="2B0905A8" w14:textId="77777777" w:rsidR="00B37150" w:rsidRPr="00B37150" w:rsidRDefault="00B37150" w:rsidP="00B37150">
      <w:pPr>
        <w:pStyle w:val="P00"/>
        <w:spacing w:before="72"/>
        <w:ind w:left="0" w:right="1134"/>
        <w:rPr>
          <w:rStyle w:val="default"/>
          <w:rFonts w:cs="FrankRuehl" w:hint="cs"/>
          <w:rtl/>
        </w:rPr>
      </w:pPr>
    </w:p>
    <w:p w14:paraId="142ACCA2" w14:textId="77777777" w:rsidR="00B37150" w:rsidRPr="00B37150" w:rsidRDefault="00B37150" w:rsidP="00B37150">
      <w:pPr>
        <w:pStyle w:val="P00"/>
        <w:spacing w:before="72"/>
        <w:ind w:left="0" w:right="1134"/>
        <w:rPr>
          <w:rStyle w:val="default"/>
          <w:rFonts w:cs="FrankRuehl"/>
          <w:rtl/>
        </w:rPr>
      </w:pPr>
    </w:p>
    <w:p w14:paraId="48F92B15" w14:textId="77777777" w:rsidR="003353D6" w:rsidRPr="00B37150" w:rsidRDefault="003353D6" w:rsidP="00B37150">
      <w:pPr>
        <w:pStyle w:val="P00"/>
        <w:spacing w:before="72"/>
        <w:ind w:left="0" w:right="1134"/>
        <w:rPr>
          <w:rStyle w:val="default"/>
          <w:rFonts w:cs="FrankRuehl"/>
          <w:rtl/>
        </w:rPr>
      </w:pPr>
      <w:bookmarkStart w:id="22" w:name="LawPartEnd"/>
    </w:p>
    <w:bookmarkEnd w:id="22"/>
    <w:p w14:paraId="19F6A25E" w14:textId="77777777" w:rsidR="00C359BF" w:rsidRDefault="00C359BF" w:rsidP="00B37150">
      <w:pPr>
        <w:pStyle w:val="P00"/>
        <w:spacing w:before="72"/>
        <w:ind w:left="0" w:right="1134"/>
        <w:rPr>
          <w:rStyle w:val="default"/>
          <w:rFonts w:cs="FrankRuehl"/>
          <w:rtl/>
        </w:rPr>
      </w:pPr>
    </w:p>
    <w:p w14:paraId="25BFAC8B" w14:textId="77777777" w:rsidR="00AB5904" w:rsidRDefault="00AB5904" w:rsidP="00AB5904">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454B1368" w14:textId="77777777" w:rsidR="003353D6" w:rsidRPr="00AB5904" w:rsidRDefault="003353D6" w:rsidP="00AB5904">
      <w:pPr>
        <w:pStyle w:val="P00"/>
        <w:spacing w:before="72"/>
        <w:ind w:left="0" w:right="1134"/>
        <w:jc w:val="center"/>
        <w:rPr>
          <w:rStyle w:val="default"/>
          <w:rFonts w:cs="David"/>
          <w:color w:val="0000FF"/>
          <w:szCs w:val="24"/>
          <w:u w:val="single"/>
          <w:rtl/>
        </w:rPr>
      </w:pPr>
    </w:p>
    <w:sectPr w:rsidR="003353D6" w:rsidRPr="00AB590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D8C8F" w14:textId="77777777" w:rsidR="000C4451" w:rsidRDefault="000C4451">
      <w:r>
        <w:separator/>
      </w:r>
    </w:p>
  </w:endnote>
  <w:endnote w:type="continuationSeparator" w:id="0">
    <w:p w14:paraId="24869F63" w14:textId="77777777" w:rsidR="000C4451" w:rsidRDefault="000C4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34D09" w14:textId="77777777" w:rsidR="003353D6" w:rsidRDefault="003353D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1F0D63" w14:textId="77777777" w:rsidR="003353D6" w:rsidRDefault="003353D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B5174DE" w14:textId="77777777" w:rsidR="003353D6" w:rsidRDefault="003353D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5904">
      <w:rPr>
        <w:rFonts w:cs="TopType Jerushalmi"/>
        <w:noProof/>
        <w:color w:val="000000"/>
        <w:sz w:val="14"/>
        <w:szCs w:val="14"/>
      </w:rPr>
      <w:t>Z:\00000000000000000000000=2014------------------------\05-May\2014-05-28\LawsForHofit\01\040_006.doc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8504" w14:textId="77777777" w:rsidR="003353D6" w:rsidRDefault="003353D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557E4">
      <w:rPr>
        <w:rFonts w:hAnsi="FrankRuehl" w:cs="FrankRuehl"/>
        <w:noProof/>
        <w:sz w:val="24"/>
        <w:szCs w:val="24"/>
        <w:rtl/>
      </w:rPr>
      <w:t>2</w:t>
    </w:r>
    <w:r>
      <w:rPr>
        <w:rFonts w:hAnsi="FrankRuehl" w:cs="FrankRuehl"/>
        <w:sz w:val="24"/>
        <w:szCs w:val="24"/>
        <w:rtl/>
      </w:rPr>
      <w:fldChar w:fldCharType="end"/>
    </w:r>
  </w:p>
  <w:p w14:paraId="556DA845" w14:textId="77777777" w:rsidR="003353D6" w:rsidRDefault="003353D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ADD3349" w14:textId="77777777" w:rsidR="003353D6" w:rsidRDefault="003353D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5904">
      <w:rPr>
        <w:rFonts w:cs="TopType Jerushalmi"/>
        <w:noProof/>
        <w:color w:val="000000"/>
        <w:sz w:val="14"/>
        <w:szCs w:val="14"/>
      </w:rPr>
      <w:t>Z:\00000000000000000000000=2014------------------------\05-May\2014-05-28\LawsForHofit\01\040_006.doc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547B2" w14:textId="77777777" w:rsidR="000C4451" w:rsidRDefault="000C4451" w:rsidP="00B37150">
      <w:pPr>
        <w:spacing w:before="60" w:line="240" w:lineRule="auto"/>
        <w:ind w:right="1134"/>
      </w:pPr>
      <w:r>
        <w:separator/>
      </w:r>
    </w:p>
  </w:footnote>
  <w:footnote w:type="continuationSeparator" w:id="0">
    <w:p w14:paraId="5576C86A" w14:textId="77777777" w:rsidR="000C4451" w:rsidRDefault="000C4451">
      <w:r>
        <w:continuationSeparator/>
      </w:r>
    </w:p>
  </w:footnote>
  <w:footnote w:id="1">
    <w:p w14:paraId="10D3F8CC" w14:textId="77777777" w:rsidR="00B37150" w:rsidRDefault="00B37150" w:rsidP="00B371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37150">
        <w:rPr>
          <w:rFonts w:cs="FrankRuehl"/>
          <w:rtl/>
        </w:rPr>
        <w:t xml:space="preserve">* </w:t>
      </w:r>
      <w:r>
        <w:rPr>
          <w:rFonts w:cs="FrankRuehl"/>
          <w:rtl/>
        </w:rPr>
        <w:t>פו</w:t>
      </w:r>
      <w:r>
        <w:rPr>
          <w:rFonts w:cs="FrankRuehl" w:hint="cs"/>
          <w:rtl/>
        </w:rPr>
        <w:t xml:space="preserve">רסמו </w:t>
      </w:r>
      <w:hyperlink r:id="rId1" w:history="1">
        <w:r w:rsidRPr="00BF4627">
          <w:rPr>
            <w:rStyle w:val="Hyperlink"/>
            <w:rFonts w:cs="FrankRuehl" w:hint="cs"/>
            <w:rtl/>
          </w:rPr>
          <w:t>ק"ת תשכ</w:t>
        </w:r>
        <w:r w:rsidRPr="00BF4627">
          <w:rPr>
            <w:rStyle w:val="Hyperlink"/>
            <w:rFonts w:cs="FrankRuehl" w:hint="cs"/>
            <w:rtl/>
          </w:rPr>
          <w:t>"ז מס' 2054</w:t>
        </w:r>
      </w:hyperlink>
      <w:r>
        <w:rPr>
          <w:rFonts w:cs="FrankRuehl" w:hint="cs"/>
          <w:rtl/>
        </w:rPr>
        <w:t xml:space="preserve"> מיום 9.6.1967 עמ' 2586.</w:t>
      </w:r>
    </w:p>
    <w:p w14:paraId="2EFC6D52" w14:textId="77777777" w:rsidR="00B37150" w:rsidRPr="00B37150" w:rsidRDefault="00B37150" w:rsidP="00B371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BF4627">
          <w:rPr>
            <w:rStyle w:val="Hyperlink"/>
            <w:rFonts w:cs="FrankRuehl" w:hint="cs"/>
            <w:rtl/>
          </w:rPr>
          <w:t>ק"ת ת</w:t>
        </w:r>
        <w:r w:rsidRPr="00BF4627">
          <w:rPr>
            <w:rStyle w:val="Hyperlink"/>
            <w:rFonts w:cs="FrankRuehl" w:hint="cs"/>
            <w:rtl/>
          </w:rPr>
          <w:t>של"ג מס' 2993</w:t>
        </w:r>
      </w:hyperlink>
      <w:r>
        <w:rPr>
          <w:rFonts w:cs="FrankRuehl" w:hint="cs"/>
          <w:rtl/>
        </w:rPr>
        <w:t xml:space="preserve"> מיום 5.4.1973 עמ' 1121 </w:t>
      </w:r>
      <w:r>
        <w:rPr>
          <w:rFonts w:cs="FrankRuehl"/>
          <w:rtl/>
        </w:rPr>
        <w:t>–</w:t>
      </w:r>
      <w:r>
        <w:rPr>
          <w:rFonts w:cs="FrankRuehl" w:hint="cs"/>
          <w:rtl/>
        </w:rPr>
        <w:t xml:space="preserve"> תק' תשל"ג-1973.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C360" w14:textId="77777777" w:rsidR="003353D6" w:rsidRDefault="003353D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הבינוי והפינוי של אזורי שיקום (תנאי עבודתם של עובדים), תשכ"ז- 1967</w:t>
    </w:r>
  </w:p>
  <w:p w14:paraId="10FD112B" w14:textId="77777777" w:rsidR="003353D6" w:rsidRDefault="003353D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88698C" w14:textId="77777777" w:rsidR="003353D6" w:rsidRDefault="003353D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7EF48" w14:textId="77777777" w:rsidR="003353D6" w:rsidRDefault="003353D6" w:rsidP="00B3715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הבינוי והפינוי של אזורי שיקום (תנאי עבודתם של עובדים), תשכ"ז-1967</w:t>
    </w:r>
  </w:p>
  <w:p w14:paraId="6AE36D8D" w14:textId="77777777" w:rsidR="003353D6" w:rsidRDefault="003353D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EEB69B" w14:textId="77777777" w:rsidR="003353D6" w:rsidRDefault="003353D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4627"/>
    <w:rsid w:val="000C4451"/>
    <w:rsid w:val="0017457C"/>
    <w:rsid w:val="002557E4"/>
    <w:rsid w:val="003353D6"/>
    <w:rsid w:val="00597D34"/>
    <w:rsid w:val="0073498D"/>
    <w:rsid w:val="00921983"/>
    <w:rsid w:val="00AB5904"/>
    <w:rsid w:val="00B37150"/>
    <w:rsid w:val="00BC5971"/>
    <w:rsid w:val="00BF4627"/>
    <w:rsid w:val="00C359BF"/>
    <w:rsid w:val="00C44EC5"/>
    <w:rsid w:val="00E7323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46947C3"/>
  <w15:chartTrackingRefBased/>
  <w15:docId w15:val="{5F6C8D40-0E3E-4B47-871F-F0C2CFF6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BF4627"/>
    <w:rPr>
      <w:color w:val="800080"/>
      <w:u w:val="single"/>
    </w:rPr>
  </w:style>
  <w:style w:type="paragraph" w:styleId="a5">
    <w:name w:val="footnote text"/>
    <w:basedOn w:val="a"/>
    <w:semiHidden/>
    <w:rsid w:val="00B37150"/>
    <w:rPr>
      <w:sz w:val="20"/>
      <w:szCs w:val="20"/>
    </w:rPr>
  </w:style>
  <w:style w:type="character" w:styleId="a6">
    <w:name w:val="footnote reference"/>
    <w:basedOn w:val="a0"/>
    <w:semiHidden/>
    <w:rsid w:val="00B371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2993.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993.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2993.pdf" TargetMode="External"/><Relationship Id="rId1" Type="http://schemas.openxmlformats.org/officeDocument/2006/relationships/hyperlink" Target="http://www.nevo.co.il/Law_word/law06/TAK-20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8130</CharactersWithSpaces>
  <SharedDoc>false</SharedDoc>
  <HLinks>
    <vt:vector size="150" baseType="variant">
      <vt:variant>
        <vt:i4>393283</vt:i4>
      </vt:variant>
      <vt:variant>
        <vt:i4>126</vt:i4>
      </vt:variant>
      <vt:variant>
        <vt:i4>0</vt:i4>
      </vt:variant>
      <vt:variant>
        <vt:i4>5</vt:i4>
      </vt:variant>
      <vt:variant>
        <vt:lpwstr>http://www.nevo.co.il/advertisements/nevo-100.doc</vt:lpwstr>
      </vt:variant>
      <vt:variant>
        <vt:lpwstr/>
      </vt:variant>
      <vt:variant>
        <vt:i4>7471106</vt:i4>
      </vt:variant>
      <vt:variant>
        <vt:i4>123</vt:i4>
      </vt:variant>
      <vt:variant>
        <vt:i4>0</vt:i4>
      </vt:variant>
      <vt:variant>
        <vt:i4>5</vt:i4>
      </vt:variant>
      <vt:variant>
        <vt:lpwstr>http://www.nevo.co.il/Law_word/law06/TAK-2993.pdf</vt:lpwstr>
      </vt:variant>
      <vt:variant>
        <vt:lpwstr/>
      </vt:variant>
      <vt:variant>
        <vt:i4>7471106</vt:i4>
      </vt:variant>
      <vt:variant>
        <vt:i4>120</vt:i4>
      </vt:variant>
      <vt:variant>
        <vt:i4>0</vt:i4>
      </vt:variant>
      <vt:variant>
        <vt:i4>5</vt:i4>
      </vt:variant>
      <vt:variant>
        <vt:lpwstr>http://www.nevo.co.il/Law_word/law06/TAK-2993.pdf</vt:lpwstr>
      </vt:variant>
      <vt:variant>
        <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7471106</vt:i4>
      </vt:variant>
      <vt:variant>
        <vt:i4>3</vt:i4>
      </vt:variant>
      <vt:variant>
        <vt:i4>0</vt:i4>
      </vt:variant>
      <vt:variant>
        <vt:i4>5</vt:i4>
      </vt:variant>
      <vt:variant>
        <vt:lpwstr>http://www.nevo.co.il/Law_word/law06/TAK-2993.pdf</vt:lpwstr>
      </vt:variant>
      <vt:variant>
        <vt:lpwstr/>
      </vt:variant>
      <vt:variant>
        <vt:i4>8257548</vt:i4>
      </vt:variant>
      <vt:variant>
        <vt:i4>0</vt:i4>
      </vt:variant>
      <vt:variant>
        <vt:i4>0</vt:i4>
      </vt:variant>
      <vt:variant>
        <vt:i4>5</vt:i4>
      </vt:variant>
      <vt:variant>
        <vt:lpwstr>http://www.nevo.co.il/Law_word/law06/TAK-2054.pdf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0040</vt:lpwstr>
  </property>
  <property fmtid="{D5CDD505-2E9C-101B-9397-08002B2CF9AE}" pid="3" name="CHNAME">
    <vt:lpwstr>בינוי ופינוי של אזורי שיקום</vt:lpwstr>
  </property>
  <property fmtid="{D5CDD505-2E9C-101B-9397-08002B2CF9AE}" pid="4" name="LAWNAME">
    <vt:lpwstr>תקנות הבינוי והפינוי של אזורי שיקום (תנאי עבודתם של עובדים), תשכ"ז-1967</vt:lpwstr>
  </property>
  <property fmtid="{D5CDD505-2E9C-101B-9397-08002B2CF9AE}" pid="5" name="LAWNUMBER">
    <vt:lpwstr>0006</vt:lpwstr>
  </property>
  <property fmtid="{D5CDD505-2E9C-101B-9397-08002B2CF9AE}" pid="6" name="TYPE">
    <vt:lpwstr>01</vt:lpwstr>
  </property>
  <property fmtid="{D5CDD505-2E9C-101B-9397-08002B2CF9AE}" pid="7" name="NOSE11">
    <vt:lpwstr>עבודה</vt:lpwstr>
  </property>
  <property fmtid="{D5CDD505-2E9C-101B-9397-08002B2CF9AE}" pid="8" name="NOSE21">
    <vt:lpwstr>עובדים</vt:lpwstr>
  </property>
  <property fmtid="{D5CDD505-2E9C-101B-9397-08002B2CF9AE}" pid="9" name="NOSE31">
    <vt:lpwstr>תנאי עבודה</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