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9470" w14:textId="77777777" w:rsidR="0052314B" w:rsidRDefault="001024E4">
      <w:pPr>
        <w:pStyle w:val="big-header"/>
        <w:ind w:left="0" w:right="1134"/>
        <w:rPr>
          <w:rFonts w:cs="FrankRuehl" w:hint="cs"/>
          <w:sz w:val="32"/>
          <w:rtl/>
        </w:rPr>
      </w:pPr>
      <w:r>
        <w:rPr>
          <w:rFonts w:cs="FrankRuehl" w:hint="cs"/>
          <w:sz w:val="32"/>
          <w:rtl/>
        </w:rPr>
        <w:t>תקנות</w:t>
      </w:r>
      <w:r w:rsidR="0052314B">
        <w:rPr>
          <w:rFonts w:cs="FrankRuehl" w:hint="cs"/>
          <w:sz w:val="32"/>
          <w:rtl/>
        </w:rPr>
        <w:t xml:space="preserve"> הבנקאות (שירות ללקוח) (</w:t>
      </w:r>
      <w:r w:rsidR="00330BD1">
        <w:rPr>
          <w:rFonts w:cs="FrankRuehl" w:hint="cs"/>
          <w:sz w:val="32"/>
          <w:rtl/>
        </w:rPr>
        <w:t xml:space="preserve">העברת </w:t>
      </w:r>
      <w:r>
        <w:rPr>
          <w:rFonts w:cs="FrankRuehl" w:hint="cs"/>
          <w:sz w:val="32"/>
          <w:rtl/>
        </w:rPr>
        <w:t>מידע ממנפיק לתאגיד בנקאי</w:t>
      </w:r>
      <w:r w:rsidR="0052314B">
        <w:rPr>
          <w:rFonts w:cs="FrankRuehl" w:hint="cs"/>
          <w:sz w:val="32"/>
          <w:rtl/>
        </w:rPr>
        <w:t>), תש</w:t>
      </w:r>
      <w:r w:rsidR="00330BD1">
        <w:rPr>
          <w:rFonts w:cs="FrankRuehl" w:hint="cs"/>
          <w:sz w:val="32"/>
          <w:rtl/>
        </w:rPr>
        <w:t>ע"ט</w:t>
      </w:r>
      <w:r w:rsidR="0052314B">
        <w:rPr>
          <w:rFonts w:cs="FrankRuehl" w:hint="cs"/>
          <w:sz w:val="32"/>
          <w:rtl/>
        </w:rPr>
        <w:t>-20</w:t>
      </w:r>
      <w:r w:rsidR="00330BD1">
        <w:rPr>
          <w:rFonts w:cs="FrankRuehl" w:hint="cs"/>
          <w:sz w:val="32"/>
          <w:rtl/>
        </w:rPr>
        <w:t>1</w:t>
      </w:r>
      <w:r>
        <w:rPr>
          <w:rFonts w:cs="FrankRuehl" w:hint="cs"/>
          <w:sz w:val="32"/>
          <w:rtl/>
        </w:rPr>
        <w:t>9</w:t>
      </w:r>
    </w:p>
    <w:p w14:paraId="307A7BF5" w14:textId="77777777" w:rsidR="00590A85" w:rsidRDefault="00590A85" w:rsidP="00590A85">
      <w:pPr>
        <w:spacing w:line="320" w:lineRule="auto"/>
        <w:rPr>
          <w:rFonts w:cs="FrankRuehl" w:hint="cs"/>
          <w:szCs w:val="26"/>
          <w:rtl/>
        </w:rPr>
      </w:pPr>
    </w:p>
    <w:p w14:paraId="65F235BA" w14:textId="77777777" w:rsidR="00F74D9F" w:rsidRPr="00590A85" w:rsidRDefault="00F74D9F" w:rsidP="00590A85">
      <w:pPr>
        <w:spacing w:line="320" w:lineRule="auto"/>
        <w:rPr>
          <w:rFonts w:cs="FrankRuehl" w:hint="cs"/>
          <w:szCs w:val="26"/>
          <w:rtl/>
        </w:rPr>
      </w:pPr>
    </w:p>
    <w:p w14:paraId="1804049A" w14:textId="77777777" w:rsidR="00590A85" w:rsidRPr="00590A85" w:rsidRDefault="00590A85" w:rsidP="00590A85">
      <w:pPr>
        <w:spacing w:line="320" w:lineRule="auto"/>
        <w:rPr>
          <w:rFonts w:cs="Miriam" w:hint="cs"/>
          <w:szCs w:val="22"/>
          <w:rtl/>
        </w:rPr>
      </w:pPr>
      <w:r w:rsidRPr="00590A85">
        <w:rPr>
          <w:rFonts w:cs="Miriam"/>
          <w:szCs w:val="22"/>
          <w:rtl/>
        </w:rPr>
        <w:t>משפט פרטי וכלכלה</w:t>
      </w:r>
      <w:r w:rsidRPr="00590A85">
        <w:rPr>
          <w:rFonts w:cs="FrankRuehl"/>
          <w:szCs w:val="26"/>
          <w:rtl/>
        </w:rPr>
        <w:t xml:space="preserve"> – כספים – בנקאות – שירות ללקוח</w:t>
      </w:r>
    </w:p>
    <w:p w14:paraId="6D314E3A" w14:textId="77777777" w:rsidR="0052314B" w:rsidRDefault="0052314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5191" w:rsidRPr="00275191" w14:paraId="6A8B31B5" w14:textId="77777777" w:rsidTr="00275191">
        <w:tblPrEx>
          <w:tblCellMar>
            <w:top w:w="0" w:type="dxa"/>
            <w:bottom w:w="0" w:type="dxa"/>
          </w:tblCellMar>
        </w:tblPrEx>
        <w:tc>
          <w:tcPr>
            <w:tcW w:w="1247" w:type="dxa"/>
          </w:tcPr>
          <w:p w14:paraId="1792EF73" w14:textId="77777777" w:rsidR="00275191" w:rsidRPr="00275191" w:rsidRDefault="00275191" w:rsidP="00275191">
            <w:pPr>
              <w:rPr>
                <w:rFonts w:cs="Frankruhel" w:hint="cs"/>
                <w:rtl/>
              </w:rPr>
            </w:pPr>
            <w:r>
              <w:rPr>
                <w:rtl/>
              </w:rPr>
              <w:t xml:space="preserve">סעיף 1 </w:t>
            </w:r>
          </w:p>
        </w:tc>
        <w:tc>
          <w:tcPr>
            <w:tcW w:w="5669" w:type="dxa"/>
          </w:tcPr>
          <w:p w14:paraId="7AF8C34C" w14:textId="77777777" w:rsidR="00275191" w:rsidRPr="00275191" w:rsidRDefault="00275191" w:rsidP="00275191">
            <w:pPr>
              <w:rPr>
                <w:rFonts w:cs="Frankruhel" w:hint="cs"/>
                <w:rtl/>
              </w:rPr>
            </w:pPr>
            <w:r>
              <w:rPr>
                <w:rtl/>
              </w:rPr>
              <w:t>הגדרות</w:t>
            </w:r>
          </w:p>
        </w:tc>
        <w:tc>
          <w:tcPr>
            <w:tcW w:w="567" w:type="dxa"/>
          </w:tcPr>
          <w:p w14:paraId="3469477A" w14:textId="77777777" w:rsidR="00275191" w:rsidRPr="00275191" w:rsidRDefault="00275191" w:rsidP="00275191">
            <w:pPr>
              <w:rPr>
                <w:rStyle w:val="Hyperlink"/>
                <w:rFonts w:hint="cs"/>
                <w:rtl/>
              </w:rPr>
            </w:pPr>
            <w:hyperlink w:anchor="Seif1" w:tooltip="הגדרות" w:history="1">
              <w:r w:rsidRPr="00275191">
                <w:rPr>
                  <w:rStyle w:val="Hyperlink"/>
                </w:rPr>
                <w:t>Go</w:t>
              </w:r>
            </w:hyperlink>
          </w:p>
        </w:tc>
        <w:tc>
          <w:tcPr>
            <w:tcW w:w="850" w:type="dxa"/>
          </w:tcPr>
          <w:p w14:paraId="45E7D961"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75191" w:rsidRPr="00275191" w14:paraId="65115879" w14:textId="77777777" w:rsidTr="00275191">
        <w:tblPrEx>
          <w:tblCellMar>
            <w:top w:w="0" w:type="dxa"/>
            <w:bottom w:w="0" w:type="dxa"/>
          </w:tblCellMar>
        </w:tblPrEx>
        <w:tc>
          <w:tcPr>
            <w:tcW w:w="1247" w:type="dxa"/>
          </w:tcPr>
          <w:p w14:paraId="78FED3ED" w14:textId="77777777" w:rsidR="00275191" w:rsidRPr="00275191" w:rsidRDefault="00275191" w:rsidP="00275191">
            <w:pPr>
              <w:rPr>
                <w:rFonts w:cs="Frankruhel" w:hint="cs"/>
                <w:rtl/>
              </w:rPr>
            </w:pPr>
            <w:r>
              <w:rPr>
                <w:rtl/>
              </w:rPr>
              <w:t xml:space="preserve">סעיף 2 </w:t>
            </w:r>
          </w:p>
        </w:tc>
        <w:tc>
          <w:tcPr>
            <w:tcW w:w="5669" w:type="dxa"/>
          </w:tcPr>
          <w:p w14:paraId="63152FDE" w14:textId="77777777" w:rsidR="00275191" w:rsidRPr="00275191" w:rsidRDefault="00275191" w:rsidP="00275191">
            <w:pPr>
              <w:rPr>
                <w:rFonts w:cs="Frankruhel" w:hint="cs"/>
                <w:rtl/>
              </w:rPr>
            </w:pPr>
            <w:r>
              <w:rPr>
                <w:rtl/>
              </w:rPr>
              <w:t>פרטי המידע שמנפיק יעביר לתאגיד בנקאי</w:t>
            </w:r>
          </w:p>
        </w:tc>
        <w:tc>
          <w:tcPr>
            <w:tcW w:w="567" w:type="dxa"/>
          </w:tcPr>
          <w:p w14:paraId="3EDA52C2" w14:textId="77777777" w:rsidR="00275191" w:rsidRPr="00275191" w:rsidRDefault="00275191" w:rsidP="00275191">
            <w:pPr>
              <w:rPr>
                <w:rStyle w:val="Hyperlink"/>
                <w:rFonts w:hint="cs"/>
                <w:rtl/>
              </w:rPr>
            </w:pPr>
            <w:hyperlink w:anchor="Seif2" w:tooltip="פרטי המידע שמנפיק יעביר לתאגיד בנקאי" w:history="1">
              <w:r w:rsidRPr="00275191">
                <w:rPr>
                  <w:rStyle w:val="Hyperlink"/>
                </w:rPr>
                <w:t>Go</w:t>
              </w:r>
            </w:hyperlink>
          </w:p>
        </w:tc>
        <w:tc>
          <w:tcPr>
            <w:tcW w:w="850" w:type="dxa"/>
          </w:tcPr>
          <w:p w14:paraId="58A5A0A9"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75191" w:rsidRPr="00275191" w14:paraId="49CBB984" w14:textId="77777777" w:rsidTr="00275191">
        <w:tblPrEx>
          <w:tblCellMar>
            <w:top w:w="0" w:type="dxa"/>
            <w:bottom w:w="0" w:type="dxa"/>
          </w:tblCellMar>
        </w:tblPrEx>
        <w:tc>
          <w:tcPr>
            <w:tcW w:w="1247" w:type="dxa"/>
          </w:tcPr>
          <w:p w14:paraId="657BF511" w14:textId="77777777" w:rsidR="00275191" w:rsidRPr="00275191" w:rsidRDefault="00275191" w:rsidP="00275191">
            <w:pPr>
              <w:rPr>
                <w:rFonts w:cs="Frankruhel" w:hint="cs"/>
                <w:rtl/>
              </w:rPr>
            </w:pPr>
            <w:r>
              <w:rPr>
                <w:rtl/>
              </w:rPr>
              <w:t xml:space="preserve">סעיף 3 </w:t>
            </w:r>
          </w:p>
        </w:tc>
        <w:tc>
          <w:tcPr>
            <w:tcW w:w="5669" w:type="dxa"/>
          </w:tcPr>
          <w:p w14:paraId="5F758895" w14:textId="77777777" w:rsidR="00275191" w:rsidRPr="00275191" w:rsidRDefault="00275191" w:rsidP="00275191">
            <w:pPr>
              <w:rPr>
                <w:rFonts w:cs="Frankruhel" w:hint="cs"/>
                <w:rtl/>
              </w:rPr>
            </w:pPr>
            <w:r>
              <w:rPr>
                <w:rtl/>
              </w:rPr>
              <w:t>מועדי העברת המידע</w:t>
            </w:r>
          </w:p>
        </w:tc>
        <w:tc>
          <w:tcPr>
            <w:tcW w:w="567" w:type="dxa"/>
          </w:tcPr>
          <w:p w14:paraId="3B059C30" w14:textId="77777777" w:rsidR="00275191" w:rsidRPr="00275191" w:rsidRDefault="00275191" w:rsidP="00275191">
            <w:pPr>
              <w:rPr>
                <w:rStyle w:val="Hyperlink"/>
                <w:rFonts w:hint="cs"/>
                <w:rtl/>
              </w:rPr>
            </w:pPr>
            <w:hyperlink w:anchor="Seif3" w:tooltip="מועדי העברת המידע" w:history="1">
              <w:r w:rsidRPr="00275191">
                <w:rPr>
                  <w:rStyle w:val="Hyperlink"/>
                </w:rPr>
                <w:t>Go</w:t>
              </w:r>
            </w:hyperlink>
          </w:p>
        </w:tc>
        <w:tc>
          <w:tcPr>
            <w:tcW w:w="850" w:type="dxa"/>
          </w:tcPr>
          <w:p w14:paraId="6145B208"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75191" w:rsidRPr="00275191" w14:paraId="74C2135D" w14:textId="77777777" w:rsidTr="00275191">
        <w:tblPrEx>
          <w:tblCellMar>
            <w:top w:w="0" w:type="dxa"/>
            <w:bottom w:w="0" w:type="dxa"/>
          </w:tblCellMar>
        </w:tblPrEx>
        <w:tc>
          <w:tcPr>
            <w:tcW w:w="1247" w:type="dxa"/>
          </w:tcPr>
          <w:p w14:paraId="2798EA46" w14:textId="77777777" w:rsidR="00275191" w:rsidRPr="00275191" w:rsidRDefault="00275191" w:rsidP="00275191">
            <w:pPr>
              <w:rPr>
                <w:rFonts w:cs="Frankruhel" w:hint="cs"/>
                <w:rtl/>
              </w:rPr>
            </w:pPr>
            <w:r>
              <w:rPr>
                <w:rtl/>
              </w:rPr>
              <w:t xml:space="preserve">סעיף 4 </w:t>
            </w:r>
          </w:p>
        </w:tc>
        <w:tc>
          <w:tcPr>
            <w:tcW w:w="5669" w:type="dxa"/>
          </w:tcPr>
          <w:p w14:paraId="306059CB" w14:textId="77777777" w:rsidR="00275191" w:rsidRPr="00275191" w:rsidRDefault="00275191" w:rsidP="00275191">
            <w:pPr>
              <w:rPr>
                <w:rFonts w:cs="Frankruhel" w:hint="cs"/>
                <w:rtl/>
              </w:rPr>
            </w:pPr>
            <w:r>
              <w:rPr>
                <w:rtl/>
              </w:rPr>
              <w:t>אופן העברת המידע</w:t>
            </w:r>
          </w:p>
        </w:tc>
        <w:tc>
          <w:tcPr>
            <w:tcW w:w="567" w:type="dxa"/>
          </w:tcPr>
          <w:p w14:paraId="7B619CD4" w14:textId="77777777" w:rsidR="00275191" w:rsidRPr="00275191" w:rsidRDefault="00275191" w:rsidP="00275191">
            <w:pPr>
              <w:rPr>
                <w:rStyle w:val="Hyperlink"/>
                <w:rFonts w:hint="cs"/>
                <w:rtl/>
              </w:rPr>
            </w:pPr>
            <w:hyperlink w:anchor="Seif4" w:tooltip="אופן העברת המידע" w:history="1">
              <w:r w:rsidRPr="00275191">
                <w:rPr>
                  <w:rStyle w:val="Hyperlink"/>
                </w:rPr>
                <w:t>Go</w:t>
              </w:r>
            </w:hyperlink>
          </w:p>
        </w:tc>
        <w:tc>
          <w:tcPr>
            <w:tcW w:w="850" w:type="dxa"/>
          </w:tcPr>
          <w:p w14:paraId="6ACA7A48"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75191" w:rsidRPr="00275191" w14:paraId="3E6990FA" w14:textId="77777777" w:rsidTr="00275191">
        <w:tblPrEx>
          <w:tblCellMar>
            <w:top w:w="0" w:type="dxa"/>
            <w:bottom w:w="0" w:type="dxa"/>
          </w:tblCellMar>
        </w:tblPrEx>
        <w:tc>
          <w:tcPr>
            <w:tcW w:w="1247" w:type="dxa"/>
          </w:tcPr>
          <w:p w14:paraId="546DD6B0" w14:textId="77777777" w:rsidR="00275191" w:rsidRPr="00275191" w:rsidRDefault="00275191" w:rsidP="00275191">
            <w:pPr>
              <w:rPr>
                <w:rFonts w:cs="Frankruhel" w:hint="cs"/>
                <w:rtl/>
              </w:rPr>
            </w:pPr>
            <w:r>
              <w:rPr>
                <w:rtl/>
              </w:rPr>
              <w:t xml:space="preserve">סעיף 5 </w:t>
            </w:r>
          </w:p>
        </w:tc>
        <w:tc>
          <w:tcPr>
            <w:tcW w:w="5669" w:type="dxa"/>
          </w:tcPr>
          <w:p w14:paraId="14D1FA2D" w14:textId="77777777" w:rsidR="00275191" w:rsidRPr="00275191" w:rsidRDefault="00275191" w:rsidP="00275191">
            <w:pPr>
              <w:rPr>
                <w:rFonts w:cs="Frankruhel" w:hint="cs"/>
                <w:rtl/>
              </w:rPr>
            </w:pPr>
            <w:r>
              <w:rPr>
                <w:rtl/>
              </w:rPr>
              <w:t>חזרת מבקש מבקשתו להציג את המידע</w:t>
            </w:r>
          </w:p>
        </w:tc>
        <w:tc>
          <w:tcPr>
            <w:tcW w:w="567" w:type="dxa"/>
          </w:tcPr>
          <w:p w14:paraId="56775AD3" w14:textId="77777777" w:rsidR="00275191" w:rsidRPr="00275191" w:rsidRDefault="00275191" w:rsidP="00275191">
            <w:pPr>
              <w:rPr>
                <w:rStyle w:val="Hyperlink"/>
                <w:rFonts w:hint="cs"/>
                <w:rtl/>
              </w:rPr>
            </w:pPr>
            <w:hyperlink w:anchor="Seif5" w:tooltip="חזרת מבקש מבקשתו להציג את המידע" w:history="1">
              <w:r w:rsidRPr="00275191">
                <w:rPr>
                  <w:rStyle w:val="Hyperlink"/>
                </w:rPr>
                <w:t>Go</w:t>
              </w:r>
            </w:hyperlink>
          </w:p>
        </w:tc>
        <w:tc>
          <w:tcPr>
            <w:tcW w:w="850" w:type="dxa"/>
          </w:tcPr>
          <w:p w14:paraId="3BE43F9F"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75191" w:rsidRPr="00275191" w14:paraId="54800E0A" w14:textId="77777777" w:rsidTr="00275191">
        <w:tblPrEx>
          <w:tblCellMar>
            <w:top w:w="0" w:type="dxa"/>
            <w:bottom w:w="0" w:type="dxa"/>
          </w:tblCellMar>
        </w:tblPrEx>
        <w:tc>
          <w:tcPr>
            <w:tcW w:w="1247" w:type="dxa"/>
          </w:tcPr>
          <w:p w14:paraId="72EB94F8" w14:textId="77777777" w:rsidR="00275191" w:rsidRPr="00275191" w:rsidRDefault="00275191" w:rsidP="00275191">
            <w:pPr>
              <w:rPr>
                <w:rFonts w:cs="Frankruhel" w:hint="cs"/>
                <w:rtl/>
              </w:rPr>
            </w:pPr>
            <w:r>
              <w:rPr>
                <w:rtl/>
              </w:rPr>
              <w:t xml:space="preserve">סעיף 6 </w:t>
            </w:r>
          </w:p>
        </w:tc>
        <w:tc>
          <w:tcPr>
            <w:tcW w:w="5669" w:type="dxa"/>
          </w:tcPr>
          <w:p w14:paraId="52BED93E" w14:textId="77777777" w:rsidR="00275191" w:rsidRPr="00275191" w:rsidRDefault="00275191" w:rsidP="00275191">
            <w:pPr>
              <w:rPr>
                <w:rFonts w:cs="Frankruhel" w:hint="cs"/>
                <w:rtl/>
              </w:rPr>
            </w:pPr>
            <w:r>
              <w:rPr>
                <w:rtl/>
              </w:rPr>
              <w:t>תחילה</w:t>
            </w:r>
          </w:p>
        </w:tc>
        <w:tc>
          <w:tcPr>
            <w:tcW w:w="567" w:type="dxa"/>
          </w:tcPr>
          <w:p w14:paraId="7EA0EFC5" w14:textId="77777777" w:rsidR="00275191" w:rsidRPr="00275191" w:rsidRDefault="00275191" w:rsidP="00275191">
            <w:pPr>
              <w:rPr>
                <w:rStyle w:val="Hyperlink"/>
                <w:rFonts w:hint="cs"/>
                <w:rtl/>
              </w:rPr>
            </w:pPr>
            <w:hyperlink w:anchor="Seif6" w:tooltip="תחילה" w:history="1">
              <w:r w:rsidRPr="00275191">
                <w:rPr>
                  <w:rStyle w:val="Hyperlink"/>
                </w:rPr>
                <w:t>Go</w:t>
              </w:r>
            </w:hyperlink>
          </w:p>
        </w:tc>
        <w:tc>
          <w:tcPr>
            <w:tcW w:w="850" w:type="dxa"/>
          </w:tcPr>
          <w:p w14:paraId="7F1B4702" w14:textId="77777777" w:rsidR="00275191" w:rsidRPr="00275191" w:rsidRDefault="00275191" w:rsidP="0027519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FA76847" w14:textId="77777777" w:rsidR="0052314B" w:rsidRDefault="0052314B">
      <w:pPr>
        <w:pStyle w:val="big-header"/>
        <w:ind w:left="0" w:right="1134"/>
        <w:rPr>
          <w:rFonts w:cs="FrankRuehl" w:hint="cs"/>
          <w:sz w:val="32"/>
          <w:rtl/>
        </w:rPr>
      </w:pPr>
    </w:p>
    <w:p w14:paraId="6458530B" w14:textId="77777777" w:rsidR="0052314B" w:rsidRDefault="0052314B" w:rsidP="00330BD1">
      <w:pPr>
        <w:pStyle w:val="big-header"/>
        <w:ind w:left="0" w:right="1134"/>
        <w:rPr>
          <w:rStyle w:val="default"/>
          <w:rFonts w:hint="cs"/>
          <w:sz w:val="22"/>
          <w:szCs w:val="22"/>
          <w:rtl/>
        </w:rPr>
      </w:pPr>
      <w:r>
        <w:rPr>
          <w:rFonts w:cs="FrankRuehl"/>
          <w:sz w:val="32"/>
          <w:rtl/>
        </w:rPr>
        <w:br w:type="page"/>
      </w:r>
      <w:r w:rsidR="001024E4">
        <w:rPr>
          <w:rFonts w:cs="FrankRuehl" w:hint="cs"/>
          <w:sz w:val="32"/>
          <w:rtl/>
        </w:rPr>
        <w:lastRenderedPageBreak/>
        <w:t>תקנות הבנקאות (שירות ללקוח) (העברת מידע ממנפיק לתאגיד בנקאי), תשע"ט-2019</w:t>
      </w:r>
      <w:r>
        <w:rPr>
          <w:rStyle w:val="default"/>
          <w:sz w:val="22"/>
          <w:szCs w:val="22"/>
          <w:rtl/>
        </w:rPr>
        <w:footnoteReference w:customMarkFollows="1" w:id="1"/>
        <w:t>*</w:t>
      </w:r>
    </w:p>
    <w:p w14:paraId="2B76B260" w14:textId="77777777" w:rsidR="0052314B" w:rsidRDefault="0052314B">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w:t>
      </w:r>
      <w:r>
        <w:rPr>
          <w:rStyle w:val="default"/>
          <w:rFonts w:cs="FrankRuehl" w:hint="cs"/>
          <w:rtl/>
        </w:rPr>
        <w:t xml:space="preserve">סמכותי לפי סעיף </w:t>
      </w:r>
      <w:r w:rsidR="001024E4">
        <w:rPr>
          <w:rStyle w:val="default"/>
          <w:rFonts w:cs="FrankRuehl" w:hint="cs"/>
          <w:rtl/>
        </w:rPr>
        <w:t>7ז(ג)</w:t>
      </w:r>
      <w:r>
        <w:rPr>
          <w:rStyle w:val="default"/>
          <w:rFonts w:cs="FrankRuehl" w:hint="cs"/>
          <w:rtl/>
        </w:rPr>
        <w:t xml:space="preserve"> לחוק הבנקאות (שירות ללקוח), התשמ"א-1981</w:t>
      </w:r>
      <w:r w:rsidR="00330BD1">
        <w:rPr>
          <w:rStyle w:val="default"/>
          <w:rFonts w:cs="FrankRuehl" w:hint="cs"/>
          <w:rtl/>
        </w:rPr>
        <w:t xml:space="preserve"> (להלן </w:t>
      </w:r>
      <w:r w:rsidR="00330BD1">
        <w:rPr>
          <w:rStyle w:val="default"/>
          <w:rFonts w:cs="FrankRuehl"/>
          <w:rtl/>
        </w:rPr>
        <w:t>–</w:t>
      </w:r>
      <w:r w:rsidR="00330BD1">
        <w:rPr>
          <w:rStyle w:val="default"/>
          <w:rFonts w:cs="FrankRuehl" w:hint="cs"/>
          <w:rtl/>
        </w:rPr>
        <w:t xml:space="preserve"> החוק)</w:t>
      </w:r>
      <w:r>
        <w:rPr>
          <w:rStyle w:val="default"/>
          <w:rFonts w:cs="FrankRuehl" w:hint="cs"/>
          <w:rtl/>
        </w:rPr>
        <w:t xml:space="preserve">, </w:t>
      </w:r>
      <w:r w:rsidR="001024E4">
        <w:rPr>
          <w:rStyle w:val="default"/>
          <w:rFonts w:cs="FrankRuehl" w:hint="cs"/>
          <w:rtl/>
        </w:rPr>
        <w:t>בהסכמת שרת המשפטים ובהתייעצות עם נגיד בנק ישראל</w:t>
      </w:r>
      <w:r>
        <w:rPr>
          <w:rStyle w:val="default"/>
          <w:rFonts w:cs="FrankRuehl" w:hint="cs"/>
          <w:rtl/>
        </w:rPr>
        <w:t xml:space="preserve">, אני </w:t>
      </w:r>
      <w:r w:rsidR="001024E4">
        <w:rPr>
          <w:rStyle w:val="default"/>
          <w:rFonts w:cs="FrankRuehl" w:hint="cs"/>
          <w:rtl/>
        </w:rPr>
        <w:t xml:space="preserve">מתקין תקנות </w:t>
      </w:r>
      <w:r>
        <w:rPr>
          <w:rStyle w:val="default"/>
          <w:rFonts w:cs="FrankRuehl" w:hint="cs"/>
          <w:rtl/>
        </w:rPr>
        <w:t>אלה:</w:t>
      </w:r>
    </w:p>
    <w:p w14:paraId="03A5DD80" w14:textId="77777777" w:rsidR="0052314B" w:rsidRDefault="0052314B">
      <w:pPr>
        <w:pStyle w:val="P00"/>
        <w:spacing w:before="72"/>
        <w:ind w:left="0" w:right="1134"/>
        <w:rPr>
          <w:rStyle w:val="default"/>
          <w:rFonts w:cs="FrankRuehl"/>
          <w:rtl/>
        </w:rPr>
      </w:pPr>
      <w:bookmarkStart w:id="0" w:name="Seif1"/>
      <w:bookmarkEnd w:id="0"/>
      <w:r>
        <w:rPr>
          <w:rFonts w:cs="Miriam"/>
          <w:lang w:val="he-IL"/>
        </w:rPr>
        <w:pict w14:anchorId="2F252ABC">
          <v:rect id="_x0000_s1026" style="position:absolute;left:0;text-align:left;margin-left:468pt;margin-top:7.1pt;width:71.4pt;height:11.8pt;z-index:251655168" filled="f" stroked="f" strokecolor="lime" strokeweight=".25pt">
            <v:textbox style="mso-next-textbox:#_x0000_s1026" inset="0,0,0,0">
              <w:txbxContent>
                <w:p w14:paraId="222E91F3" w14:textId="77777777" w:rsidR="001D015A" w:rsidRDefault="001024E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024E4">
        <w:rPr>
          <w:rStyle w:val="default"/>
          <w:rFonts w:cs="FrankRuehl" w:hint="cs"/>
          <w:rtl/>
        </w:rPr>
        <w:t xml:space="preserve">בתקנות אלה </w:t>
      </w:r>
      <w:r w:rsidR="001024E4">
        <w:rPr>
          <w:rStyle w:val="default"/>
          <w:rFonts w:cs="FrankRuehl"/>
          <w:rtl/>
        </w:rPr>
        <w:t>–</w:t>
      </w:r>
    </w:p>
    <w:p w14:paraId="0D2F3C10" w14:textId="77777777" w:rsidR="001024E4" w:rsidRDefault="001024E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מתפעל" </w:t>
      </w:r>
      <w:r w:rsidR="00E879DD">
        <w:rPr>
          <w:rStyle w:val="default"/>
          <w:rFonts w:cs="FrankRuehl"/>
          <w:rtl/>
        </w:rPr>
        <w:t>–</w:t>
      </w:r>
      <w:r>
        <w:rPr>
          <w:rStyle w:val="default"/>
          <w:rFonts w:cs="FrankRuehl" w:hint="cs"/>
          <w:rtl/>
        </w:rPr>
        <w:t xml:space="preserve"> </w:t>
      </w:r>
      <w:r w:rsidR="00E879DD">
        <w:rPr>
          <w:rStyle w:val="default"/>
          <w:rFonts w:cs="FrankRuehl" w:hint="cs"/>
          <w:rtl/>
        </w:rPr>
        <w:t>תאגיד העוסק בתפעול הנפקה של כרטיסי חיוב של המנפיק;</w:t>
      </w:r>
    </w:p>
    <w:p w14:paraId="681FED01" w14:textId="77777777" w:rsidR="00E879DD" w:rsidRDefault="00E879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"שם הכרטיס" </w:t>
      </w:r>
      <w:r>
        <w:rPr>
          <w:rStyle w:val="default"/>
          <w:rFonts w:cs="FrankRuehl"/>
          <w:rtl/>
        </w:rPr>
        <w:t>–</w:t>
      </w:r>
      <w:r>
        <w:rPr>
          <w:rStyle w:val="default"/>
          <w:rFonts w:cs="FrankRuehl" w:hint="cs"/>
          <w:rtl/>
        </w:rPr>
        <w:t xml:space="preserve"> רצף ספרות או אותיות ייחודי המסמן את כרטיס החיוב המסוים;</w:t>
      </w:r>
    </w:p>
    <w:p w14:paraId="2BD42C3C" w14:textId="77777777" w:rsidR="00E879DD" w:rsidRDefault="00E879D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"מבקש" </w:t>
      </w:r>
      <w:r>
        <w:rPr>
          <w:rStyle w:val="default"/>
          <w:rFonts w:cs="FrankRuehl"/>
          <w:rtl/>
        </w:rPr>
        <w:t>–</w:t>
      </w:r>
      <w:r>
        <w:rPr>
          <w:rStyle w:val="default"/>
          <w:rFonts w:cs="FrankRuehl" w:hint="cs"/>
          <w:rtl/>
        </w:rPr>
        <w:t xml:space="preserve"> לקוח שביקש הצגת מידע על עסקאות שביצע, כאמור בסעיף 7ז(א) לחוק.</w:t>
      </w:r>
    </w:p>
    <w:p w14:paraId="05B1D0B8" w14:textId="77777777" w:rsidR="0052314B" w:rsidRDefault="0052314B">
      <w:pPr>
        <w:pStyle w:val="P00"/>
        <w:spacing w:before="72"/>
        <w:ind w:left="0" w:right="1134"/>
        <w:rPr>
          <w:rStyle w:val="default"/>
          <w:rFonts w:cs="FrankRuehl"/>
          <w:rtl/>
        </w:rPr>
      </w:pPr>
      <w:bookmarkStart w:id="1" w:name="Seif2"/>
      <w:bookmarkEnd w:id="1"/>
      <w:r>
        <w:rPr>
          <w:rFonts w:cs="Miriam"/>
          <w:lang w:val="he-IL"/>
        </w:rPr>
        <w:pict w14:anchorId="3FE53E52">
          <v:rect id="_x0000_s1358" style="position:absolute;left:0;text-align:left;margin-left:464.35pt;margin-top:7.1pt;width:75.05pt;height:18.2pt;z-index:251656192" o:allowincell="f" filled="f" stroked="f" strokecolor="lime" strokeweight=".25pt">
            <v:textbox style="mso-next-textbox:#_x0000_s1358" inset="0,0,0,0">
              <w:txbxContent>
                <w:p w14:paraId="30C053B0" w14:textId="77777777" w:rsidR="001D015A" w:rsidRDefault="00E879DD" w:rsidP="00744B90">
                  <w:pPr>
                    <w:spacing w:line="160" w:lineRule="exact"/>
                    <w:rPr>
                      <w:rFonts w:cs="Miriam" w:hint="cs"/>
                      <w:noProof/>
                      <w:sz w:val="18"/>
                      <w:szCs w:val="18"/>
                      <w:rtl/>
                    </w:rPr>
                  </w:pPr>
                  <w:r>
                    <w:rPr>
                      <w:rFonts w:cs="Miriam" w:hint="cs"/>
                      <w:noProof/>
                      <w:sz w:val="18"/>
                      <w:szCs w:val="18"/>
                      <w:rtl/>
                    </w:rPr>
                    <w:t>פרטי המידע שמנפיק יעביר לתאגיד בנקאי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879DD">
        <w:rPr>
          <w:rStyle w:val="default"/>
          <w:rFonts w:cs="FrankRuehl" w:hint="cs"/>
          <w:rtl/>
        </w:rPr>
        <w:t xml:space="preserve">הוגשה בקשה </w:t>
      </w:r>
      <w:r w:rsidR="00FA2E01">
        <w:rPr>
          <w:rStyle w:val="default"/>
          <w:rFonts w:cs="FrankRuehl" w:hint="cs"/>
          <w:rtl/>
        </w:rPr>
        <w:t>לפי סעיף 7ז(א) לחוק, יעביר מנפיק כרטיס החיוב של מבקש לידי התאגיד הבנקאי, לפי המועדים המפורטים בתקנה 3, את פרטי המידע שלהלן:</w:t>
      </w:r>
    </w:p>
    <w:p w14:paraId="11A0CAEF" w14:textId="77777777" w:rsidR="00FA2E01" w:rsidRDefault="00FA2E01" w:rsidP="00FA2E0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המנפיק;</w:t>
      </w:r>
    </w:p>
    <w:p w14:paraId="6095ED1E" w14:textId="77777777" w:rsidR="00FA2E01" w:rsidRDefault="00FA2E01" w:rsidP="00FA2E0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שם הגוף המתפעל;</w:t>
      </w:r>
    </w:p>
    <w:p w14:paraId="72B67DE0" w14:textId="77777777" w:rsidR="00FA2E01" w:rsidRDefault="00FA2E01" w:rsidP="00FA2E0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שם המבקש אשר לשימושו הונפק כרטיס החיוב;</w:t>
      </w:r>
    </w:p>
    <w:p w14:paraId="5E07DC61" w14:textId="77777777" w:rsidR="00FA2E01" w:rsidRDefault="00FA2E01" w:rsidP="00FA2E0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זהות של המבקש או מספר הדרכון שלו ושם המדינה שבה הונפק הדרכון אם הוא תושב חוץ;</w:t>
      </w:r>
    </w:p>
    <w:p w14:paraId="6E9E658E" w14:textId="77777777" w:rsidR="00FA2E01" w:rsidRDefault="00FA2E01" w:rsidP="00FA2E0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פרטי חשבון העובר ושב שמחויב בגין העסקאות שנעשו באמצעות כרטיס החיוב של המבקש כמפורט להלן:</w:t>
      </w:r>
    </w:p>
    <w:p w14:paraId="4DAADD24" w14:textId="77777777" w:rsidR="00FA2E01" w:rsidRDefault="00FA2E01" w:rsidP="00FA2E0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הבנק;</w:t>
      </w:r>
    </w:p>
    <w:p w14:paraId="2EF27EED" w14:textId="77777777" w:rsidR="00FA2E01" w:rsidRDefault="00FA2E01" w:rsidP="00FA2E0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הסניף;</w:t>
      </w:r>
    </w:p>
    <w:p w14:paraId="27FC2390" w14:textId="77777777" w:rsidR="00FA2E01" w:rsidRDefault="00FA2E01" w:rsidP="00FA2E0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מספר חשבון הבנק;</w:t>
      </w:r>
    </w:p>
    <w:p w14:paraId="0EED2082" w14:textId="77777777" w:rsidR="00FA2E01" w:rsidRDefault="00FA2E01" w:rsidP="00FA2E01">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ארבעה תווים אחרונים של שם הכרטיס המוטבע עליו;</w:t>
      </w:r>
    </w:p>
    <w:p w14:paraId="3A04E2DC" w14:textId="77777777" w:rsidR="00FA2E01" w:rsidRDefault="00FA2E01" w:rsidP="00FA2E01">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סכום כולל שבו חויב המבקש במועד החיוב האחרון;</w:t>
      </w:r>
    </w:p>
    <w:p w14:paraId="687FDE46" w14:textId="77777777" w:rsidR="00FA2E01" w:rsidRDefault="00FA2E01" w:rsidP="00FA2E01">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מועד החיוב האחרון;</w:t>
      </w:r>
    </w:p>
    <w:p w14:paraId="0C7F00CB" w14:textId="77777777" w:rsidR="00FA2E01" w:rsidRDefault="00FA2E01" w:rsidP="00FA2E01">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סכום כולל לחיוב המבקש במועד החיוב הבא, וזאת בהתאם למידע המעודכם שיש בידיו;</w:t>
      </w:r>
    </w:p>
    <w:p w14:paraId="7F4E2BA8" w14:textId="77777777" w:rsidR="00FA2E01" w:rsidRDefault="00FA2E01" w:rsidP="00FA2E01">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מועד החיוב הבא;</w:t>
      </w:r>
    </w:p>
    <w:p w14:paraId="74EDC9E8" w14:textId="77777777" w:rsidR="00FA2E01" w:rsidRDefault="00FA2E01" w:rsidP="00FA2E01">
      <w:pPr>
        <w:pStyle w:val="P00"/>
        <w:spacing w:before="72"/>
        <w:ind w:left="624" w:right="1134"/>
        <w:rPr>
          <w:rStyle w:val="default"/>
          <w:rFonts w:cs="FrankRuehl" w:hint="cs"/>
          <w:rtl/>
        </w:rPr>
      </w:pPr>
      <w:r>
        <w:rPr>
          <w:rStyle w:val="default"/>
          <w:rFonts w:cs="FrankRuehl" w:hint="cs"/>
          <w:rtl/>
        </w:rPr>
        <w:t>(11)</w:t>
      </w:r>
      <w:r>
        <w:rPr>
          <w:rStyle w:val="default"/>
          <w:rFonts w:cs="FrankRuehl"/>
          <w:rtl/>
        </w:rPr>
        <w:tab/>
      </w:r>
      <w:r>
        <w:rPr>
          <w:rStyle w:val="default"/>
          <w:rFonts w:cs="FrankRuehl" w:hint="cs"/>
          <w:rtl/>
        </w:rPr>
        <w:t xml:space="preserve">קישור מאובטח המפנה לאתר האינטרנט של המנפיק או לאתר האינטרנט של הגוף המתפעל, הכולל את המידע המעודכן על אודות עסקאותיו </w:t>
      </w:r>
      <w:r w:rsidR="00F301A7">
        <w:rPr>
          <w:rStyle w:val="default"/>
          <w:rFonts w:cs="FrankRuehl" w:hint="cs"/>
          <w:rtl/>
        </w:rPr>
        <w:t>של המבקש בכרטיס החיוב, כאשר הגישה אל המידע האמור לא תצריך הזדהות נוספת על ידי המבקש מלבד להזדהות הנדרשת על ידו לצורך הגישה למידע על אודות חשבונו המוצג לו על ידי התאגיד הבנקאי.</w:t>
      </w:r>
    </w:p>
    <w:p w14:paraId="6167CF7A" w14:textId="77777777" w:rsidR="001024E4" w:rsidRDefault="001024E4" w:rsidP="001024E4">
      <w:pPr>
        <w:pStyle w:val="P00"/>
        <w:spacing w:before="72"/>
        <w:ind w:left="0" w:right="1134"/>
        <w:rPr>
          <w:rStyle w:val="default"/>
          <w:rFonts w:cs="FrankRuehl"/>
          <w:rtl/>
        </w:rPr>
      </w:pPr>
      <w:bookmarkStart w:id="2" w:name="Seif3"/>
      <w:bookmarkEnd w:id="2"/>
      <w:r>
        <w:rPr>
          <w:rFonts w:cs="Miriam"/>
          <w:lang w:val="he-IL"/>
        </w:rPr>
        <w:pict w14:anchorId="5894A954">
          <v:rect id="_x0000_s1359" style="position:absolute;left:0;text-align:left;margin-left:464.35pt;margin-top:7.1pt;width:75.05pt;height:14.8pt;z-index:251657216" o:allowincell="f" filled="f" stroked="f" strokecolor="lime" strokeweight=".25pt">
            <v:textbox style="mso-next-textbox:#_x0000_s1359" inset="0,0,0,0">
              <w:txbxContent>
                <w:p w14:paraId="7879AE61" w14:textId="77777777" w:rsidR="001024E4" w:rsidRDefault="00F301A7" w:rsidP="001024E4">
                  <w:pPr>
                    <w:spacing w:line="160" w:lineRule="exact"/>
                    <w:rPr>
                      <w:rFonts w:cs="Miriam" w:hint="cs"/>
                      <w:noProof/>
                      <w:sz w:val="18"/>
                      <w:szCs w:val="18"/>
                      <w:rtl/>
                    </w:rPr>
                  </w:pPr>
                  <w:r>
                    <w:rPr>
                      <w:rFonts w:cs="Miriam" w:hint="cs"/>
                      <w:noProof/>
                      <w:sz w:val="18"/>
                      <w:szCs w:val="18"/>
                      <w:rtl/>
                    </w:rPr>
                    <w:t>מועדי העברת המידע</w:t>
                  </w:r>
                </w:p>
              </w:txbxContent>
            </v:textbox>
            <w10:anchorlock/>
          </v:rect>
        </w:pict>
      </w:r>
      <w:r w:rsidR="00F301A7">
        <w:rPr>
          <w:rStyle w:val="big-number"/>
          <w:rFonts w:cs="Miriam" w:hint="cs"/>
          <w:rtl/>
        </w:rPr>
        <w:t>3</w:t>
      </w:r>
      <w:r>
        <w:rPr>
          <w:rStyle w:val="big-number"/>
          <w:rFonts w:cs="FrankRuehl"/>
          <w:sz w:val="26"/>
          <w:szCs w:val="26"/>
          <w:rtl/>
        </w:rPr>
        <w:t>.</w:t>
      </w:r>
      <w:r>
        <w:rPr>
          <w:rStyle w:val="big-number"/>
          <w:rFonts w:cs="FrankRuehl"/>
          <w:sz w:val="26"/>
          <w:szCs w:val="26"/>
          <w:rtl/>
        </w:rPr>
        <w:tab/>
      </w:r>
      <w:r w:rsidR="00F301A7">
        <w:rPr>
          <w:rStyle w:val="default"/>
          <w:rFonts w:cs="FrankRuehl" w:hint="cs"/>
          <w:rtl/>
        </w:rPr>
        <w:t>(א)</w:t>
      </w:r>
      <w:r w:rsidR="00F301A7">
        <w:rPr>
          <w:rStyle w:val="default"/>
          <w:rFonts w:cs="FrankRuehl"/>
          <w:rtl/>
        </w:rPr>
        <w:tab/>
      </w:r>
      <w:r w:rsidR="00F301A7">
        <w:rPr>
          <w:rStyle w:val="default"/>
          <w:rFonts w:cs="FrankRuehl" w:hint="cs"/>
          <w:rtl/>
        </w:rPr>
        <w:t>מנפיק יעביר לתאגיד בנקאי את פרטי המידע המפורטים בתקנה 2(1) עד (6), בכל מועד שבו עליו להעביר מידע על אודות מבקש לפי תקנות משנה (ב) עד (ד).</w:t>
      </w:r>
    </w:p>
    <w:p w14:paraId="668F6172" w14:textId="77777777" w:rsidR="00F301A7" w:rsidRDefault="00F301A7" w:rsidP="001024E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מנפיק יעביר לתאגיד בנקאי את פרטי המידע המפורטים בתקנה 2(7) ו-(8), בסמוך לאחר מועד החיוב בתאגיד הבנקאי ולא יאוחר מיום עסקים אחד ממועד החיוב.</w:t>
      </w:r>
    </w:p>
    <w:p w14:paraId="259A425C" w14:textId="77777777" w:rsidR="00F301A7" w:rsidRDefault="00F301A7" w:rsidP="001024E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מנפיק יעביר לתאגיד הבנקאי את פרטי המידע המפורטים בתקנה 2(9) ו-(10), בסוף כל יום עסקים.</w:t>
      </w:r>
    </w:p>
    <w:p w14:paraId="29F08523" w14:textId="77777777" w:rsidR="00F301A7" w:rsidRDefault="00F301A7" w:rsidP="001024E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מנפיק יעביר לתאגיד הבנקאי את המידע המפורט בתקנה 2(11), בתוך שלושה ימי עסקים מיום קבלת בקשת המבקש אצל המנפיק; שינה המנפיק את כתובת הקישור המאובטח, יעדכן המנפיק את התאגיד הבנקאי בסמוך למועד השינוי.</w:t>
      </w:r>
    </w:p>
    <w:p w14:paraId="0B304EA8" w14:textId="77777777" w:rsidR="001024E4" w:rsidRDefault="001024E4" w:rsidP="001024E4">
      <w:pPr>
        <w:pStyle w:val="P00"/>
        <w:spacing w:before="72"/>
        <w:ind w:left="0" w:right="1134"/>
        <w:rPr>
          <w:rStyle w:val="default"/>
          <w:rFonts w:cs="FrankRuehl"/>
          <w:rtl/>
        </w:rPr>
      </w:pPr>
      <w:bookmarkStart w:id="3" w:name="Seif4"/>
      <w:bookmarkEnd w:id="3"/>
      <w:r>
        <w:rPr>
          <w:rFonts w:cs="Miriam"/>
          <w:lang w:val="he-IL"/>
        </w:rPr>
        <w:pict w14:anchorId="5A30D7AD">
          <v:rect id="_x0000_s1360" style="position:absolute;left:0;text-align:left;margin-left:464.35pt;margin-top:7.1pt;width:75.05pt;height:14.2pt;z-index:251658240" o:allowincell="f" filled="f" stroked="f" strokecolor="lime" strokeweight=".25pt">
            <v:textbox style="mso-next-textbox:#_x0000_s1360" inset="0,0,0,0">
              <w:txbxContent>
                <w:p w14:paraId="4ABBD50E" w14:textId="77777777" w:rsidR="001024E4" w:rsidRDefault="00F301A7" w:rsidP="001024E4">
                  <w:pPr>
                    <w:spacing w:line="160" w:lineRule="exact"/>
                    <w:rPr>
                      <w:rFonts w:cs="Miriam" w:hint="cs"/>
                      <w:noProof/>
                      <w:sz w:val="18"/>
                      <w:szCs w:val="18"/>
                      <w:rtl/>
                    </w:rPr>
                  </w:pPr>
                  <w:r>
                    <w:rPr>
                      <w:rFonts w:cs="Miriam" w:hint="cs"/>
                      <w:noProof/>
                      <w:sz w:val="18"/>
                      <w:szCs w:val="18"/>
                      <w:rtl/>
                    </w:rPr>
                    <w:t>אופן העברת המידע</w:t>
                  </w:r>
                </w:p>
              </w:txbxContent>
            </v:textbox>
            <w10:anchorlock/>
          </v:rect>
        </w:pict>
      </w:r>
      <w:r w:rsidR="00F301A7">
        <w:rPr>
          <w:rStyle w:val="big-number"/>
          <w:rFonts w:cs="Miriam" w:hint="cs"/>
          <w:rtl/>
        </w:rPr>
        <w:t>4</w:t>
      </w:r>
      <w:r>
        <w:rPr>
          <w:rStyle w:val="big-number"/>
          <w:rFonts w:cs="FrankRuehl"/>
          <w:sz w:val="26"/>
          <w:szCs w:val="26"/>
          <w:rtl/>
        </w:rPr>
        <w:t>.</w:t>
      </w:r>
      <w:r>
        <w:rPr>
          <w:rStyle w:val="big-number"/>
          <w:rFonts w:cs="FrankRuehl"/>
          <w:sz w:val="26"/>
          <w:szCs w:val="26"/>
          <w:rtl/>
        </w:rPr>
        <w:tab/>
      </w:r>
      <w:r w:rsidR="00F301A7">
        <w:rPr>
          <w:rStyle w:val="default"/>
          <w:rFonts w:cs="FrankRuehl" w:hint="cs"/>
          <w:rtl/>
        </w:rPr>
        <w:t xml:space="preserve">מנפיק יעביר לתאגיד הבנקאי את פרטי המידע המפורטים בתקנה 2 באמצעות ממשק </w:t>
      </w:r>
      <w:r w:rsidR="00F301A7">
        <w:rPr>
          <w:rStyle w:val="default"/>
          <w:rFonts w:cs="FrankRuehl" w:hint="cs"/>
          <w:rtl/>
        </w:rPr>
        <w:lastRenderedPageBreak/>
        <w:t>טכנולוגי מאובטח.</w:t>
      </w:r>
    </w:p>
    <w:p w14:paraId="57464CAF" w14:textId="77777777" w:rsidR="001024E4" w:rsidRDefault="001024E4" w:rsidP="001024E4">
      <w:pPr>
        <w:pStyle w:val="P00"/>
        <w:spacing w:before="72"/>
        <w:ind w:left="0" w:right="1134"/>
        <w:rPr>
          <w:rStyle w:val="default"/>
          <w:rFonts w:cs="FrankRuehl"/>
          <w:rtl/>
        </w:rPr>
      </w:pPr>
      <w:bookmarkStart w:id="4" w:name="Seif5"/>
      <w:bookmarkEnd w:id="4"/>
      <w:r>
        <w:rPr>
          <w:rFonts w:cs="Miriam"/>
          <w:lang w:val="he-IL"/>
        </w:rPr>
        <w:pict w14:anchorId="1ECEF1B9">
          <v:rect id="_x0000_s1361" style="position:absolute;left:0;text-align:left;margin-left:464.35pt;margin-top:7.1pt;width:75.05pt;height:22.15pt;z-index:251659264" o:allowincell="f" filled="f" stroked="f" strokecolor="lime" strokeweight=".25pt">
            <v:textbox style="mso-next-textbox:#_x0000_s1361" inset="0,0,0,0">
              <w:txbxContent>
                <w:p w14:paraId="6BD841AE" w14:textId="77777777" w:rsidR="001024E4" w:rsidRDefault="00F301A7" w:rsidP="001024E4">
                  <w:pPr>
                    <w:spacing w:line="160" w:lineRule="exact"/>
                    <w:rPr>
                      <w:rFonts w:cs="Miriam" w:hint="cs"/>
                      <w:noProof/>
                      <w:sz w:val="18"/>
                      <w:szCs w:val="18"/>
                      <w:rtl/>
                    </w:rPr>
                  </w:pPr>
                  <w:r>
                    <w:rPr>
                      <w:rFonts w:cs="Miriam" w:hint="cs"/>
                      <w:noProof/>
                      <w:sz w:val="18"/>
                      <w:szCs w:val="18"/>
                      <w:rtl/>
                    </w:rPr>
                    <w:t>חזרת מבקש מבקשתו להציג את המידע</w:t>
                  </w:r>
                </w:p>
              </w:txbxContent>
            </v:textbox>
            <w10:anchorlock/>
          </v:rect>
        </w:pict>
      </w:r>
      <w:r w:rsidR="00F301A7">
        <w:rPr>
          <w:rStyle w:val="big-number"/>
          <w:rFonts w:cs="Miriam" w:hint="cs"/>
          <w:rtl/>
        </w:rPr>
        <w:t>5</w:t>
      </w:r>
      <w:r>
        <w:rPr>
          <w:rStyle w:val="big-number"/>
          <w:rFonts w:cs="FrankRuehl"/>
          <w:sz w:val="26"/>
          <w:szCs w:val="26"/>
          <w:rtl/>
        </w:rPr>
        <w:t>.</w:t>
      </w:r>
      <w:r>
        <w:rPr>
          <w:rStyle w:val="big-number"/>
          <w:rFonts w:cs="FrankRuehl"/>
          <w:sz w:val="26"/>
          <w:szCs w:val="26"/>
          <w:rtl/>
        </w:rPr>
        <w:tab/>
      </w:r>
      <w:r w:rsidR="00F301A7">
        <w:rPr>
          <w:rStyle w:val="default"/>
          <w:rFonts w:cs="FrankRuehl" w:hint="cs"/>
          <w:rtl/>
        </w:rPr>
        <w:t>מבקש רשאי לחזור בו מבקשתו בכל עת, וזאת בהודעה לתאגיד הבנקאי או למנפיק כרטיס החיוב.</w:t>
      </w:r>
    </w:p>
    <w:p w14:paraId="3EF8C49E" w14:textId="77777777" w:rsidR="001024E4" w:rsidRDefault="001024E4" w:rsidP="001024E4">
      <w:pPr>
        <w:pStyle w:val="P00"/>
        <w:spacing w:before="72"/>
        <w:ind w:left="0" w:right="1134"/>
        <w:rPr>
          <w:rStyle w:val="default"/>
          <w:rFonts w:cs="FrankRuehl"/>
          <w:rtl/>
        </w:rPr>
      </w:pPr>
      <w:bookmarkStart w:id="5" w:name="Seif6"/>
      <w:bookmarkEnd w:id="5"/>
      <w:r>
        <w:rPr>
          <w:rFonts w:cs="Miriam"/>
          <w:lang w:val="he-IL"/>
        </w:rPr>
        <w:pict w14:anchorId="041C12F0">
          <v:rect id="_x0000_s1362" style="position:absolute;left:0;text-align:left;margin-left:464.35pt;margin-top:7.1pt;width:75.05pt;height:14.2pt;z-index:251660288" o:allowincell="f" filled="f" stroked="f" strokecolor="lime" strokeweight=".25pt">
            <v:textbox style="mso-next-textbox:#_x0000_s1362" inset="0,0,0,0">
              <w:txbxContent>
                <w:p w14:paraId="19501F9A" w14:textId="77777777" w:rsidR="001024E4" w:rsidRDefault="001024E4" w:rsidP="001024E4">
                  <w:pPr>
                    <w:spacing w:line="160" w:lineRule="exact"/>
                    <w:rPr>
                      <w:rFonts w:cs="Miriam" w:hint="cs"/>
                      <w:noProof/>
                      <w:sz w:val="18"/>
                      <w:szCs w:val="18"/>
                      <w:rtl/>
                    </w:rPr>
                  </w:pPr>
                  <w:r>
                    <w:rPr>
                      <w:rFonts w:cs="Miriam" w:hint="cs"/>
                      <w:noProof/>
                      <w:sz w:val="18"/>
                      <w:szCs w:val="18"/>
                      <w:rtl/>
                    </w:rPr>
                    <w:t>תחילה</w:t>
                  </w:r>
                </w:p>
              </w:txbxContent>
            </v:textbox>
            <w10:anchorlock/>
          </v:rect>
        </w:pict>
      </w:r>
      <w:r w:rsidR="00F301A7">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תחילת</w:t>
      </w:r>
      <w:r w:rsidR="00F301A7">
        <w:rPr>
          <w:rStyle w:val="default"/>
          <w:rFonts w:cs="FrankRuehl" w:hint="cs"/>
          <w:rtl/>
        </w:rPr>
        <w:t>ן של תקנות אלה ביום תחילתו של סעיף 7ז לחוק.</w:t>
      </w:r>
    </w:p>
    <w:p w14:paraId="689BC294" w14:textId="77777777" w:rsidR="00330BD1" w:rsidRDefault="00330BD1">
      <w:pPr>
        <w:pStyle w:val="P00"/>
        <w:spacing w:before="72"/>
        <w:ind w:left="0" w:right="1134"/>
        <w:rPr>
          <w:rStyle w:val="default"/>
          <w:rFonts w:cs="FrankRuehl"/>
          <w:rtl/>
        </w:rPr>
      </w:pPr>
    </w:p>
    <w:p w14:paraId="3A849829" w14:textId="77777777" w:rsidR="00330BD1" w:rsidRDefault="00330BD1">
      <w:pPr>
        <w:pStyle w:val="P00"/>
        <w:spacing w:before="72"/>
        <w:ind w:left="0" w:right="1134"/>
        <w:rPr>
          <w:rStyle w:val="default"/>
          <w:rFonts w:cs="FrankRuehl" w:hint="cs"/>
          <w:rtl/>
        </w:rPr>
      </w:pPr>
    </w:p>
    <w:p w14:paraId="0BCE220F" w14:textId="77777777" w:rsidR="0052314B" w:rsidRDefault="00F301A7" w:rsidP="00AB31C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כ"ד בשבט</w:t>
      </w:r>
      <w:r w:rsidR="00330BD1">
        <w:rPr>
          <w:rStyle w:val="default"/>
          <w:rFonts w:cs="FrankRuehl" w:hint="cs"/>
          <w:rtl/>
        </w:rPr>
        <w:t xml:space="preserve"> התשע"ט (</w:t>
      </w:r>
      <w:r>
        <w:rPr>
          <w:rStyle w:val="default"/>
          <w:rFonts w:cs="FrankRuehl" w:hint="cs"/>
          <w:rtl/>
        </w:rPr>
        <w:t>30 בינואר</w:t>
      </w:r>
      <w:r w:rsidR="00330BD1">
        <w:rPr>
          <w:rStyle w:val="default"/>
          <w:rFonts w:cs="FrankRuehl" w:hint="cs"/>
          <w:rtl/>
        </w:rPr>
        <w:t xml:space="preserve"> 201</w:t>
      </w:r>
      <w:r>
        <w:rPr>
          <w:rStyle w:val="default"/>
          <w:rFonts w:cs="FrankRuehl" w:hint="cs"/>
          <w:rtl/>
        </w:rPr>
        <w:t>9</w:t>
      </w:r>
      <w:r w:rsidR="0052314B">
        <w:rPr>
          <w:rStyle w:val="default"/>
          <w:rFonts w:cs="FrankRuehl" w:hint="cs"/>
          <w:rtl/>
        </w:rPr>
        <w:t>)</w:t>
      </w:r>
      <w:r w:rsidR="0052314B">
        <w:rPr>
          <w:rStyle w:val="default"/>
          <w:rFonts w:cs="FrankRuehl" w:hint="cs"/>
          <w:rtl/>
        </w:rPr>
        <w:tab/>
      </w:r>
      <w:r>
        <w:rPr>
          <w:rStyle w:val="default"/>
          <w:rFonts w:cs="FrankRuehl" w:hint="cs"/>
          <w:rtl/>
        </w:rPr>
        <w:t>משה כחלון</w:t>
      </w:r>
    </w:p>
    <w:p w14:paraId="7DFD3FA9" w14:textId="77777777" w:rsidR="0052314B" w:rsidRDefault="0052314B" w:rsidP="00AB31C8">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301A7">
        <w:rPr>
          <w:rFonts w:cs="FrankRuehl" w:hint="cs"/>
          <w:sz w:val="22"/>
          <w:szCs w:val="22"/>
          <w:rtl/>
        </w:rPr>
        <w:t>שר האוצר</w:t>
      </w:r>
    </w:p>
    <w:p w14:paraId="778028A8" w14:textId="77777777" w:rsidR="00330BD1" w:rsidRDefault="00330BD1">
      <w:pPr>
        <w:pStyle w:val="sig-0"/>
        <w:tabs>
          <w:tab w:val="clear" w:pos="4820"/>
          <w:tab w:val="center" w:pos="5670"/>
        </w:tabs>
        <w:ind w:left="0" w:right="1134"/>
        <w:rPr>
          <w:rFonts w:cs="FrankRuehl"/>
          <w:sz w:val="26"/>
          <w:rtl/>
        </w:rPr>
      </w:pPr>
    </w:p>
    <w:p w14:paraId="0AA4B563" w14:textId="77777777" w:rsidR="00902DB5" w:rsidRDefault="00902DB5">
      <w:pPr>
        <w:pStyle w:val="sig-0"/>
        <w:tabs>
          <w:tab w:val="clear" w:pos="4820"/>
          <w:tab w:val="center" w:pos="5670"/>
        </w:tabs>
        <w:ind w:left="0" w:right="1134"/>
        <w:rPr>
          <w:rFonts w:cs="FrankRuehl"/>
          <w:sz w:val="26"/>
          <w:rtl/>
        </w:rPr>
      </w:pPr>
    </w:p>
    <w:p w14:paraId="6BCF5048" w14:textId="77777777" w:rsidR="00275191" w:rsidRDefault="00275191">
      <w:pPr>
        <w:pStyle w:val="sig-0"/>
        <w:tabs>
          <w:tab w:val="clear" w:pos="4820"/>
          <w:tab w:val="center" w:pos="5670"/>
        </w:tabs>
        <w:ind w:left="0" w:right="1134"/>
        <w:rPr>
          <w:rFonts w:cs="FrankRuehl"/>
          <w:sz w:val="26"/>
          <w:rtl/>
        </w:rPr>
      </w:pPr>
    </w:p>
    <w:p w14:paraId="0B47D8A4" w14:textId="77777777" w:rsidR="00275191" w:rsidRDefault="00275191">
      <w:pPr>
        <w:pStyle w:val="sig-0"/>
        <w:tabs>
          <w:tab w:val="clear" w:pos="4820"/>
          <w:tab w:val="center" w:pos="5670"/>
        </w:tabs>
        <w:ind w:left="0" w:right="1134"/>
        <w:rPr>
          <w:rFonts w:cs="FrankRuehl"/>
          <w:sz w:val="26"/>
          <w:rtl/>
        </w:rPr>
      </w:pPr>
    </w:p>
    <w:p w14:paraId="5E4EB011" w14:textId="77777777" w:rsidR="00275191" w:rsidRDefault="00275191" w:rsidP="00275191">
      <w:pPr>
        <w:pStyle w:val="sig-0"/>
        <w:tabs>
          <w:tab w:val="clear" w:pos="4820"/>
          <w:tab w:val="center" w:pos="5670"/>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BC567A0" w14:textId="77777777" w:rsidR="00902DB5" w:rsidRPr="00275191" w:rsidRDefault="00902DB5" w:rsidP="00275191">
      <w:pPr>
        <w:pStyle w:val="sig-0"/>
        <w:tabs>
          <w:tab w:val="clear" w:pos="4820"/>
          <w:tab w:val="center" w:pos="5670"/>
        </w:tabs>
        <w:ind w:left="0" w:right="1134"/>
        <w:jc w:val="center"/>
        <w:rPr>
          <w:rFonts w:cs="David"/>
          <w:color w:val="0000FF"/>
          <w:sz w:val="26"/>
          <w:szCs w:val="24"/>
          <w:u w:val="single"/>
          <w:rtl/>
        </w:rPr>
      </w:pPr>
    </w:p>
    <w:sectPr w:rsidR="00902DB5" w:rsidRPr="0027519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B37D" w14:textId="77777777" w:rsidR="00F06796" w:rsidRDefault="00F06796">
      <w:r>
        <w:separator/>
      </w:r>
    </w:p>
  </w:endnote>
  <w:endnote w:type="continuationSeparator" w:id="0">
    <w:p w14:paraId="006E2CB9" w14:textId="77777777" w:rsidR="00F06796" w:rsidRDefault="00F06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E202" w14:textId="77777777"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D3B485C" w14:textId="77777777"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53BEE6" w14:textId="77777777"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5B85" w14:textId="77777777" w:rsidR="001D015A" w:rsidRDefault="001D015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5191">
      <w:rPr>
        <w:rFonts w:hAnsi="FrankRuehl" w:cs="FrankRuehl"/>
        <w:noProof/>
        <w:sz w:val="24"/>
        <w:szCs w:val="24"/>
        <w:rtl/>
      </w:rPr>
      <w:t>2</w:t>
    </w:r>
    <w:r>
      <w:rPr>
        <w:rFonts w:hAnsi="FrankRuehl" w:cs="FrankRuehl"/>
        <w:sz w:val="24"/>
        <w:szCs w:val="24"/>
        <w:rtl/>
      </w:rPr>
      <w:fldChar w:fldCharType="end"/>
    </w:r>
  </w:p>
  <w:p w14:paraId="18A5DA74" w14:textId="77777777" w:rsidR="001D015A" w:rsidRDefault="001D015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BA6584" w14:textId="77777777" w:rsidR="001D015A" w:rsidRDefault="001D015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Z:\000-law\yael\2015\2015-03-25\999_885.doc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34AA" w14:textId="77777777" w:rsidR="00F06796" w:rsidRDefault="00F06796" w:rsidP="00D8212A">
      <w:pPr>
        <w:pStyle w:val="a5"/>
        <w:spacing w:before="60"/>
        <w:ind w:right="1134"/>
        <w:rPr>
          <w:rFonts w:cs="David"/>
          <w:sz w:val="24"/>
          <w:szCs w:val="24"/>
        </w:rPr>
      </w:pPr>
      <w:r>
        <w:separator/>
      </w:r>
    </w:p>
  </w:footnote>
  <w:footnote w:type="continuationSeparator" w:id="0">
    <w:p w14:paraId="1C7C685A" w14:textId="77777777" w:rsidR="00F06796" w:rsidRPr="00D8212A" w:rsidRDefault="00F06796" w:rsidP="00D8212A">
      <w:pPr>
        <w:pStyle w:val="a4"/>
        <w:ind w:left="0" w:right="1134"/>
      </w:pPr>
      <w:r>
        <w:separator/>
      </w:r>
    </w:p>
  </w:footnote>
  <w:footnote w:id="1">
    <w:p w14:paraId="55EF1297" w14:textId="77777777" w:rsidR="00D75995" w:rsidRPr="008C7873" w:rsidRDefault="001D015A" w:rsidP="00D759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75995">
          <w:rPr>
            <w:rStyle w:val="Hyperlink"/>
            <w:rFonts w:cs="FrankRuehl" w:hint="cs"/>
            <w:rtl/>
          </w:rPr>
          <w:t>ק"ת תש</w:t>
        </w:r>
        <w:r w:rsidR="00330BD1" w:rsidRPr="00D75995">
          <w:rPr>
            <w:rStyle w:val="Hyperlink"/>
            <w:rFonts w:cs="FrankRuehl" w:hint="cs"/>
            <w:rtl/>
          </w:rPr>
          <w:t>ע"ט</w:t>
        </w:r>
        <w:r w:rsidRPr="00D75995">
          <w:rPr>
            <w:rStyle w:val="Hyperlink"/>
            <w:rFonts w:cs="FrankRuehl" w:hint="cs"/>
            <w:rtl/>
          </w:rPr>
          <w:t xml:space="preserve"> מס' </w:t>
        </w:r>
        <w:r w:rsidR="00330BD1" w:rsidRPr="00D75995">
          <w:rPr>
            <w:rStyle w:val="Hyperlink"/>
            <w:rFonts w:cs="FrankRuehl" w:hint="cs"/>
            <w:rtl/>
          </w:rPr>
          <w:t>81</w:t>
        </w:r>
        <w:r w:rsidR="001024E4" w:rsidRPr="00D75995">
          <w:rPr>
            <w:rStyle w:val="Hyperlink"/>
            <w:rFonts w:cs="FrankRuehl" w:hint="cs"/>
            <w:rtl/>
          </w:rPr>
          <w:t>62</w:t>
        </w:r>
      </w:hyperlink>
      <w:r>
        <w:rPr>
          <w:rFonts w:cs="FrankRuehl" w:hint="cs"/>
          <w:rtl/>
        </w:rPr>
        <w:t xml:space="preserve"> מיום </w:t>
      </w:r>
      <w:r w:rsidR="001024E4">
        <w:rPr>
          <w:rFonts w:cs="FrankRuehl" w:hint="cs"/>
          <w:rtl/>
        </w:rPr>
        <w:t>3.2.2019</w:t>
      </w:r>
      <w:r>
        <w:rPr>
          <w:rFonts w:cs="FrankRuehl" w:hint="cs"/>
          <w:rtl/>
        </w:rPr>
        <w:t xml:space="preserve"> עמ' </w:t>
      </w:r>
      <w:r w:rsidR="001024E4">
        <w:rPr>
          <w:rFonts w:cs="FrankRuehl" w:hint="cs"/>
          <w:rtl/>
        </w:rPr>
        <w:t>1964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6348" w14:textId="77777777" w:rsidR="001D015A" w:rsidRDefault="001D015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0CBB255" w14:textId="77777777"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856223" w14:textId="77777777"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9073" w14:textId="77777777" w:rsidR="001D015A" w:rsidRDefault="001024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1D015A">
      <w:rPr>
        <w:rFonts w:hAnsi="FrankRuehl" w:cs="FrankRuehl" w:hint="cs"/>
        <w:color w:val="000000"/>
        <w:sz w:val="28"/>
        <w:szCs w:val="28"/>
        <w:rtl/>
      </w:rPr>
      <w:t xml:space="preserve"> הבנקאות (שירות ללקוח) (</w:t>
    </w:r>
    <w:r>
      <w:rPr>
        <w:rFonts w:hAnsi="FrankRuehl" w:cs="FrankRuehl" w:hint="cs"/>
        <w:color w:val="000000"/>
        <w:sz w:val="28"/>
        <w:szCs w:val="28"/>
        <w:rtl/>
      </w:rPr>
      <w:t>העברת מידע ממנפיק לתאגיד בנקאי</w:t>
    </w:r>
    <w:r w:rsidR="001D015A">
      <w:rPr>
        <w:rFonts w:hAnsi="FrankRuehl" w:cs="FrankRuehl" w:hint="cs"/>
        <w:color w:val="000000"/>
        <w:sz w:val="28"/>
        <w:szCs w:val="28"/>
        <w:rtl/>
      </w:rPr>
      <w:t xml:space="preserve">), </w:t>
    </w:r>
    <w:r w:rsidR="00330BD1">
      <w:rPr>
        <w:rFonts w:hAnsi="FrankRuehl" w:cs="FrankRuehl" w:hint="cs"/>
        <w:color w:val="000000"/>
        <w:sz w:val="28"/>
        <w:szCs w:val="28"/>
        <w:rtl/>
      </w:rPr>
      <w:t>תשע"ט-201</w:t>
    </w:r>
    <w:r>
      <w:rPr>
        <w:rFonts w:hAnsi="FrankRuehl" w:cs="FrankRuehl" w:hint="cs"/>
        <w:color w:val="000000"/>
        <w:sz w:val="28"/>
        <w:szCs w:val="28"/>
        <w:rtl/>
      </w:rPr>
      <w:t>9</w:t>
    </w:r>
  </w:p>
  <w:p w14:paraId="2D396385" w14:textId="77777777"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ABB3B2" w14:textId="77777777" w:rsidR="001D015A" w:rsidRDefault="001D015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6982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0F87"/>
    <w:rsid w:val="0001330B"/>
    <w:rsid w:val="000229E1"/>
    <w:rsid w:val="0002347E"/>
    <w:rsid w:val="00044B2F"/>
    <w:rsid w:val="0004557F"/>
    <w:rsid w:val="00045E18"/>
    <w:rsid w:val="00054BAD"/>
    <w:rsid w:val="0008026A"/>
    <w:rsid w:val="0008154C"/>
    <w:rsid w:val="00090CDE"/>
    <w:rsid w:val="00096FCB"/>
    <w:rsid w:val="000F0BFF"/>
    <w:rsid w:val="000F4806"/>
    <w:rsid w:val="001024E4"/>
    <w:rsid w:val="00134B9B"/>
    <w:rsid w:val="00156188"/>
    <w:rsid w:val="00165582"/>
    <w:rsid w:val="00182843"/>
    <w:rsid w:val="00195C20"/>
    <w:rsid w:val="001A392A"/>
    <w:rsid w:val="001A5695"/>
    <w:rsid w:val="001C078E"/>
    <w:rsid w:val="001C45C9"/>
    <w:rsid w:val="001D015A"/>
    <w:rsid w:val="001F4403"/>
    <w:rsid w:val="001F7798"/>
    <w:rsid w:val="00202A3C"/>
    <w:rsid w:val="00203F12"/>
    <w:rsid w:val="00210CD6"/>
    <w:rsid w:val="00227D12"/>
    <w:rsid w:val="00244950"/>
    <w:rsid w:val="0025357B"/>
    <w:rsid w:val="00272712"/>
    <w:rsid w:val="00275191"/>
    <w:rsid w:val="0028609E"/>
    <w:rsid w:val="0029040E"/>
    <w:rsid w:val="002C61DF"/>
    <w:rsid w:val="003032B8"/>
    <w:rsid w:val="0030537A"/>
    <w:rsid w:val="00330BD1"/>
    <w:rsid w:val="0036736D"/>
    <w:rsid w:val="003B6195"/>
    <w:rsid w:val="003E463E"/>
    <w:rsid w:val="003E7AAD"/>
    <w:rsid w:val="004106A4"/>
    <w:rsid w:val="00426918"/>
    <w:rsid w:val="00444F00"/>
    <w:rsid w:val="004578B3"/>
    <w:rsid w:val="00477B38"/>
    <w:rsid w:val="004801F3"/>
    <w:rsid w:val="00483066"/>
    <w:rsid w:val="00494F86"/>
    <w:rsid w:val="004B47E8"/>
    <w:rsid w:val="004B5091"/>
    <w:rsid w:val="004D1DF8"/>
    <w:rsid w:val="004D391A"/>
    <w:rsid w:val="004D6FAD"/>
    <w:rsid w:val="004F4D58"/>
    <w:rsid w:val="005046C7"/>
    <w:rsid w:val="0052063C"/>
    <w:rsid w:val="0052314B"/>
    <w:rsid w:val="00551D60"/>
    <w:rsid w:val="00552A28"/>
    <w:rsid w:val="00590A85"/>
    <w:rsid w:val="005A52C3"/>
    <w:rsid w:val="005B6F1A"/>
    <w:rsid w:val="005C3CCF"/>
    <w:rsid w:val="005E0756"/>
    <w:rsid w:val="005E4B01"/>
    <w:rsid w:val="006454BB"/>
    <w:rsid w:val="00665251"/>
    <w:rsid w:val="00690DF4"/>
    <w:rsid w:val="0069149B"/>
    <w:rsid w:val="0069745F"/>
    <w:rsid w:val="006D2035"/>
    <w:rsid w:val="006E6B94"/>
    <w:rsid w:val="00707915"/>
    <w:rsid w:val="00710714"/>
    <w:rsid w:val="007160E5"/>
    <w:rsid w:val="007401C9"/>
    <w:rsid w:val="00744B90"/>
    <w:rsid w:val="00752E7E"/>
    <w:rsid w:val="007577F9"/>
    <w:rsid w:val="0077257F"/>
    <w:rsid w:val="00790AB5"/>
    <w:rsid w:val="007A6874"/>
    <w:rsid w:val="007A7BEE"/>
    <w:rsid w:val="007D531E"/>
    <w:rsid w:val="00804381"/>
    <w:rsid w:val="00804AD3"/>
    <w:rsid w:val="00811B53"/>
    <w:rsid w:val="00855130"/>
    <w:rsid w:val="00855EAA"/>
    <w:rsid w:val="008607AE"/>
    <w:rsid w:val="008953BD"/>
    <w:rsid w:val="008B61C3"/>
    <w:rsid w:val="008C7873"/>
    <w:rsid w:val="00902DB5"/>
    <w:rsid w:val="00904B18"/>
    <w:rsid w:val="00912E1F"/>
    <w:rsid w:val="009155DC"/>
    <w:rsid w:val="00985F8D"/>
    <w:rsid w:val="00994F58"/>
    <w:rsid w:val="009A54B1"/>
    <w:rsid w:val="009E4FAC"/>
    <w:rsid w:val="009E651E"/>
    <w:rsid w:val="009F0614"/>
    <w:rsid w:val="009F678A"/>
    <w:rsid w:val="00A0295C"/>
    <w:rsid w:val="00A66922"/>
    <w:rsid w:val="00A712AF"/>
    <w:rsid w:val="00A912F1"/>
    <w:rsid w:val="00AA1E2C"/>
    <w:rsid w:val="00AB1585"/>
    <w:rsid w:val="00AB31C8"/>
    <w:rsid w:val="00AD0CB3"/>
    <w:rsid w:val="00AE5547"/>
    <w:rsid w:val="00B255B5"/>
    <w:rsid w:val="00B71EE5"/>
    <w:rsid w:val="00BA64DB"/>
    <w:rsid w:val="00C05D92"/>
    <w:rsid w:val="00C37534"/>
    <w:rsid w:val="00C5427C"/>
    <w:rsid w:val="00C552C3"/>
    <w:rsid w:val="00C80FEF"/>
    <w:rsid w:val="00CA66CF"/>
    <w:rsid w:val="00CD2BF2"/>
    <w:rsid w:val="00CF099D"/>
    <w:rsid w:val="00D064BD"/>
    <w:rsid w:val="00D24A7A"/>
    <w:rsid w:val="00D635F7"/>
    <w:rsid w:val="00D748D5"/>
    <w:rsid w:val="00D75995"/>
    <w:rsid w:val="00D8212A"/>
    <w:rsid w:val="00D90F14"/>
    <w:rsid w:val="00DA68AF"/>
    <w:rsid w:val="00DE5700"/>
    <w:rsid w:val="00E10F87"/>
    <w:rsid w:val="00E11229"/>
    <w:rsid w:val="00E27B27"/>
    <w:rsid w:val="00E33224"/>
    <w:rsid w:val="00E71400"/>
    <w:rsid w:val="00E76850"/>
    <w:rsid w:val="00E879DD"/>
    <w:rsid w:val="00EC244F"/>
    <w:rsid w:val="00EC4DDF"/>
    <w:rsid w:val="00ED33FB"/>
    <w:rsid w:val="00EF490B"/>
    <w:rsid w:val="00F06796"/>
    <w:rsid w:val="00F211BD"/>
    <w:rsid w:val="00F301A7"/>
    <w:rsid w:val="00F471B3"/>
    <w:rsid w:val="00F74D9F"/>
    <w:rsid w:val="00FA2E01"/>
    <w:rsid w:val="00FB5C3F"/>
    <w:rsid w:val="00FC54F6"/>
    <w:rsid w:val="00FD22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C75F24"/>
  <w15:chartTrackingRefBased/>
  <w15:docId w15:val="{0DD08B08-071B-4FD0-BA73-1060F0F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1655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3191</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7798795</vt:i4>
      </vt:variant>
      <vt:variant>
        <vt:i4>0</vt:i4>
      </vt:variant>
      <vt:variant>
        <vt:i4>0</vt:i4>
      </vt:variant>
      <vt:variant>
        <vt:i4>5</vt:i4>
      </vt:variant>
      <vt:variant>
        <vt:lpwstr>http://www.nevo.co.il/Law_word/law06/tak-8162.pdf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הבנקאות (שירות ללקוח) (העברת מידע ממנפיק לתאגיד בנקאי), תשע"ט-2019</vt:lpwstr>
  </property>
  <property fmtid="{D5CDD505-2E9C-101B-9397-08002B2CF9AE}" pid="4" name="LAWNUMBER">
    <vt:lpwstr>0062</vt:lpwstr>
  </property>
  <property fmtid="{D5CDD505-2E9C-101B-9397-08002B2CF9AE}" pid="5" name="TYPE">
    <vt:lpwstr>01</vt:lpwstr>
  </property>
  <property fmtid="{D5CDD505-2E9C-101B-9397-08002B2CF9AE}" pid="6" name="CHNAME">
    <vt:lpwstr>בנקאות</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_samchut">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בנקאות</vt:lpwstr>
  </property>
  <property fmtid="{D5CDD505-2E9C-101B-9397-08002B2CF9AE}" pid="22" name="NOSE41">
    <vt:lpwstr>שירות ללקוח</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הבנקאות (שירות ללקוח)</vt:lpwstr>
  </property>
  <property fmtid="{D5CDD505-2E9C-101B-9397-08002B2CF9AE}" pid="60" name="MEKOR_SAIF1">
    <vt:lpwstr>7זXגX</vt:lpwstr>
  </property>
  <property fmtid="{D5CDD505-2E9C-101B-9397-08002B2CF9AE}" pid="61" name="MEKORSAMCHUT">
    <vt:lpwstr/>
  </property>
  <property fmtid="{D5CDD505-2E9C-101B-9397-08002B2CF9AE}" pid="62" name="LINKK2">
    <vt:lpwstr/>
  </property>
  <property fmtid="{D5CDD505-2E9C-101B-9397-08002B2CF9AE}" pid="63" name="LINKK3">
    <vt:lpwstr/>
  </property>
  <property fmtid="{D5CDD505-2E9C-101B-9397-08002B2CF9AE}" pid="64" name="LINKK4">
    <vt:lpwstr/>
  </property>
  <property fmtid="{D5CDD505-2E9C-101B-9397-08002B2CF9AE}" pid="65" name="LINKK1">
    <vt:lpwstr>http://www.nevo.co.il/Law_word/law06/tak-8162.pdf;‎רשומות - תקנות כלליות#פורסמו ק"ת ‏תשע"ט מס' 8162 #מיום 3.2.2019 עמ' 1964‏</vt:lpwstr>
  </property>
</Properties>
</file>