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E363" w14:textId="77777777" w:rsidR="003851E4" w:rsidRDefault="00C0456E" w:rsidP="00912A25">
      <w:pPr>
        <w:pStyle w:val="big-header"/>
        <w:ind w:left="0" w:right="1134"/>
        <w:rPr>
          <w:rFonts w:hint="cs"/>
          <w:rtl/>
        </w:rPr>
      </w:pPr>
      <w:r>
        <w:rPr>
          <w:rtl/>
        </w:rPr>
        <w:t xml:space="preserve">תקנות </w:t>
      </w:r>
      <w:r w:rsidR="007A357E">
        <w:rPr>
          <w:rFonts w:hint="cs"/>
          <w:rtl/>
        </w:rPr>
        <w:t xml:space="preserve">הגנה על </w:t>
      </w:r>
      <w:r>
        <w:rPr>
          <w:rtl/>
        </w:rPr>
        <w:t>בריאות הציבור (מזון) (</w:t>
      </w:r>
      <w:r w:rsidR="004E573A">
        <w:rPr>
          <w:rFonts w:hint="cs"/>
          <w:rtl/>
        </w:rPr>
        <w:t>מתן תעודת שחרור למזון רגיש מסוים המיובא על ידי יבואן נאות) (הוראת שעה</w:t>
      </w:r>
      <w:r w:rsidR="007A357E">
        <w:rPr>
          <w:rFonts w:hint="cs"/>
          <w:rtl/>
        </w:rPr>
        <w:t xml:space="preserve">), </w:t>
      </w:r>
      <w:r w:rsidR="004E573A">
        <w:rPr>
          <w:rFonts w:hint="cs"/>
          <w:rtl/>
        </w:rPr>
        <w:t>תשפ"ג-2022</w:t>
      </w:r>
    </w:p>
    <w:p w14:paraId="7C591C76" w14:textId="77777777" w:rsidR="003851E4" w:rsidRDefault="003851E4" w:rsidP="003851E4">
      <w:pPr>
        <w:spacing w:line="320" w:lineRule="auto"/>
        <w:jc w:val="left"/>
        <w:rPr>
          <w:rFonts w:hint="cs"/>
          <w:rtl/>
        </w:rPr>
      </w:pPr>
    </w:p>
    <w:p w14:paraId="01A5D05C" w14:textId="77777777" w:rsidR="0073772B" w:rsidRDefault="0073772B" w:rsidP="003851E4">
      <w:pPr>
        <w:spacing w:line="320" w:lineRule="auto"/>
        <w:jc w:val="left"/>
        <w:rPr>
          <w:rFonts w:hint="cs"/>
          <w:rtl/>
        </w:rPr>
      </w:pPr>
    </w:p>
    <w:p w14:paraId="513705B4" w14:textId="77777777" w:rsidR="003851E4" w:rsidRPr="003851E4" w:rsidRDefault="003851E4" w:rsidP="003851E4">
      <w:pPr>
        <w:spacing w:line="320" w:lineRule="auto"/>
        <w:jc w:val="left"/>
        <w:rPr>
          <w:rFonts w:cs="Miriam" w:hint="cs"/>
          <w:szCs w:val="22"/>
          <w:rtl/>
        </w:rPr>
      </w:pPr>
      <w:r w:rsidRPr="003851E4">
        <w:rPr>
          <w:rFonts w:cs="Miriam"/>
          <w:szCs w:val="22"/>
          <w:rtl/>
        </w:rPr>
        <w:t>בריאות</w:t>
      </w:r>
      <w:r w:rsidRPr="003851E4">
        <w:rPr>
          <w:rFonts w:cs="FrankRuehl"/>
          <w:szCs w:val="26"/>
          <w:rtl/>
        </w:rPr>
        <w:t xml:space="preserve"> – בריאות הציבור (מזון) – אריזה וסימון</w:t>
      </w:r>
    </w:p>
    <w:p w14:paraId="46E2B1A5" w14:textId="77777777" w:rsidR="00C0456E" w:rsidRDefault="00C045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3300" w:rsidRPr="00CA3300" w14:paraId="21F74BA2" w14:textId="77777777" w:rsidTr="00CA3300">
        <w:tblPrEx>
          <w:tblCellMar>
            <w:top w:w="0" w:type="dxa"/>
            <w:bottom w:w="0" w:type="dxa"/>
          </w:tblCellMar>
        </w:tblPrEx>
        <w:tc>
          <w:tcPr>
            <w:tcW w:w="1247" w:type="dxa"/>
          </w:tcPr>
          <w:p w14:paraId="01C5D16D" w14:textId="77777777" w:rsidR="00CA3300" w:rsidRPr="00CA3300" w:rsidRDefault="00CA3300" w:rsidP="00CA3300">
            <w:pPr>
              <w:spacing w:line="240" w:lineRule="auto"/>
              <w:jc w:val="left"/>
              <w:rPr>
                <w:rFonts w:cs="Frankruhel"/>
                <w:sz w:val="24"/>
                <w:rtl/>
              </w:rPr>
            </w:pPr>
            <w:r>
              <w:rPr>
                <w:rFonts w:cs="Times New Roman"/>
                <w:sz w:val="24"/>
                <w:rtl/>
              </w:rPr>
              <w:t xml:space="preserve">סעיף 1 </w:t>
            </w:r>
          </w:p>
        </w:tc>
        <w:tc>
          <w:tcPr>
            <w:tcW w:w="5669" w:type="dxa"/>
          </w:tcPr>
          <w:p w14:paraId="1CFFE4D8" w14:textId="77777777" w:rsidR="00CA3300" w:rsidRPr="00CA3300" w:rsidRDefault="00CA3300" w:rsidP="00CA3300">
            <w:pPr>
              <w:spacing w:line="240" w:lineRule="auto"/>
              <w:jc w:val="left"/>
              <w:rPr>
                <w:rFonts w:cs="Frankruhel"/>
                <w:sz w:val="24"/>
                <w:rtl/>
              </w:rPr>
            </w:pPr>
            <w:r>
              <w:rPr>
                <w:rFonts w:cs="Times New Roman"/>
                <w:sz w:val="24"/>
                <w:rtl/>
              </w:rPr>
              <w:t>הגדרות</w:t>
            </w:r>
          </w:p>
        </w:tc>
        <w:tc>
          <w:tcPr>
            <w:tcW w:w="567" w:type="dxa"/>
          </w:tcPr>
          <w:p w14:paraId="1FFAE653" w14:textId="77777777" w:rsidR="00CA3300" w:rsidRPr="00CA3300" w:rsidRDefault="00CA3300" w:rsidP="00CA3300">
            <w:pPr>
              <w:spacing w:line="240" w:lineRule="auto"/>
              <w:jc w:val="left"/>
              <w:rPr>
                <w:rStyle w:val="Hyperlink"/>
                <w:rtl/>
              </w:rPr>
            </w:pPr>
            <w:hyperlink w:anchor="Seif1" w:tooltip="הגדרות" w:history="1">
              <w:r w:rsidRPr="00CA3300">
                <w:rPr>
                  <w:rStyle w:val="Hyperlink"/>
                </w:rPr>
                <w:t>Go</w:t>
              </w:r>
            </w:hyperlink>
          </w:p>
        </w:tc>
        <w:tc>
          <w:tcPr>
            <w:tcW w:w="850" w:type="dxa"/>
          </w:tcPr>
          <w:p w14:paraId="7762BCF0" w14:textId="77777777" w:rsidR="00CA3300" w:rsidRPr="00CA3300" w:rsidRDefault="00CA3300" w:rsidP="00CA33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A3300" w:rsidRPr="00CA3300" w14:paraId="394C5FA9" w14:textId="77777777" w:rsidTr="00CA3300">
        <w:tblPrEx>
          <w:tblCellMar>
            <w:top w:w="0" w:type="dxa"/>
            <w:bottom w:w="0" w:type="dxa"/>
          </w:tblCellMar>
        </w:tblPrEx>
        <w:tc>
          <w:tcPr>
            <w:tcW w:w="1247" w:type="dxa"/>
          </w:tcPr>
          <w:p w14:paraId="271D56DA" w14:textId="77777777" w:rsidR="00CA3300" w:rsidRPr="00CA3300" w:rsidRDefault="00CA3300" w:rsidP="00CA3300">
            <w:pPr>
              <w:spacing w:line="240" w:lineRule="auto"/>
              <w:jc w:val="left"/>
              <w:rPr>
                <w:rFonts w:cs="Frankruhel"/>
                <w:sz w:val="24"/>
                <w:rtl/>
              </w:rPr>
            </w:pPr>
            <w:r>
              <w:rPr>
                <w:rFonts w:cs="Times New Roman"/>
                <w:sz w:val="24"/>
                <w:rtl/>
              </w:rPr>
              <w:t xml:space="preserve">סעיף 2 </w:t>
            </w:r>
          </w:p>
        </w:tc>
        <w:tc>
          <w:tcPr>
            <w:tcW w:w="5669" w:type="dxa"/>
          </w:tcPr>
          <w:p w14:paraId="2B99AA3C" w14:textId="77777777" w:rsidR="00CA3300" w:rsidRPr="00CA3300" w:rsidRDefault="00CA3300" w:rsidP="00CA3300">
            <w:pPr>
              <w:spacing w:line="240" w:lineRule="auto"/>
              <w:jc w:val="left"/>
              <w:rPr>
                <w:rFonts w:cs="Frankruhel"/>
                <w:sz w:val="24"/>
                <w:rtl/>
              </w:rPr>
            </w:pPr>
            <w:r>
              <w:rPr>
                <w:rFonts w:cs="Times New Roman"/>
                <w:sz w:val="24"/>
                <w:rtl/>
              </w:rPr>
              <w:t>הוראת שעה</w:t>
            </w:r>
          </w:p>
        </w:tc>
        <w:tc>
          <w:tcPr>
            <w:tcW w:w="567" w:type="dxa"/>
          </w:tcPr>
          <w:p w14:paraId="41248CC0" w14:textId="77777777" w:rsidR="00CA3300" w:rsidRPr="00CA3300" w:rsidRDefault="00CA3300" w:rsidP="00CA3300">
            <w:pPr>
              <w:spacing w:line="240" w:lineRule="auto"/>
              <w:jc w:val="left"/>
              <w:rPr>
                <w:rStyle w:val="Hyperlink"/>
                <w:rtl/>
              </w:rPr>
            </w:pPr>
            <w:hyperlink w:anchor="Seif2" w:tooltip="הוראת שעה" w:history="1">
              <w:r w:rsidRPr="00CA3300">
                <w:rPr>
                  <w:rStyle w:val="Hyperlink"/>
                </w:rPr>
                <w:t>Go</w:t>
              </w:r>
            </w:hyperlink>
          </w:p>
        </w:tc>
        <w:tc>
          <w:tcPr>
            <w:tcW w:w="850" w:type="dxa"/>
          </w:tcPr>
          <w:p w14:paraId="32386A22" w14:textId="77777777" w:rsidR="00CA3300" w:rsidRPr="00CA3300" w:rsidRDefault="00CA3300" w:rsidP="00CA33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A3300" w:rsidRPr="00CA3300" w14:paraId="7B51E600" w14:textId="77777777" w:rsidTr="00CA3300">
        <w:tblPrEx>
          <w:tblCellMar>
            <w:top w:w="0" w:type="dxa"/>
            <w:bottom w:w="0" w:type="dxa"/>
          </w:tblCellMar>
        </w:tblPrEx>
        <w:tc>
          <w:tcPr>
            <w:tcW w:w="1247" w:type="dxa"/>
          </w:tcPr>
          <w:p w14:paraId="41FEB0E8" w14:textId="77777777" w:rsidR="00CA3300" w:rsidRPr="00CA3300" w:rsidRDefault="00CA3300" w:rsidP="00CA3300">
            <w:pPr>
              <w:spacing w:line="240" w:lineRule="auto"/>
              <w:jc w:val="left"/>
              <w:rPr>
                <w:rFonts w:cs="Frankruhel"/>
                <w:sz w:val="24"/>
                <w:rtl/>
              </w:rPr>
            </w:pPr>
          </w:p>
        </w:tc>
        <w:tc>
          <w:tcPr>
            <w:tcW w:w="5669" w:type="dxa"/>
          </w:tcPr>
          <w:p w14:paraId="62D59E4E" w14:textId="77777777" w:rsidR="00CA3300" w:rsidRPr="00CA3300" w:rsidRDefault="00CA3300" w:rsidP="00CA3300">
            <w:pPr>
              <w:spacing w:line="240" w:lineRule="auto"/>
              <w:jc w:val="left"/>
              <w:rPr>
                <w:rFonts w:cs="Frankruhel"/>
                <w:sz w:val="24"/>
                <w:rtl/>
              </w:rPr>
            </w:pPr>
            <w:r>
              <w:rPr>
                <w:rFonts w:cs="Times New Roman"/>
                <w:sz w:val="24"/>
                <w:rtl/>
              </w:rPr>
              <w:t>תוספת</w:t>
            </w:r>
          </w:p>
        </w:tc>
        <w:tc>
          <w:tcPr>
            <w:tcW w:w="567" w:type="dxa"/>
          </w:tcPr>
          <w:p w14:paraId="3826F100" w14:textId="77777777" w:rsidR="00CA3300" w:rsidRPr="00CA3300" w:rsidRDefault="00CA3300" w:rsidP="00CA3300">
            <w:pPr>
              <w:spacing w:line="240" w:lineRule="auto"/>
              <w:jc w:val="left"/>
              <w:rPr>
                <w:rStyle w:val="Hyperlink"/>
                <w:rtl/>
              </w:rPr>
            </w:pPr>
            <w:hyperlink w:anchor="med0" w:tooltip="תוספת" w:history="1">
              <w:r w:rsidRPr="00CA3300">
                <w:rPr>
                  <w:rStyle w:val="Hyperlink"/>
                </w:rPr>
                <w:t>Go</w:t>
              </w:r>
            </w:hyperlink>
          </w:p>
        </w:tc>
        <w:tc>
          <w:tcPr>
            <w:tcW w:w="850" w:type="dxa"/>
          </w:tcPr>
          <w:p w14:paraId="48F85E99" w14:textId="77777777" w:rsidR="00CA3300" w:rsidRPr="00CA3300" w:rsidRDefault="00CA3300" w:rsidP="00CA33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FF186B6" w14:textId="77777777" w:rsidR="00C0456E" w:rsidRDefault="00C0456E">
      <w:pPr>
        <w:pStyle w:val="big-header"/>
        <w:ind w:left="0" w:right="1134"/>
        <w:rPr>
          <w:rtl/>
        </w:rPr>
      </w:pPr>
    </w:p>
    <w:p w14:paraId="3FC9BF92" w14:textId="77777777" w:rsidR="00C0456E" w:rsidRDefault="00C0456E" w:rsidP="00912A25">
      <w:pPr>
        <w:pStyle w:val="big-header"/>
        <w:ind w:left="0" w:right="1134"/>
        <w:rPr>
          <w:rStyle w:val="default"/>
          <w:rFonts w:cs="FrankRuehl" w:hint="cs"/>
          <w:rtl/>
        </w:rPr>
      </w:pPr>
      <w:r>
        <w:rPr>
          <w:rtl/>
        </w:rPr>
        <w:br w:type="page"/>
      </w:r>
      <w:r w:rsidR="004E573A">
        <w:rPr>
          <w:rtl/>
        </w:rPr>
        <w:lastRenderedPageBreak/>
        <w:t xml:space="preserve">תקנות </w:t>
      </w:r>
      <w:r w:rsidR="004E573A">
        <w:rPr>
          <w:rFonts w:hint="cs"/>
          <w:rtl/>
        </w:rPr>
        <w:t xml:space="preserve">הגנה על </w:t>
      </w:r>
      <w:r w:rsidR="004E573A">
        <w:rPr>
          <w:rtl/>
        </w:rPr>
        <w:t>בריאות הציבור (מזון) (</w:t>
      </w:r>
      <w:r w:rsidR="004E573A">
        <w:rPr>
          <w:rFonts w:hint="cs"/>
          <w:rtl/>
        </w:rPr>
        <w:t>מתן תעודת שחרור למזון רגיש מסוים המיובא על ידי יבואן נאות) (הוראת שעה), תשפ"ג-2022</w:t>
      </w:r>
      <w:r w:rsidR="00912A25">
        <w:rPr>
          <w:rStyle w:val="a7"/>
          <w:rtl/>
        </w:rPr>
        <w:footnoteReference w:customMarkFollows="1" w:id="1"/>
        <w:t>*</w:t>
      </w:r>
    </w:p>
    <w:p w14:paraId="39C71A82" w14:textId="77777777" w:rsidR="00C0456E" w:rsidRDefault="00C0456E" w:rsidP="00226B4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9272B1">
        <w:rPr>
          <w:rStyle w:val="default"/>
          <w:rFonts w:cs="FrankRuehl" w:hint="cs"/>
          <w:rtl/>
        </w:rPr>
        <w:t>סעי</w:t>
      </w:r>
      <w:r w:rsidR="004E573A">
        <w:rPr>
          <w:rStyle w:val="default"/>
          <w:rFonts w:cs="FrankRuehl" w:hint="cs"/>
          <w:rtl/>
        </w:rPr>
        <w:t>ף</w:t>
      </w:r>
      <w:r w:rsidR="009272B1">
        <w:rPr>
          <w:rStyle w:val="default"/>
          <w:rFonts w:cs="FrankRuehl" w:hint="cs"/>
          <w:rtl/>
        </w:rPr>
        <w:t xml:space="preserve"> </w:t>
      </w:r>
      <w:r w:rsidR="002D1E11">
        <w:rPr>
          <w:rStyle w:val="default"/>
          <w:rFonts w:cs="FrankRuehl" w:hint="cs"/>
          <w:rtl/>
        </w:rPr>
        <w:t xml:space="preserve">54(ב) </w:t>
      </w:r>
      <w:r w:rsidR="007A357E">
        <w:rPr>
          <w:rStyle w:val="default"/>
          <w:rFonts w:cs="FrankRuehl" w:hint="cs"/>
          <w:rtl/>
        </w:rPr>
        <w:t xml:space="preserve">לחוק הגנה על </w:t>
      </w:r>
      <w:r>
        <w:rPr>
          <w:rStyle w:val="default"/>
          <w:rFonts w:cs="FrankRuehl" w:hint="cs"/>
          <w:rtl/>
        </w:rPr>
        <w:t xml:space="preserve">בריאות הציבור (מזון), </w:t>
      </w:r>
      <w:r w:rsidR="007A357E">
        <w:rPr>
          <w:rStyle w:val="default"/>
          <w:rFonts w:cs="FrankRuehl" w:hint="cs"/>
          <w:rtl/>
        </w:rPr>
        <w:t xml:space="preserve">התשע"ו-2015 (להלן </w:t>
      </w:r>
      <w:r w:rsidR="007A357E">
        <w:rPr>
          <w:rStyle w:val="default"/>
          <w:rFonts w:cs="FrankRuehl"/>
          <w:rtl/>
        </w:rPr>
        <w:t>–</w:t>
      </w:r>
      <w:r w:rsidR="007A357E">
        <w:rPr>
          <w:rStyle w:val="default"/>
          <w:rFonts w:cs="FrankRuehl" w:hint="cs"/>
          <w:rtl/>
        </w:rPr>
        <w:t xml:space="preserve"> החוק)</w:t>
      </w:r>
      <w:r>
        <w:rPr>
          <w:rStyle w:val="default"/>
          <w:rFonts w:cs="FrankRuehl" w:hint="cs"/>
          <w:rtl/>
        </w:rPr>
        <w:t xml:space="preserve">, </w:t>
      </w:r>
      <w:r w:rsidR="002D1E11">
        <w:rPr>
          <w:rStyle w:val="default"/>
          <w:rFonts w:cs="FrankRuehl" w:hint="cs"/>
          <w:rtl/>
        </w:rPr>
        <w:t>ו</w:t>
      </w:r>
      <w:r w:rsidR="004E573A">
        <w:rPr>
          <w:rStyle w:val="default"/>
          <w:rFonts w:cs="FrankRuehl" w:hint="cs"/>
          <w:rtl/>
        </w:rPr>
        <w:t xml:space="preserve">לאחר </w:t>
      </w:r>
      <w:r w:rsidR="002D1E11">
        <w:rPr>
          <w:rStyle w:val="default"/>
          <w:rFonts w:cs="FrankRuehl" w:hint="cs"/>
          <w:rtl/>
        </w:rPr>
        <w:t>התייעצות עם שר</w:t>
      </w:r>
      <w:r w:rsidR="004E573A">
        <w:rPr>
          <w:rStyle w:val="default"/>
          <w:rFonts w:cs="FrankRuehl" w:hint="cs"/>
          <w:rtl/>
        </w:rPr>
        <w:t>ת</w:t>
      </w:r>
      <w:r w:rsidR="002D1E11">
        <w:rPr>
          <w:rStyle w:val="default"/>
          <w:rFonts w:cs="FrankRuehl" w:hint="cs"/>
          <w:rtl/>
        </w:rPr>
        <w:t xml:space="preserve"> הכלכלה</w:t>
      </w:r>
      <w:r w:rsidR="007A357E">
        <w:rPr>
          <w:rStyle w:val="default"/>
          <w:rFonts w:cs="FrankRuehl" w:hint="cs"/>
          <w:rtl/>
        </w:rPr>
        <w:t xml:space="preserve">, </w:t>
      </w:r>
      <w:r>
        <w:rPr>
          <w:rStyle w:val="default"/>
          <w:rFonts w:cs="FrankRuehl" w:hint="cs"/>
          <w:rtl/>
        </w:rPr>
        <w:t>אני</w:t>
      </w:r>
      <w:r w:rsidR="002D1E11">
        <w:rPr>
          <w:rStyle w:val="default"/>
          <w:rFonts w:cs="FrankRuehl" w:hint="cs"/>
          <w:rtl/>
        </w:rPr>
        <w:t xml:space="preserve"> מתקין תקנות אלה</w:t>
      </w:r>
      <w:r>
        <w:rPr>
          <w:rStyle w:val="default"/>
          <w:rFonts w:cs="FrankRuehl" w:hint="cs"/>
          <w:rtl/>
        </w:rPr>
        <w:t>:</w:t>
      </w:r>
    </w:p>
    <w:p w14:paraId="2650B83B" w14:textId="77777777" w:rsidR="00C0456E" w:rsidRDefault="00C0456E">
      <w:pPr>
        <w:pStyle w:val="P00"/>
        <w:spacing w:before="72"/>
        <w:ind w:left="0" w:right="1134"/>
        <w:rPr>
          <w:rStyle w:val="big-number"/>
          <w:rFonts w:cs="FrankRuehl"/>
          <w:sz w:val="26"/>
          <w:szCs w:val="26"/>
          <w:rtl/>
        </w:rPr>
      </w:pPr>
      <w:bookmarkStart w:id="0" w:name="Seif1"/>
      <w:bookmarkEnd w:id="0"/>
      <w:r>
        <w:rPr>
          <w:lang w:val="he-IL"/>
        </w:rPr>
        <w:pict w14:anchorId="21EB78F4">
          <v:rect id="_x0000_s2050" style="position:absolute;left:0;text-align:left;margin-left:464.5pt;margin-top:8.05pt;width:75.05pt;height:13.25pt;z-index:251657216" o:allowincell="f" filled="f" stroked="f" strokecolor="lime" strokeweight=".25pt">
            <v:textbox inset="0,0,0,0">
              <w:txbxContent>
                <w:p w14:paraId="3E031117" w14:textId="77777777" w:rsidR="00D72CDA" w:rsidRDefault="002D1E11">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2D1E11">
        <w:rPr>
          <w:rStyle w:val="big-number"/>
          <w:rFonts w:cs="FrankRuehl" w:hint="cs"/>
          <w:sz w:val="26"/>
          <w:szCs w:val="26"/>
          <w:rtl/>
        </w:rPr>
        <w:t xml:space="preserve">בתקנות אלה </w:t>
      </w:r>
      <w:r w:rsidR="002D1E11">
        <w:rPr>
          <w:rStyle w:val="big-number"/>
          <w:rFonts w:cs="FrankRuehl"/>
          <w:sz w:val="26"/>
          <w:szCs w:val="26"/>
          <w:rtl/>
        </w:rPr>
        <w:t>–</w:t>
      </w:r>
    </w:p>
    <w:p w14:paraId="01B88275" w14:textId="77777777" w:rsidR="002D1E11" w:rsidRPr="002D1E11" w:rsidRDefault="002D1E11">
      <w:pPr>
        <w:pStyle w:val="P00"/>
        <w:spacing w:before="72"/>
        <w:ind w:left="0" w:right="1134"/>
        <w:rPr>
          <w:rStyle w:val="big-number"/>
          <w:rFonts w:cs="FrankRuehl"/>
          <w:szCs w:val="26"/>
          <w:rtl/>
        </w:rPr>
      </w:pPr>
      <w:r w:rsidRPr="002D1E11">
        <w:rPr>
          <w:rStyle w:val="big-number"/>
          <w:rFonts w:cs="FrankRuehl"/>
          <w:szCs w:val="26"/>
          <w:rtl/>
        </w:rPr>
        <w:tab/>
      </w:r>
      <w:r w:rsidRPr="002D1E11">
        <w:rPr>
          <w:rStyle w:val="big-number"/>
          <w:rFonts w:cs="FrankRuehl" w:hint="cs"/>
          <w:szCs w:val="26"/>
          <w:rtl/>
        </w:rPr>
        <w:t>"</w:t>
      </w:r>
      <w:r w:rsidR="004E573A">
        <w:rPr>
          <w:rStyle w:val="big-number"/>
          <w:rFonts w:cs="FrankRuehl" w:hint="cs"/>
          <w:szCs w:val="26"/>
          <w:rtl/>
        </w:rPr>
        <w:t xml:space="preserve">יבואן נאות" </w:t>
      </w:r>
      <w:r w:rsidR="004E573A">
        <w:rPr>
          <w:rStyle w:val="big-number"/>
          <w:rFonts w:cs="FrankRuehl"/>
          <w:szCs w:val="26"/>
          <w:rtl/>
        </w:rPr>
        <w:t>–</w:t>
      </w:r>
      <w:r w:rsidR="004E573A">
        <w:rPr>
          <w:rStyle w:val="big-number"/>
          <w:rFonts w:cs="FrankRuehl" w:hint="cs"/>
          <w:szCs w:val="26"/>
          <w:rtl/>
        </w:rPr>
        <w:t xml:space="preserve"> יבואן הרשום כיבואן נאות לפי סעיף 115 לחוק</w:t>
      </w:r>
      <w:r w:rsidRPr="002D1E11">
        <w:rPr>
          <w:rStyle w:val="big-number"/>
          <w:rFonts w:cs="FrankRuehl" w:hint="cs"/>
          <w:szCs w:val="26"/>
          <w:rtl/>
        </w:rPr>
        <w:t>;</w:t>
      </w:r>
    </w:p>
    <w:p w14:paraId="1E717FDF" w14:textId="77777777" w:rsidR="002D1E11" w:rsidRDefault="002D1E11">
      <w:pPr>
        <w:pStyle w:val="P00"/>
        <w:spacing w:before="72"/>
        <w:ind w:left="0" w:right="1134"/>
        <w:rPr>
          <w:rStyle w:val="big-number"/>
          <w:rFonts w:cs="FrankRuehl"/>
          <w:szCs w:val="26"/>
          <w:rtl/>
        </w:rPr>
      </w:pPr>
      <w:r w:rsidRPr="002D1E11">
        <w:rPr>
          <w:rStyle w:val="big-number"/>
          <w:rFonts w:cs="FrankRuehl"/>
          <w:szCs w:val="26"/>
          <w:rtl/>
        </w:rPr>
        <w:tab/>
      </w:r>
      <w:r w:rsidRPr="002D1E11">
        <w:rPr>
          <w:rStyle w:val="big-number"/>
          <w:rFonts w:cs="FrankRuehl" w:hint="cs"/>
          <w:szCs w:val="26"/>
          <w:rtl/>
        </w:rPr>
        <w:t>"</w:t>
      </w:r>
      <w:r w:rsidR="004E573A">
        <w:rPr>
          <w:rStyle w:val="big-number"/>
          <w:rFonts w:cs="FrankRuehl" w:hint="cs"/>
          <w:szCs w:val="26"/>
          <w:rtl/>
        </w:rPr>
        <w:t xml:space="preserve">מזון רגיש מסוים" </w:t>
      </w:r>
      <w:r w:rsidR="004E573A">
        <w:rPr>
          <w:rStyle w:val="big-number"/>
          <w:rFonts w:cs="FrankRuehl"/>
          <w:szCs w:val="26"/>
          <w:rtl/>
        </w:rPr>
        <w:t>–</w:t>
      </w:r>
      <w:r w:rsidR="004E573A">
        <w:rPr>
          <w:rStyle w:val="big-number"/>
          <w:rFonts w:cs="FrankRuehl" w:hint="cs"/>
          <w:szCs w:val="26"/>
          <w:rtl/>
        </w:rPr>
        <w:t xml:space="preserve"> מזון רגיש כמפורט בתוספת</w:t>
      </w:r>
      <w:r>
        <w:rPr>
          <w:rStyle w:val="big-number"/>
          <w:rFonts w:cs="FrankRuehl" w:hint="cs"/>
          <w:szCs w:val="26"/>
          <w:rtl/>
        </w:rPr>
        <w:t>;</w:t>
      </w:r>
    </w:p>
    <w:p w14:paraId="03435ECA" w14:textId="77777777" w:rsidR="002D1E11" w:rsidRDefault="002D1E11">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w:t>
      </w:r>
      <w:r w:rsidR="004E573A">
        <w:rPr>
          <w:rStyle w:val="big-number"/>
          <w:rFonts w:cs="FrankRuehl" w:hint="cs"/>
          <w:szCs w:val="26"/>
          <w:rtl/>
        </w:rPr>
        <w:t xml:space="preserve">משלוח </w:t>
      </w:r>
      <w:r>
        <w:rPr>
          <w:rStyle w:val="big-number"/>
          <w:rFonts w:cs="FrankRuehl" w:hint="cs"/>
          <w:szCs w:val="26"/>
          <w:rtl/>
        </w:rPr>
        <w:t>מזון רגיש</w:t>
      </w:r>
      <w:r w:rsidR="004E573A">
        <w:rPr>
          <w:rStyle w:val="big-number"/>
          <w:rFonts w:cs="FrankRuehl" w:hint="cs"/>
          <w:szCs w:val="26"/>
          <w:rtl/>
        </w:rPr>
        <w:t xml:space="preserve"> מסוים</w:t>
      </w:r>
      <w:r>
        <w:rPr>
          <w:rStyle w:val="big-number"/>
          <w:rFonts w:cs="FrankRuehl" w:hint="cs"/>
          <w:szCs w:val="26"/>
          <w:rtl/>
        </w:rPr>
        <w:t xml:space="preserve">" </w:t>
      </w:r>
      <w:r>
        <w:rPr>
          <w:rStyle w:val="big-number"/>
          <w:rFonts w:cs="FrankRuehl"/>
          <w:szCs w:val="26"/>
          <w:rtl/>
        </w:rPr>
        <w:t>–</w:t>
      </w:r>
      <w:r>
        <w:rPr>
          <w:rStyle w:val="big-number"/>
          <w:rFonts w:cs="FrankRuehl" w:hint="cs"/>
          <w:szCs w:val="26"/>
          <w:rtl/>
        </w:rPr>
        <w:t xml:space="preserve"> </w:t>
      </w:r>
      <w:r w:rsidR="004E573A">
        <w:rPr>
          <w:rStyle w:val="big-number"/>
          <w:rFonts w:cs="FrankRuehl" w:hint="cs"/>
          <w:szCs w:val="26"/>
          <w:rtl/>
        </w:rPr>
        <w:t>משלוח הכולל מזון רגיש מסוים בלבד או משלוח הכולל מזון רגיש מסוים ומזון רגיל בלבד, שהגיע לתחנת הסגר בתקופה הקובעת או שהגיע לתחנת הסגר לפני התקופה הקובעת וערב התקופה הקובעת טרם ניתנה לו תעודת שחרור;</w:t>
      </w:r>
    </w:p>
    <w:p w14:paraId="4A982E85" w14:textId="77777777" w:rsidR="004E573A" w:rsidRDefault="004E573A">
      <w:pPr>
        <w:pStyle w:val="P00"/>
        <w:spacing w:before="72"/>
        <w:ind w:left="0" w:right="1134"/>
        <w:rPr>
          <w:rStyle w:val="big-number"/>
          <w:rFonts w:cs="FrankRuehl"/>
          <w:szCs w:val="26"/>
          <w:rtl/>
        </w:rPr>
      </w:pPr>
      <w:r>
        <w:rPr>
          <w:rStyle w:val="big-number"/>
          <w:rFonts w:cs="FrankRuehl"/>
          <w:szCs w:val="26"/>
          <w:rtl/>
        </w:rPr>
        <w:tab/>
      </w:r>
      <w:r>
        <w:rPr>
          <w:rStyle w:val="big-number"/>
          <w:rFonts w:cs="FrankRuehl" w:hint="cs"/>
          <w:szCs w:val="26"/>
          <w:rtl/>
        </w:rPr>
        <w:t xml:space="preserve">"התקופה הקובעת" </w:t>
      </w:r>
      <w:r w:rsidR="001E5E2F">
        <w:rPr>
          <w:rStyle w:val="big-number"/>
          <w:rFonts w:cs="FrankRuehl"/>
          <w:szCs w:val="26"/>
          <w:rtl/>
        </w:rPr>
        <w:t>–</w:t>
      </w:r>
      <w:r>
        <w:rPr>
          <w:rStyle w:val="big-number"/>
          <w:rFonts w:cs="FrankRuehl" w:hint="cs"/>
          <w:szCs w:val="26"/>
          <w:rtl/>
        </w:rPr>
        <w:t xml:space="preserve"> </w:t>
      </w:r>
      <w:r w:rsidR="001E5E2F">
        <w:rPr>
          <w:rStyle w:val="big-number"/>
          <w:rFonts w:cs="FrankRuehl" w:hint="cs"/>
          <w:szCs w:val="26"/>
          <w:rtl/>
        </w:rPr>
        <w:t>התקופה שמיום פרסומן של תקנות אלה עד יום ז' בטבת התשפ"ג (31 בדצמבר 2022).</w:t>
      </w:r>
    </w:p>
    <w:p w14:paraId="4B3D7491" w14:textId="77777777" w:rsidR="00C0456E" w:rsidRDefault="00C0456E" w:rsidP="00226B46">
      <w:pPr>
        <w:pStyle w:val="P00"/>
        <w:spacing w:before="72"/>
        <w:ind w:left="0" w:right="1134"/>
        <w:rPr>
          <w:rStyle w:val="default"/>
          <w:rFonts w:cs="FrankRuehl"/>
          <w:rtl/>
        </w:rPr>
      </w:pPr>
      <w:bookmarkStart w:id="1" w:name="Seif2"/>
      <w:bookmarkEnd w:id="1"/>
      <w:r>
        <w:rPr>
          <w:lang w:val="he-IL"/>
        </w:rPr>
        <w:pict w14:anchorId="618BDA8B">
          <v:rect id="_x0000_s2052" style="position:absolute;left:0;text-align:left;margin-left:464.5pt;margin-top:8.05pt;width:75.05pt;height:11.45pt;z-index:251658240" o:allowincell="f" filled="f" stroked="f" strokecolor="lime" strokeweight=".25pt">
            <v:textbox inset="0,0,0,0">
              <w:txbxContent>
                <w:p w14:paraId="7AF8CA77" w14:textId="77777777" w:rsidR="00226B46" w:rsidRDefault="001E5E2F" w:rsidP="00226B46">
                  <w:pPr>
                    <w:spacing w:line="160" w:lineRule="exact"/>
                    <w:jc w:val="left"/>
                    <w:rPr>
                      <w:rFonts w:cs="Miriam"/>
                      <w:noProof/>
                      <w:szCs w:val="18"/>
                      <w:rtl/>
                    </w:rPr>
                  </w:pPr>
                  <w:r>
                    <w:rPr>
                      <w:rFonts w:cs="Miriam" w:hint="cs"/>
                      <w:szCs w:val="18"/>
                      <w:rtl/>
                    </w:rPr>
                    <w:t>הוראת שעה</w:t>
                  </w:r>
                </w:p>
              </w:txbxContent>
            </v:textbox>
            <w10:anchorlock/>
          </v:rect>
        </w:pict>
      </w:r>
      <w:r>
        <w:rPr>
          <w:rStyle w:val="big-number"/>
          <w:rtl/>
        </w:rPr>
        <w:t>2.</w:t>
      </w:r>
      <w:r>
        <w:rPr>
          <w:rStyle w:val="big-number"/>
          <w:rtl/>
        </w:rPr>
        <w:tab/>
      </w:r>
      <w:r w:rsidR="001E5E2F">
        <w:rPr>
          <w:rStyle w:val="default"/>
          <w:rFonts w:cs="FrankRuehl" w:hint="cs"/>
          <w:rtl/>
        </w:rPr>
        <w:t>על משלוח מזון רגיש מסוים, המיובא בידי יבואן נאות, יחולו הקלות אלה:</w:t>
      </w:r>
    </w:p>
    <w:p w14:paraId="0FADBDC3" w14:textId="77777777" w:rsidR="001E5E2F" w:rsidRDefault="001E5E2F" w:rsidP="001E5E2F">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5830AC">
        <w:rPr>
          <w:rStyle w:val="default"/>
          <w:rFonts w:cs="FrankRuehl" w:hint="cs"/>
          <w:rtl/>
        </w:rPr>
        <w:t>לא יחול האמור בסעיף 86(א)(1) לחוק;</w:t>
      </w:r>
    </w:p>
    <w:p w14:paraId="1755A893" w14:textId="77777777" w:rsidR="005830AC" w:rsidRDefault="005830AC" w:rsidP="001E5E2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תעודת שחרור לגביו תינתן בדרך מקוונת, לא יאוחר מיום העבודה שלאחר יום קבלת הבקשה, ולגבי משלוח מזון רגיש מסוים </w:t>
      </w:r>
      <w:r w:rsidR="004972EB">
        <w:rPr>
          <w:rStyle w:val="default"/>
          <w:rFonts w:cs="FrankRuehl" w:hint="cs"/>
          <w:rtl/>
        </w:rPr>
        <w:t xml:space="preserve">שהגיע לתחנת הסגר לפני התקופה הקובעת </w:t>
      </w:r>
      <w:r w:rsidR="004972EB">
        <w:rPr>
          <w:rStyle w:val="default"/>
          <w:rFonts w:cs="FrankRuehl"/>
          <w:rtl/>
        </w:rPr>
        <w:t>–</w:t>
      </w:r>
      <w:r w:rsidR="004972EB">
        <w:rPr>
          <w:rStyle w:val="default"/>
          <w:rFonts w:cs="FrankRuehl" w:hint="cs"/>
          <w:rtl/>
        </w:rPr>
        <w:t xml:space="preserve"> לא יאוחר מיום העבודה שלאחר יום פרסומן של תקנות אלה, והכול למעט –</w:t>
      </w:r>
    </w:p>
    <w:p w14:paraId="4C30D4DC" w14:textId="77777777" w:rsidR="004972EB" w:rsidRDefault="004972EB" w:rsidP="004972E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בתקופה שבה המערכת המקוונת אינה פעילה או תקינה, ואז תינתן התעודה בהקדם האפשרי;</w:t>
      </w:r>
    </w:p>
    <w:p w14:paraId="0862E460" w14:textId="77777777" w:rsidR="004972EB" w:rsidRDefault="004972EB" w:rsidP="004972E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לגבי משלוח מזון הדורש בדיקה לפי סעיפים 86(א)(3) או (4) או 87 לחוק;</w:t>
      </w:r>
    </w:p>
    <w:p w14:paraId="54DFF24B" w14:textId="77777777" w:rsidR="004972EB" w:rsidRDefault="004972EB" w:rsidP="004972EB">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לגבי משלוח מזון שנדרש לגביו דיגום לפי תקנה 8 לתקנות הגנה על בריאות הציבור (מזון) (דיגום משלוח מזון רגיש לבדיקות מעבדה בתחנת הסגר), התש"ף-2020.</w:t>
      </w:r>
    </w:p>
    <w:p w14:paraId="2E5F02A9" w14:textId="77777777" w:rsidR="00656603" w:rsidRPr="00656603" w:rsidRDefault="00656603" w:rsidP="00656603">
      <w:pPr>
        <w:pStyle w:val="P00"/>
        <w:spacing w:before="72"/>
        <w:ind w:left="0" w:right="1134"/>
        <w:rPr>
          <w:rStyle w:val="default"/>
          <w:rFonts w:ascii="FrankRuehl" w:hAnsi="FrankRuehl" w:cs="FrankRuehl"/>
          <w:rtl/>
        </w:rPr>
      </w:pPr>
    </w:p>
    <w:p w14:paraId="0DF5D7F4" w14:textId="77777777" w:rsidR="00656603" w:rsidRPr="00656603" w:rsidRDefault="00656603" w:rsidP="00656603">
      <w:pPr>
        <w:pStyle w:val="medium2-header"/>
        <w:keepLines w:val="0"/>
        <w:spacing w:before="72"/>
        <w:ind w:left="0" w:right="1134"/>
        <w:rPr>
          <w:rFonts w:ascii="FrankRuehl" w:hAnsi="FrankRuehl"/>
          <w:noProof/>
          <w:rtl/>
        </w:rPr>
      </w:pPr>
      <w:bookmarkStart w:id="2" w:name="med0"/>
      <w:bookmarkEnd w:id="2"/>
      <w:r w:rsidRPr="00656603">
        <w:rPr>
          <w:rFonts w:ascii="FrankRuehl" w:hAnsi="FrankRuehl"/>
          <w:noProof/>
          <w:rtl/>
        </w:rPr>
        <w:t>תוספת</w:t>
      </w:r>
    </w:p>
    <w:p w14:paraId="2B6A54DA" w14:textId="77777777" w:rsidR="00656603" w:rsidRDefault="00656603" w:rsidP="00656603">
      <w:pPr>
        <w:pStyle w:val="P00"/>
        <w:spacing w:before="72"/>
        <w:ind w:left="0" w:right="1134"/>
        <w:jc w:val="center"/>
        <w:rPr>
          <w:rStyle w:val="default"/>
          <w:rFonts w:ascii="FrankRuehl" w:hAnsi="FrankRuehl" w:cs="FrankRuehl"/>
          <w:sz w:val="18"/>
          <w:szCs w:val="24"/>
          <w:rtl/>
        </w:rPr>
      </w:pPr>
      <w:r w:rsidRPr="00656603">
        <w:rPr>
          <w:rStyle w:val="default"/>
          <w:rFonts w:ascii="FrankRuehl" w:hAnsi="FrankRuehl" w:cs="FrankRuehl"/>
          <w:sz w:val="18"/>
          <w:szCs w:val="24"/>
          <w:rtl/>
        </w:rPr>
        <w:t>(</w:t>
      </w:r>
      <w:r w:rsidR="00B71D35">
        <w:rPr>
          <w:rStyle w:val="default"/>
          <w:rFonts w:ascii="FrankRuehl" w:hAnsi="FrankRuehl" w:cs="FrankRuehl" w:hint="cs"/>
          <w:sz w:val="18"/>
          <w:szCs w:val="24"/>
          <w:rtl/>
        </w:rPr>
        <w:t>תקנה 1</w:t>
      </w:r>
      <w:r w:rsidRPr="00656603">
        <w:rPr>
          <w:rStyle w:val="default"/>
          <w:rFonts w:ascii="FrankRuehl" w:hAnsi="FrankRuehl" w:cs="FrankRuehl"/>
          <w:sz w:val="18"/>
          <w:szCs w:val="24"/>
          <w:rtl/>
        </w:rPr>
        <w:t>)</w:t>
      </w:r>
    </w:p>
    <w:p w14:paraId="2946054A" w14:textId="77777777" w:rsidR="00B71D35" w:rsidRPr="00B71D35" w:rsidRDefault="004972EB" w:rsidP="00656603">
      <w:pPr>
        <w:pStyle w:val="P00"/>
        <w:spacing w:before="72"/>
        <w:ind w:left="0" w:right="1134"/>
        <w:jc w:val="center"/>
        <w:rPr>
          <w:rStyle w:val="default"/>
          <w:rFonts w:ascii="FrankRuehl" w:hAnsi="FrankRuehl" w:cs="FrankRuehl"/>
          <w:b/>
          <w:bCs/>
          <w:sz w:val="16"/>
          <w:szCs w:val="22"/>
          <w:rtl/>
        </w:rPr>
      </w:pPr>
      <w:r>
        <w:rPr>
          <w:rStyle w:val="default"/>
          <w:rFonts w:ascii="FrankRuehl" w:hAnsi="FrankRuehl" w:cs="FrankRuehl" w:hint="cs"/>
          <w:b/>
          <w:bCs/>
          <w:sz w:val="16"/>
          <w:szCs w:val="22"/>
          <w:rtl/>
        </w:rPr>
        <w:t>מזון רגיש מסוים</w:t>
      </w:r>
    </w:p>
    <w:p w14:paraId="7E45B667" w14:textId="77777777" w:rsidR="009272B1"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(1)</w:t>
      </w:r>
      <w:r>
        <w:rPr>
          <w:rStyle w:val="default"/>
          <w:rFonts w:ascii="FrankRuehl" w:hAnsi="FrankRuehl" w:cs="FrankRuehl"/>
          <w:rtl/>
        </w:rPr>
        <w:tab/>
      </w:r>
      <w:r w:rsidR="004972EB">
        <w:rPr>
          <w:rStyle w:val="default"/>
          <w:rFonts w:ascii="FrankRuehl" w:hAnsi="FrankRuehl" w:cs="FrankRuehl" w:hint="cs"/>
          <w:rtl/>
        </w:rPr>
        <w:t>ביצים ומוצריהן</w:t>
      </w:r>
      <w:r>
        <w:rPr>
          <w:rStyle w:val="default"/>
          <w:rFonts w:ascii="FrankRuehl" w:hAnsi="FrankRuehl" w:cs="FrankRuehl" w:hint="cs"/>
          <w:rtl/>
        </w:rPr>
        <w:t>;</w:t>
      </w:r>
    </w:p>
    <w:p w14:paraId="53739B68"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(2)</w:t>
      </w:r>
      <w:r>
        <w:rPr>
          <w:rStyle w:val="default"/>
          <w:rFonts w:ascii="FrankRuehl" w:hAnsi="FrankRuehl" w:cs="FrankRuehl"/>
          <w:rtl/>
        </w:rPr>
        <w:tab/>
      </w:r>
      <w:r w:rsidR="004972EB">
        <w:rPr>
          <w:rStyle w:val="default"/>
          <w:rFonts w:ascii="FrankRuehl" w:hAnsi="FrankRuehl" w:cs="FrankRuehl" w:hint="cs"/>
          <w:rtl/>
        </w:rPr>
        <w:t>דבש ומוצריו</w:t>
      </w:r>
      <w:r>
        <w:rPr>
          <w:rStyle w:val="default"/>
          <w:rFonts w:ascii="FrankRuehl" w:hAnsi="FrankRuehl" w:cs="FrankRuehl" w:hint="cs"/>
          <w:rtl/>
        </w:rPr>
        <w:t>;</w:t>
      </w:r>
    </w:p>
    <w:p w14:paraId="151DC6B7"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(3)</w:t>
      </w:r>
      <w:r>
        <w:rPr>
          <w:rStyle w:val="default"/>
          <w:rFonts w:ascii="FrankRuehl" w:hAnsi="FrankRuehl" w:cs="FrankRuehl"/>
          <w:rtl/>
        </w:rPr>
        <w:tab/>
      </w:r>
      <w:r w:rsidR="004972EB">
        <w:rPr>
          <w:rStyle w:val="default"/>
          <w:rFonts w:ascii="FrankRuehl" w:hAnsi="FrankRuehl" w:cs="FrankRuehl" w:hint="cs"/>
          <w:rtl/>
        </w:rPr>
        <w:t>מוצרים המכילים ג'לטין או קולגן או את שניהם</w:t>
      </w:r>
      <w:r>
        <w:rPr>
          <w:rStyle w:val="default"/>
          <w:rFonts w:ascii="FrankRuehl" w:hAnsi="FrankRuehl" w:cs="FrankRuehl" w:hint="cs"/>
          <w:rtl/>
        </w:rPr>
        <w:t>;</w:t>
      </w:r>
    </w:p>
    <w:p w14:paraId="325D1D78" w14:textId="77777777" w:rsidR="00B71D35" w:rsidRPr="004972EB" w:rsidRDefault="00B71D35" w:rsidP="008146E8">
      <w:pPr>
        <w:pStyle w:val="P00"/>
        <w:spacing w:before="72"/>
        <w:ind w:left="0" w:right="1134"/>
        <w:rPr>
          <w:rStyle w:val="default"/>
          <w:rFonts w:cs="FrankRuehl"/>
          <w:rtl/>
        </w:rPr>
      </w:pPr>
      <w:r w:rsidRPr="004972EB">
        <w:rPr>
          <w:rStyle w:val="default"/>
          <w:rFonts w:cs="FrankRuehl" w:hint="cs"/>
          <w:rtl/>
        </w:rPr>
        <w:t>(4)</w:t>
      </w:r>
      <w:r w:rsidRPr="004972EB">
        <w:rPr>
          <w:rStyle w:val="default"/>
          <w:rFonts w:cs="FrankRuehl"/>
          <w:rtl/>
        </w:rPr>
        <w:tab/>
      </w:r>
      <w:r w:rsidR="004972EB" w:rsidRPr="004972EB">
        <w:rPr>
          <w:rStyle w:val="default"/>
          <w:rFonts w:cs="FrankRuehl" w:hint="cs"/>
          <w:rtl/>
        </w:rPr>
        <w:t>שימורי מזון בעלי חמיצות נמוכה (</w:t>
      </w:r>
      <w:r w:rsidR="004972EB" w:rsidRPr="004972EB">
        <w:rPr>
          <w:rStyle w:val="default"/>
          <w:rFonts w:cs="FrankRuehl"/>
        </w:rPr>
        <w:t>PH &gt; 4.5</w:t>
      </w:r>
      <w:r w:rsidR="004972EB" w:rsidRPr="004972EB">
        <w:rPr>
          <w:rStyle w:val="default"/>
          <w:rFonts w:cs="FrankRuehl" w:hint="cs"/>
          <w:rtl/>
        </w:rPr>
        <w:t>)</w:t>
      </w:r>
      <w:r w:rsidRPr="004972EB">
        <w:rPr>
          <w:rStyle w:val="default"/>
          <w:rFonts w:cs="FrankRuehl" w:hint="cs"/>
          <w:rtl/>
        </w:rPr>
        <w:t>;</w:t>
      </w:r>
    </w:p>
    <w:p w14:paraId="394046E8"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(5)</w:t>
      </w:r>
      <w:r>
        <w:rPr>
          <w:rStyle w:val="default"/>
          <w:rFonts w:ascii="FrankRuehl" w:hAnsi="FrankRuehl" w:cs="FrankRuehl"/>
          <w:rtl/>
        </w:rPr>
        <w:tab/>
      </w:r>
      <w:r w:rsidR="004972EB">
        <w:rPr>
          <w:rStyle w:val="default"/>
          <w:rFonts w:ascii="FrankRuehl" w:hAnsi="FrankRuehl" w:cs="FrankRuehl" w:hint="cs"/>
          <w:rtl/>
        </w:rPr>
        <w:t>מוצרי מזון שיש לאחסנם, להחזיקם או להובילם בטמפרטורה מבוקרת או בטמפרטורה מוגדרת, כהגדרתן בחוק, ובלבד שהטמפרטורה נמוכה מ-8 מעלות צלזיוס</w:t>
      </w:r>
      <w:r>
        <w:rPr>
          <w:rStyle w:val="default"/>
          <w:rFonts w:ascii="FrankRuehl" w:hAnsi="FrankRuehl" w:cs="FrankRuehl" w:hint="cs"/>
          <w:rtl/>
        </w:rPr>
        <w:t>;</w:t>
      </w:r>
    </w:p>
    <w:p w14:paraId="71ED029A"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(6)</w:t>
      </w:r>
      <w:r>
        <w:rPr>
          <w:rStyle w:val="default"/>
          <w:rFonts w:ascii="FrankRuehl" w:hAnsi="FrankRuehl" w:cs="FrankRuehl"/>
          <w:rtl/>
        </w:rPr>
        <w:tab/>
      </w:r>
      <w:r w:rsidR="00E90499">
        <w:rPr>
          <w:rStyle w:val="default"/>
          <w:rFonts w:ascii="FrankRuehl" w:hAnsi="FrankRuehl" w:cs="FrankRuehl" w:hint="cs"/>
          <w:rtl/>
        </w:rPr>
        <w:t>פטריות או תערובותיהן, כולל מוצרים שבהם פטרייה היא רכיב עיקרי</w:t>
      </w:r>
      <w:r>
        <w:rPr>
          <w:rStyle w:val="default"/>
          <w:rFonts w:ascii="FrankRuehl" w:hAnsi="FrankRuehl" w:cs="FrankRuehl" w:hint="cs"/>
          <w:rtl/>
        </w:rPr>
        <w:t>;</w:t>
      </w:r>
    </w:p>
    <w:p w14:paraId="2C89C35C" w14:textId="77777777" w:rsidR="00B71D35" w:rsidRDefault="00B71D35" w:rsidP="008146E8">
      <w:pPr>
        <w:pStyle w:val="P00"/>
        <w:spacing w:before="72"/>
        <w:ind w:left="0" w:right="1134"/>
        <w:rPr>
          <w:rStyle w:val="default"/>
          <w:rFonts w:ascii="FrankRuehl" w:hAnsi="FrankRuehl" w:cs="FrankRuehl"/>
          <w:rtl/>
        </w:rPr>
      </w:pPr>
      <w:r>
        <w:rPr>
          <w:rStyle w:val="default"/>
          <w:rFonts w:ascii="FrankRuehl" w:hAnsi="FrankRuehl" w:cs="FrankRuehl" w:hint="cs"/>
          <w:rtl/>
        </w:rPr>
        <w:t>(7)</w:t>
      </w:r>
      <w:r>
        <w:rPr>
          <w:rStyle w:val="default"/>
          <w:rFonts w:ascii="FrankRuehl" w:hAnsi="FrankRuehl" w:cs="FrankRuehl"/>
          <w:rtl/>
        </w:rPr>
        <w:tab/>
      </w:r>
      <w:r w:rsidR="00E90499">
        <w:rPr>
          <w:rStyle w:val="default"/>
          <w:rFonts w:ascii="FrankRuehl" w:hAnsi="FrankRuehl" w:cs="FrankRuehl" w:hint="cs"/>
          <w:rtl/>
        </w:rPr>
        <w:t>מיקרואורגניזמים לשימוש בתעשיית המזון או כמוצר מוגמר</w:t>
      </w:r>
      <w:r>
        <w:rPr>
          <w:rStyle w:val="default"/>
          <w:rFonts w:ascii="FrankRuehl" w:hAnsi="FrankRuehl" w:cs="FrankRuehl" w:hint="cs"/>
          <w:rtl/>
        </w:rPr>
        <w:t>;</w:t>
      </w:r>
    </w:p>
    <w:p w14:paraId="3C186C2D" w14:textId="77777777" w:rsidR="00B71D35" w:rsidRDefault="00B71D35" w:rsidP="00B71D35">
      <w:pPr>
        <w:pStyle w:val="P00"/>
        <w:spacing w:before="72"/>
        <w:ind w:left="0" w:right="1134"/>
        <w:rPr>
          <w:rStyle w:val="default"/>
          <w:rFonts w:ascii="FrankRuehl" w:hAnsi="FrankRuehl" w:cs="FrankRuehl"/>
          <w:rtl/>
        </w:rPr>
      </w:pPr>
      <w:r>
        <w:rPr>
          <w:rStyle w:val="default"/>
          <w:rFonts w:ascii="FrankRuehl" w:hAnsi="FrankRuehl" w:cs="FrankRuehl" w:hint="cs"/>
          <w:rtl/>
        </w:rPr>
        <w:t>(8)</w:t>
      </w:r>
      <w:r>
        <w:rPr>
          <w:rStyle w:val="default"/>
          <w:rFonts w:ascii="FrankRuehl" w:hAnsi="FrankRuehl" w:cs="FrankRuehl"/>
          <w:rtl/>
        </w:rPr>
        <w:tab/>
      </w:r>
      <w:r w:rsidR="00E90499">
        <w:rPr>
          <w:rStyle w:val="default"/>
          <w:rFonts w:ascii="FrankRuehl" w:hAnsi="FrankRuehl" w:cs="FrankRuehl" w:hint="cs"/>
          <w:rtl/>
        </w:rPr>
        <w:t>מי שתייה מבוקבקים, מים מינרליים ומשקאות על בסיס מים מינרליים</w:t>
      </w:r>
      <w:r>
        <w:rPr>
          <w:rStyle w:val="default"/>
          <w:rFonts w:ascii="FrankRuehl" w:hAnsi="FrankRuehl" w:cs="FrankRuehl" w:hint="cs"/>
          <w:rtl/>
        </w:rPr>
        <w:t>;</w:t>
      </w:r>
    </w:p>
    <w:p w14:paraId="0FFAC654" w14:textId="77777777" w:rsidR="00B71D35" w:rsidRDefault="00B71D35" w:rsidP="00B71D35">
      <w:pPr>
        <w:pStyle w:val="P00"/>
        <w:spacing w:before="72"/>
        <w:ind w:left="0" w:right="1134"/>
        <w:rPr>
          <w:rStyle w:val="default"/>
          <w:rFonts w:ascii="FrankRuehl" w:hAnsi="FrankRuehl" w:cs="FrankRuehl"/>
          <w:rtl/>
        </w:rPr>
      </w:pPr>
      <w:r>
        <w:rPr>
          <w:rStyle w:val="default"/>
          <w:rFonts w:ascii="FrankRuehl" w:hAnsi="FrankRuehl" w:cs="FrankRuehl" w:hint="cs"/>
          <w:rtl/>
        </w:rPr>
        <w:t>(9)</w:t>
      </w:r>
      <w:r>
        <w:rPr>
          <w:rStyle w:val="default"/>
          <w:rFonts w:ascii="FrankRuehl" w:hAnsi="FrankRuehl" w:cs="FrankRuehl"/>
          <w:rtl/>
        </w:rPr>
        <w:tab/>
      </w:r>
      <w:r w:rsidR="00E90499">
        <w:rPr>
          <w:rStyle w:val="default"/>
          <w:rFonts w:ascii="FrankRuehl" w:hAnsi="FrankRuehl" w:cs="FrankRuehl" w:hint="cs"/>
          <w:rtl/>
        </w:rPr>
        <w:t>צבעי מאכל המיועדים לשיווק קמעונאי;</w:t>
      </w:r>
    </w:p>
    <w:p w14:paraId="22973F09" w14:textId="77777777" w:rsidR="00E90499" w:rsidRPr="00656603" w:rsidRDefault="00E90499" w:rsidP="00B71D35">
      <w:pPr>
        <w:pStyle w:val="P00"/>
        <w:spacing w:before="72"/>
        <w:ind w:left="0" w:right="1134"/>
        <w:rPr>
          <w:rStyle w:val="default"/>
          <w:rFonts w:ascii="FrankRuehl" w:hAnsi="FrankRuehl" w:cs="FrankRuehl" w:hint="cs"/>
          <w:rtl/>
        </w:rPr>
      </w:pPr>
      <w:r>
        <w:rPr>
          <w:rStyle w:val="default"/>
          <w:rFonts w:ascii="FrankRuehl" w:hAnsi="FrankRuehl" w:cs="FrankRuehl" w:hint="cs"/>
          <w:rtl/>
        </w:rPr>
        <w:t>(10)</w:t>
      </w:r>
      <w:r>
        <w:rPr>
          <w:rStyle w:val="default"/>
          <w:rFonts w:ascii="FrankRuehl" w:hAnsi="FrankRuehl" w:cs="FrankRuehl"/>
          <w:rtl/>
        </w:rPr>
        <w:tab/>
      </w:r>
      <w:r>
        <w:rPr>
          <w:rStyle w:val="default"/>
          <w:rFonts w:ascii="FrankRuehl" w:hAnsi="FrankRuehl" w:cs="FrankRuehl" w:hint="cs"/>
          <w:rtl/>
        </w:rPr>
        <w:t>חלב ומוצרי חלב ומקביליהם (</w:t>
      </w:r>
      <w:r>
        <w:rPr>
          <w:rStyle w:val="default"/>
          <w:rFonts w:ascii="FrankRuehl" w:hAnsi="FrankRuehl" w:cs="FrankRuehl"/>
        </w:rPr>
        <w:t>Analoguse</w:t>
      </w:r>
      <w:r>
        <w:rPr>
          <w:rStyle w:val="default"/>
          <w:rFonts w:ascii="FrankRuehl" w:hAnsi="FrankRuehl" w:cs="FrankRuehl" w:hint="cs"/>
          <w:rtl/>
        </w:rPr>
        <w:t xml:space="preserve">), המכילים רכיבי חלב, למעט מוצרי חלב מחלב </w:t>
      </w:r>
      <w:r>
        <w:rPr>
          <w:rStyle w:val="default"/>
          <w:rFonts w:ascii="FrankRuehl" w:hAnsi="FrankRuehl" w:cs="FrankRuehl" w:hint="cs"/>
          <w:rtl/>
        </w:rPr>
        <w:lastRenderedPageBreak/>
        <w:t>לא מפוסטר.</w:t>
      </w:r>
    </w:p>
    <w:p w14:paraId="1F5A10CA" w14:textId="77777777" w:rsidR="00656603" w:rsidRDefault="00656603" w:rsidP="008146E8">
      <w:pPr>
        <w:pStyle w:val="P00"/>
        <w:spacing w:before="72"/>
        <w:ind w:left="0" w:right="1134"/>
        <w:rPr>
          <w:rStyle w:val="default"/>
          <w:rFonts w:cs="FrankRuehl"/>
          <w:rtl/>
        </w:rPr>
      </w:pPr>
    </w:p>
    <w:p w14:paraId="5D42EB06" w14:textId="77777777" w:rsidR="009272B1" w:rsidRDefault="009272B1" w:rsidP="008146E8">
      <w:pPr>
        <w:pStyle w:val="P00"/>
        <w:spacing w:before="72"/>
        <w:ind w:left="0" w:right="1134"/>
        <w:rPr>
          <w:rStyle w:val="default"/>
          <w:rFonts w:cs="FrankRuehl" w:hint="cs"/>
          <w:rtl/>
        </w:rPr>
      </w:pPr>
    </w:p>
    <w:p w14:paraId="6B3F369E" w14:textId="77777777" w:rsidR="00C0456E" w:rsidRDefault="00E90499" w:rsidP="0069451A">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כ' בחשוון התשפ"ג (14 בנובמבר 2022</w:t>
      </w:r>
      <w:r w:rsidR="00C0456E">
        <w:rPr>
          <w:rFonts w:hint="cs"/>
          <w:rtl/>
        </w:rPr>
        <w:t>)</w:t>
      </w:r>
      <w:r w:rsidR="008146E8">
        <w:rPr>
          <w:rFonts w:hint="cs"/>
          <w:rtl/>
        </w:rPr>
        <w:tab/>
      </w:r>
      <w:r>
        <w:rPr>
          <w:rFonts w:hint="cs"/>
          <w:rtl/>
        </w:rPr>
        <w:t>ניצן הורוביץ</w:t>
      </w:r>
    </w:p>
    <w:p w14:paraId="731F4BBF" w14:textId="77777777" w:rsidR="00C0456E" w:rsidRPr="008146E8" w:rsidRDefault="008146E8" w:rsidP="0069451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sidRPr="008146E8">
        <w:rPr>
          <w:sz w:val="22"/>
          <w:szCs w:val="22"/>
          <w:rtl/>
        </w:rPr>
        <w:tab/>
      </w:r>
      <w:r w:rsidR="0069451A">
        <w:rPr>
          <w:rFonts w:hint="cs"/>
          <w:sz w:val="22"/>
          <w:szCs w:val="22"/>
          <w:rtl/>
        </w:rPr>
        <w:t>שר</w:t>
      </w:r>
      <w:r w:rsidR="00C0456E" w:rsidRPr="008146E8">
        <w:rPr>
          <w:rFonts w:hint="cs"/>
          <w:sz w:val="22"/>
          <w:szCs w:val="22"/>
          <w:rtl/>
        </w:rPr>
        <w:t xml:space="preserve"> הבריאות</w:t>
      </w:r>
    </w:p>
    <w:p w14:paraId="12A9E470" w14:textId="77777777" w:rsidR="004E573A" w:rsidRPr="008146E8" w:rsidRDefault="004E573A" w:rsidP="008146E8">
      <w:pPr>
        <w:pStyle w:val="P00"/>
        <w:spacing w:before="72"/>
        <w:ind w:left="0" w:right="1134"/>
        <w:rPr>
          <w:rStyle w:val="default"/>
          <w:rFonts w:cs="FrankRuehl" w:hint="cs"/>
          <w:rtl/>
        </w:rPr>
      </w:pPr>
    </w:p>
    <w:p w14:paraId="1AAD4E84" w14:textId="77777777" w:rsidR="008146E8" w:rsidRPr="008146E8" w:rsidRDefault="008146E8" w:rsidP="008146E8">
      <w:pPr>
        <w:pStyle w:val="P00"/>
        <w:spacing w:before="72"/>
        <w:ind w:left="0" w:right="1134"/>
        <w:rPr>
          <w:rStyle w:val="default"/>
          <w:rFonts w:cs="FrankRuehl"/>
          <w:rtl/>
        </w:rPr>
      </w:pPr>
    </w:p>
    <w:p w14:paraId="05A9EFC7" w14:textId="77777777" w:rsidR="00C0456E" w:rsidRPr="008146E8" w:rsidRDefault="00C0456E" w:rsidP="008146E8">
      <w:pPr>
        <w:pStyle w:val="P00"/>
        <w:spacing w:before="72"/>
        <w:ind w:left="0" w:right="1134"/>
        <w:rPr>
          <w:rStyle w:val="default"/>
          <w:rFonts w:cs="FrankRuehl"/>
          <w:rtl/>
        </w:rPr>
      </w:pPr>
      <w:bookmarkStart w:id="3" w:name="LawPartEnd"/>
    </w:p>
    <w:bookmarkEnd w:id="3"/>
    <w:p w14:paraId="63606641" w14:textId="77777777" w:rsidR="00CA3300" w:rsidRDefault="00CA3300" w:rsidP="008146E8">
      <w:pPr>
        <w:pStyle w:val="P00"/>
        <w:spacing w:before="72"/>
        <w:ind w:left="0" w:right="1134"/>
        <w:rPr>
          <w:rStyle w:val="default"/>
          <w:rFonts w:cs="FrankRuehl"/>
          <w:rtl/>
        </w:rPr>
      </w:pPr>
    </w:p>
    <w:p w14:paraId="043FB7F7" w14:textId="77777777" w:rsidR="00CA3300" w:rsidRDefault="00CA3300" w:rsidP="008146E8">
      <w:pPr>
        <w:pStyle w:val="P00"/>
        <w:spacing w:before="72"/>
        <w:ind w:left="0" w:right="1134"/>
        <w:rPr>
          <w:rStyle w:val="default"/>
          <w:rFonts w:cs="FrankRuehl"/>
          <w:rtl/>
        </w:rPr>
      </w:pPr>
    </w:p>
    <w:p w14:paraId="1B8124DF" w14:textId="77777777" w:rsidR="00CA3300" w:rsidRDefault="00CA3300" w:rsidP="00CA3300">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447043F2" w14:textId="77777777" w:rsidR="00232611" w:rsidRPr="00CA3300" w:rsidRDefault="00232611" w:rsidP="00CA3300">
      <w:pPr>
        <w:pStyle w:val="P00"/>
        <w:spacing w:before="72"/>
        <w:ind w:left="0" w:right="1134"/>
        <w:jc w:val="center"/>
        <w:rPr>
          <w:rStyle w:val="default"/>
          <w:rFonts w:cs="David"/>
          <w:color w:val="0000FF"/>
          <w:szCs w:val="24"/>
          <w:u w:val="single"/>
          <w:rtl/>
        </w:rPr>
      </w:pPr>
    </w:p>
    <w:sectPr w:rsidR="00232611" w:rsidRPr="00CA330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279D" w14:textId="77777777" w:rsidR="003E0B60" w:rsidRDefault="003E0B60">
      <w:r>
        <w:separator/>
      </w:r>
    </w:p>
  </w:endnote>
  <w:endnote w:type="continuationSeparator" w:id="0">
    <w:p w14:paraId="3B599EAF" w14:textId="77777777" w:rsidR="003E0B60" w:rsidRDefault="003E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86F9" w14:textId="77777777" w:rsidR="00D72CDA" w:rsidRDefault="00D72CD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CADF273" w14:textId="77777777" w:rsidR="00D72CDA" w:rsidRDefault="00D72C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3AE026" w14:textId="77777777" w:rsidR="00D72CDA" w:rsidRDefault="00D72C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0C4">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2BD9" w14:textId="77777777" w:rsidR="00D72CDA" w:rsidRDefault="00D72CD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A3300">
      <w:rPr>
        <w:rFonts w:hAnsi="FrankRuehl"/>
        <w:noProof/>
        <w:sz w:val="24"/>
        <w:szCs w:val="24"/>
        <w:rtl/>
      </w:rPr>
      <w:t>3</w:t>
    </w:r>
    <w:r>
      <w:rPr>
        <w:rFonts w:hAnsi="FrankRuehl"/>
        <w:sz w:val="24"/>
        <w:szCs w:val="24"/>
        <w:rtl/>
      </w:rPr>
      <w:fldChar w:fldCharType="end"/>
    </w:r>
  </w:p>
  <w:p w14:paraId="650E1499" w14:textId="77777777" w:rsidR="00D72CDA" w:rsidRDefault="00D72C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391995" w14:textId="77777777" w:rsidR="00D72CDA" w:rsidRDefault="00D72C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30C4">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DF49" w14:textId="77777777" w:rsidR="003E0B60" w:rsidRDefault="003E0B60" w:rsidP="00912A25">
      <w:pPr>
        <w:spacing w:before="60" w:line="240" w:lineRule="auto"/>
        <w:ind w:right="1134"/>
      </w:pPr>
      <w:r>
        <w:separator/>
      </w:r>
    </w:p>
  </w:footnote>
  <w:footnote w:type="continuationSeparator" w:id="0">
    <w:p w14:paraId="115763EE" w14:textId="77777777" w:rsidR="003E0B60" w:rsidRDefault="003E0B60">
      <w:r>
        <w:continuationSeparator/>
      </w:r>
    </w:p>
  </w:footnote>
  <w:footnote w:id="1">
    <w:p w14:paraId="59920B2E" w14:textId="77777777" w:rsidR="00CC3F1F" w:rsidRDefault="00912A25" w:rsidP="00CC3F1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912A25">
        <w:rPr>
          <w:rtl/>
        </w:rPr>
        <w:t>*</w:t>
      </w:r>
      <w:r>
        <w:rPr>
          <w:rtl/>
        </w:rPr>
        <w:t xml:space="preserve"> פ</w:t>
      </w:r>
      <w:r>
        <w:rPr>
          <w:rFonts w:hint="cs"/>
          <w:rtl/>
        </w:rPr>
        <w:t xml:space="preserve">ורסמו </w:t>
      </w:r>
      <w:hyperlink r:id="rId1" w:history="1">
        <w:r w:rsidRPr="00CC3F1F">
          <w:rPr>
            <w:rStyle w:val="Hyperlink"/>
            <w:rFonts w:hint="cs"/>
            <w:rtl/>
          </w:rPr>
          <w:t>ק"ת תש</w:t>
        </w:r>
        <w:r w:rsidR="004E573A" w:rsidRPr="00CC3F1F">
          <w:rPr>
            <w:rStyle w:val="Hyperlink"/>
            <w:rFonts w:hint="cs"/>
            <w:rtl/>
          </w:rPr>
          <w:t>פ"ג</w:t>
        </w:r>
        <w:r w:rsidRPr="00CC3F1F">
          <w:rPr>
            <w:rStyle w:val="Hyperlink"/>
            <w:rFonts w:hint="cs"/>
            <w:rtl/>
          </w:rPr>
          <w:t xml:space="preserve"> מס' </w:t>
        </w:r>
        <w:r w:rsidR="004E573A" w:rsidRPr="00CC3F1F">
          <w:rPr>
            <w:rStyle w:val="Hyperlink"/>
            <w:rFonts w:hint="cs"/>
            <w:rtl/>
          </w:rPr>
          <w:t>10399</w:t>
        </w:r>
      </w:hyperlink>
      <w:r>
        <w:rPr>
          <w:rFonts w:hint="cs"/>
          <w:rtl/>
        </w:rPr>
        <w:t xml:space="preserve"> מיום </w:t>
      </w:r>
      <w:r w:rsidR="004E573A">
        <w:rPr>
          <w:rFonts w:hint="cs"/>
          <w:rtl/>
        </w:rPr>
        <w:t>15.11.2022</w:t>
      </w:r>
      <w:r>
        <w:rPr>
          <w:rFonts w:hint="cs"/>
          <w:rtl/>
        </w:rPr>
        <w:t xml:space="preserve"> עמ' </w:t>
      </w:r>
      <w:r w:rsidR="004E573A">
        <w:rPr>
          <w:rFonts w:hint="cs"/>
          <w:rtl/>
        </w:rPr>
        <w:t>346</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1C3F" w14:textId="77777777" w:rsidR="00D72CDA" w:rsidRDefault="00D72CDA">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(סימון תזונתי), תשנ"ג–1993</w:t>
    </w:r>
  </w:p>
  <w:p w14:paraId="089F8052"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A0A7EC3"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6114" w14:textId="77777777" w:rsidR="00D72CDA" w:rsidRDefault="00D72CDA" w:rsidP="00912A25">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sidR="007A357E">
      <w:rPr>
        <w:rFonts w:hAnsi="FrankRuehl" w:hint="cs"/>
        <w:color w:val="000000"/>
        <w:sz w:val="28"/>
        <w:szCs w:val="28"/>
        <w:rtl/>
      </w:rPr>
      <w:t xml:space="preserve">הגנה על </w:t>
    </w:r>
    <w:r>
      <w:rPr>
        <w:rFonts w:hAnsi="FrankRuehl"/>
        <w:color w:val="000000"/>
        <w:sz w:val="28"/>
        <w:szCs w:val="28"/>
        <w:rtl/>
      </w:rPr>
      <w:t>בריאות הציבור (מזון) (</w:t>
    </w:r>
    <w:r w:rsidR="004E573A">
      <w:rPr>
        <w:rFonts w:hAnsi="FrankRuehl" w:hint="cs"/>
        <w:color w:val="000000"/>
        <w:sz w:val="28"/>
        <w:szCs w:val="28"/>
        <w:rtl/>
      </w:rPr>
      <w:t>מתן תעודת שחרור למזון רגיש מסוים המיובא על ידי יבואן נאות) (הוראת שעה</w:t>
    </w:r>
    <w:r w:rsidR="007A357E">
      <w:rPr>
        <w:rFonts w:hAnsi="FrankRuehl" w:hint="cs"/>
        <w:color w:val="000000"/>
        <w:sz w:val="28"/>
        <w:szCs w:val="28"/>
        <w:rtl/>
      </w:rPr>
      <w:t xml:space="preserve">), </w:t>
    </w:r>
    <w:r w:rsidR="00A0486F">
      <w:rPr>
        <w:rFonts w:hAnsi="FrankRuehl" w:hint="cs"/>
        <w:color w:val="000000"/>
        <w:sz w:val="28"/>
        <w:szCs w:val="28"/>
        <w:rtl/>
      </w:rPr>
      <w:t>תש</w:t>
    </w:r>
    <w:r w:rsidR="004E573A">
      <w:rPr>
        <w:rFonts w:hAnsi="FrankRuehl" w:hint="cs"/>
        <w:color w:val="000000"/>
        <w:sz w:val="28"/>
        <w:szCs w:val="28"/>
        <w:rtl/>
      </w:rPr>
      <w:t>פ"ג-2022</w:t>
    </w:r>
  </w:p>
  <w:p w14:paraId="4B4111FC"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A5BC299" w14:textId="77777777" w:rsidR="00D72CDA" w:rsidRDefault="00D72CD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2103913544">
    <w:abstractNumId w:val="0"/>
  </w:num>
  <w:num w:numId="2" w16cid:durableId="1946188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1E4"/>
    <w:rsid w:val="00047966"/>
    <w:rsid w:val="000A2171"/>
    <w:rsid w:val="00101B43"/>
    <w:rsid w:val="00137A09"/>
    <w:rsid w:val="00152107"/>
    <w:rsid w:val="00182AA2"/>
    <w:rsid w:val="001C219B"/>
    <w:rsid w:val="001E5E2F"/>
    <w:rsid w:val="001F1263"/>
    <w:rsid w:val="00226B46"/>
    <w:rsid w:val="00232611"/>
    <w:rsid w:val="002C700C"/>
    <w:rsid w:val="002D1E11"/>
    <w:rsid w:val="00330CED"/>
    <w:rsid w:val="003550D7"/>
    <w:rsid w:val="00364FAE"/>
    <w:rsid w:val="003851E4"/>
    <w:rsid w:val="003E0B60"/>
    <w:rsid w:val="003E0FA9"/>
    <w:rsid w:val="003E3FEC"/>
    <w:rsid w:val="00440407"/>
    <w:rsid w:val="00484B61"/>
    <w:rsid w:val="004972EB"/>
    <w:rsid w:val="004E573A"/>
    <w:rsid w:val="00500C55"/>
    <w:rsid w:val="005830AC"/>
    <w:rsid w:val="00613BB1"/>
    <w:rsid w:val="00624743"/>
    <w:rsid w:val="00645C73"/>
    <w:rsid w:val="00656603"/>
    <w:rsid w:val="00690F0D"/>
    <w:rsid w:val="0069451A"/>
    <w:rsid w:val="006A2618"/>
    <w:rsid w:val="0070620C"/>
    <w:rsid w:val="0073772B"/>
    <w:rsid w:val="00755A12"/>
    <w:rsid w:val="00781A01"/>
    <w:rsid w:val="007A357E"/>
    <w:rsid w:val="008052D3"/>
    <w:rsid w:val="008055B2"/>
    <w:rsid w:val="008146E8"/>
    <w:rsid w:val="008475DD"/>
    <w:rsid w:val="00855336"/>
    <w:rsid w:val="00912A25"/>
    <w:rsid w:val="009272B1"/>
    <w:rsid w:val="00950E80"/>
    <w:rsid w:val="009645F0"/>
    <w:rsid w:val="009C41E6"/>
    <w:rsid w:val="00A0486F"/>
    <w:rsid w:val="00A23BD1"/>
    <w:rsid w:val="00A272E3"/>
    <w:rsid w:val="00A51F1D"/>
    <w:rsid w:val="00AC7197"/>
    <w:rsid w:val="00AD2C77"/>
    <w:rsid w:val="00AE77DB"/>
    <w:rsid w:val="00AF1196"/>
    <w:rsid w:val="00B0271A"/>
    <w:rsid w:val="00B402A1"/>
    <w:rsid w:val="00B42FD8"/>
    <w:rsid w:val="00B50BC3"/>
    <w:rsid w:val="00B71D35"/>
    <w:rsid w:val="00B81227"/>
    <w:rsid w:val="00B85803"/>
    <w:rsid w:val="00B944A8"/>
    <w:rsid w:val="00B97398"/>
    <w:rsid w:val="00BA4D81"/>
    <w:rsid w:val="00BC4828"/>
    <w:rsid w:val="00C0456E"/>
    <w:rsid w:val="00C41BF8"/>
    <w:rsid w:val="00C830C4"/>
    <w:rsid w:val="00CA3300"/>
    <w:rsid w:val="00CC3F1F"/>
    <w:rsid w:val="00CC504A"/>
    <w:rsid w:val="00D16579"/>
    <w:rsid w:val="00D649DF"/>
    <w:rsid w:val="00D72CDA"/>
    <w:rsid w:val="00D85631"/>
    <w:rsid w:val="00D863E2"/>
    <w:rsid w:val="00DA6BE9"/>
    <w:rsid w:val="00DB3A79"/>
    <w:rsid w:val="00DB4A6B"/>
    <w:rsid w:val="00DC1618"/>
    <w:rsid w:val="00DD156F"/>
    <w:rsid w:val="00DD1DF0"/>
    <w:rsid w:val="00DD2BD0"/>
    <w:rsid w:val="00E01B7C"/>
    <w:rsid w:val="00E16540"/>
    <w:rsid w:val="00E7367C"/>
    <w:rsid w:val="00E90499"/>
    <w:rsid w:val="00EB3A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0CEA673"/>
  <w15:chartTrackingRefBased/>
  <w15:docId w15:val="{266BC925-644B-49B0-A1B6-6C8FD244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character" w:styleId="FollowedHyperlink">
    <w:name w:val="FollowedHyperlink"/>
    <w:rsid w:val="001C219B"/>
    <w:rPr>
      <w:color w:val="800080"/>
      <w:u w:val="single"/>
    </w:rPr>
  </w:style>
  <w:style w:type="paragraph" w:styleId="a6">
    <w:name w:val="footnote text"/>
    <w:basedOn w:val="a"/>
    <w:semiHidden/>
    <w:rsid w:val="00912A25"/>
    <w:rPr>
      <w:sz w:val="20"/>
      <w:szCs w:val="20"/>
    </w:rPr>
  </w:style>
  <w:style w:type="character" w:styleId="a7">
    <w:name w:val="footnote reference"/>
    <w:semiHidden/>
    <w:rsid w:val="00912A25"/>
    <w:rPr>
      <w:vertAlign w:val="superscript"/>
    </w:rPr>
  </w:style>
  <w:style w:type="character" w:customStyle="1" w:styleId="P000">
    <w:name w:val="P00 תו"/>
    <w:link w:val="P00"/>
    <w:rsid w:val="00656603"/>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3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2562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2293779</vt:i4>
      </vt:variant>
      <vt:variant>
        <vt:i4>0</vt:i4>
      </vt:variant>
      <vt:variant>
        <vt:i4>0</vt:i4>
      </vt:variant>
      <vt:variant>
        <vt:i4>5</vt:i4>
      </vt:variant>
      <vt:variant>
        <vt:lpwstr>https://www.nevo.co.il/law_word/law06/tak-10399.pdf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תקנות הגנה על בריאות הציבור (מזון) (דיגום משלוחי מזון רגיש לבדיקות מעבדה בתחנת הסגר), תש"ף-2020</vt:lpwstr>
  </property>
  <property fmtid="{D5CDD505-2E9C-101B-9397-08002B2CF9AE}" pid="5" name="LAWNUMBER">
    <vt:lpwstr>0335</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אריזה וסימון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6">
    <vt:lpwstr/>
  </property>
  <property fmtid="{D5CDD505-2E9C-101B-9397-08002B2CF9AE}" pid="49" name="LINKK7">
    <vt:lpwstr/>
  </property>
  <property fmtid="{D5CDD505-2E9C-101B-9397-08002B2CF9AE}" pid="50" name="LINKK8">
    <vt:lpwstr/>
  </property>
  <property fmtid="{D5CDD505-2E9C-101B-9397-08002B2CF9AE}" pid="51" name="LINKK9">
    <vt:lpwstr/>
  </property>
  <property fmtid="{D5CDD505-2E9C-101B-9397-08002B2CF9AE}" pid="52" name="LINKK10">
    <vt:lpwstr/>
  </property>
  <property fmtid="{D5CDD505-2E9C-101B-9397-08002B2CF9AE}" pid="53" name="LINKI1">
    <vt:lpwstr/>
  </property>
  <property fmtid="{D5CDD505-2E9C-101B-9397-08002B2CF9AE}" pid="54" name="LINKI2">
    <vt:lpwstr/>
  </property>
  <property fmtid="{D5CDD505-2E9C-101B-9397-08002B2CF9AE}" pid="55" name="LINKI3">
    <vt:lpwstr/>
  </property>
  <property fmtid="{D5CDD505-2E9C-101B-9397-08002B2CF9AE}" pid="56" name="LINKI4">
    <vt:lpwstr/>
  </property>
  <property fmtid="{D5CDD505-2E9C-101B-9397-08002B2CF9AE}" pid="57" name="LINKI5">
    <vt:lpwstr/>
  </property>
  <property fmtid="{D5CDD505-2E9C-101B-9397-08002B2CF9AE}" pid="58" name="LINKK2">
    <vt:lpwstr>https://www.nevo.co.il/law_word/law06/tak-10399.pdf;‎רשומות - תקנות כלליות#פורסמו ק"ת ‏תשפ"ג מס' 10399#מיום 15.11.2022 עמ' 346‏</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1">
    <vt:lpwstr>https://www.nevo.co.il/law_word/law06/tak-8689.pdf‏;רשומות - תקנות כלליות#פורסמו ק"ת ‏תש"ף מס' 8689# מיום 11.8.2020 עמ' 1968‏</vt:lpwstr>
  </property>
  <property fmtid="{D5CDD505-2E9C-101B-9397-08002B2CF9AE}" pid="63" name="MEKOR_NAME1">
    <vt:lpwstr>חוק הגנה על בריאות הציבור (מזון), תשע"ו-2015</vt:lpwstr>
  </property>
  <property fmtid="{D5CDD505-2E9C-101B-9397-08002B2CF9AE}" pid="64" name="MEKOR_LAWID1">
    <vt:lpwstr>74757</vt:lpwstr>
  </property>
  <property fmtid="{D5CDD505-2E9C-101B-9397-08002B2CF9AE}" pid="65" name="MEKOR_SAIF1">
    <vt:lpwstr>54XבX</vt:lpwstr>
  </property>
</Properties>
</file>