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7959" w14:textId="77777777" w:rsidR="00121D0D" w:rsidRDefault="00121D0D">
      <w:pPr>
        <w:pStyle w:val="big-header"/>
        <w:ind w:left="0" w:right="1134"/>
        <w:rPr>
          <w:rFonts w:cs="FrankRuehl"/>
          <w:sz w:val="32"/>
        </w:rPr>
      </w:pPr>
      <w:r>
        <w:rPr>
          <w:rFonts w:cs="FrankRuehl" w:hint="cs"/>
          <w:sz w:val="32"/>
          <w:rtl/>
        </w:rPr>
        <w:t>תקנות הגנה על הציבור מפני עברייני מין (מעריכי מסוכנות), תשס"ז-2006</w:t>
      </w:r>
    </w:p>
    <w:p w14:paraId="462BFB70" w14:textId="77777777" w:rsidR="00D00F37" w:rsidRPr="00D00F37" w:rsidRDefault="00D00F37" w:rsidP="00D00F37">
      <w:pPr>
        <w:spacing w:line="320" w:lineRule="auto"/>
        <w:rPr>
          <w:rFonts w:cs="FrankRuehl"/>
          <w:szCs w:val="26"/>
          <w:rtl/>
        </w:rPr>
      </w:pPr>
    </w:p>
    <w:p w14:paraId="2059C2B1" w14:textId="77777777" w:rsidR="00D00F37" w:rsidRDefault="00D00F37" w:rsidP="00D00F37">
      <w:pPr>
        <w:spacing w:line="320" w:lineRule="auto"/>
        <w:rPr>
          <w:rtl/>
        </w:rPr>
      </w:pPr>
    </w:p>
    <w:p w14:paraId="2E8ED353" w14:textId="77777777" w:rsidR="00D00F37" w:rsidRPr="00D00F37" w:rsidRDefault="00D00F37" w:rsidP="00D00F37">
      <w:pPr>
        <w:spacing w:line="320" w:lineRule="auto"/>
        <w:rPr>
          <w:rFonts w:cs="Miriam"/>
          <w:szCs w:val="22"/>
          <w:rtl/>
        </w:rPr>
      </w:pPr>
      <w:r w:rsidRPr="00D00F37">
        <w:rPr>
          <w:rFonts w:cs="Miriam"/>
          <w:szCs w:val="22"/>
          <w:rtl/>
        </w:rPr>
        <w:t>עונשין ומשפט פלילי</w:t>
      </w:r>
      <w:r w:rsidRPr="00D00F37">
        <w:rPr>
          <w:rFonts w:cs="FrankRuehl"/>
          <w:szCs w:val="26"/>
          <w:rtl/>
        </w:rPr>
        <w:t xml:space="preserve"> – עבירות – עברייני מין – הגנה על הציבור</w:t>
      </w:r>
    </w:p>
    <w:p w14:paraId="384DD485" w14:textId="77777777" w:rsidR="00121D0D" w:rsidRDefault="00121D0D">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21D0D" w14:paraId="0D5747C9" w14:textId="77777777">
        <w:tblPrEx>
          <w:tblCellMar>
            <w:top w:w="0" w:type="dxa"/>
            <w:bottom w:w="0" w:type="dxa"/>
          </w:tblCellMar>
        </w:tblPrEx>
        <w:trPr>
          <w:jc w:val="right"/>
        </w:trPr>
        <w:tc>
          <w:tcPr>
            <w:tcW w:w="850" w:type="dxa"/>
          </w:tcPr>
          <w:p w14:paraId="1CDEC317" w14:textId="77777777" w:rsidR="00121D0D" w:rsidRDefault="00121D0D">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28EF1BDA" w14:textId="77777777" w:rsidR="00121D0D" w:rsidRDefault="00121D0D">
            <w:hyperlink w:anchor="Seif0" w:tooltip="הגדרות" w:history="1">
              <w:r>
                <w:rPr>
                  <w:rStyle w:val="Hyperlink"/>
                </w:rPr>
                <w:t>Go</w:t>
              </w:r>
            </w:hyperlink>
          </w:p>
        </w:tc>
        <w:tc>
          <w:tcPr>
            <w:tcW w:w="5669" w:type="dxa"/>
          </w:tcPr>
          <w:p w14:paraId="780C5382" w14:textId="77777777" w:rsidR="00121D0D" w:rsidRDefault="00121D0D">
            <w:pPr>
              <w:rPr>
                <w:rtl/>
              </w:rPr>
            </w:pPr>
            <w:r>
              <w:rPr>
                <w:rtl/>
              </w:rPr>
              <w:t>הגדרות</w:t>
            </w:r>
          </w:p>
        </w:tc>
        <w:tc>
          <w:tcPr>
            <w:tcW w:w="1247" w:type="dxa"/>
          </w:tcPr>
          <w:p w14:paraId="0BEC8FDA" w14:textId="77777777" w:rsidR="00121D0D" w:rsidRDefault="00121D0D">
            <w:r>
              <w:rPr>
                <w:rtl/>
              </w:rPr>
              <w:t xml:space="preserve">סעיף 1 </w:t>
            </w:r>
          </w:p>
        </w:tc>
      </w:tr>
      <w:tr w:rsidR="00121D0D" w14:paraId="315A61AA" w14:textId="77777777">
        <w:tblPrEx>
          <w:tblCellMar>
            <w:top w:w="0" w:type="dxa"/>
            <w:bottom w:w="0" w:type="dxa"/>
          </w:tblCellMar>
        </w:tblPrEx>
        <w:trPr>
          <w:jc w:val="right"/>
        </w:trPr>
        <w:tc>
          <w:tcPr>
            <w:tcW w:w="850" w:type="dxa"/>
          </w:tcPr>
          <w:p w14:paraId="6869963A" w14:textId="77777777" w:rsidR="00121D0D" w:rsidRDefault="00121D0D">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35B50F5B" w14:textId="77777777" w:rsidR="00121D0D" w:rsidRDefault="00121D0D">
            <w:hyperlink w:anchor="Seif1" w:tooltip="בקשה להתמנות למעריך מסוכנות" w:history="1">
              <w:r>
                <w:rPr>
                  <w:rStyle w:val="Hyperlink"/>
                </w:rPr>
                <w:t>Go</w:t>
              </w:r>
            </w:hyperlink>
          </w:p>
        </w:tc>
        <w:tc>
          <w:tcPr>
            <w:tcW w:w="5669" w:type="dxa"/>
          </w:tcPr>
          <w:p w14:paraId="7E1AD931" w14:textId="77777777" w:rsidR="00121D0D" w:rsidRDefault="00121D0D">
            <w:pPr>
              <w:rPr>
                <w:rtl/>
              </w:rPr>
            </w:pPr>
            <w:r>
              <w:rPr>
                <w:rtl/>
              </w:rPr>
              <w:t>בקשה להתמנות למעריך מסוכנות</w:t>
            </w:r>
          </w:p>
        </w:tc>
        <w:tc>
          <w:tcPr>
            <w:tcW w:w="1247" w:type="dxa"/>
          </w:tcPr>
          <w:p w14:paraId="670B2369" w14:textId="77777777" w:rsidR="00121D0D" w:rsidRDefault="00121D0D">
            <w:r>
              <w:rPr>
                <w:rtl/>
              </w:rPr>
              <w:t xml:space="preserve">סעיף 2 </w:t>
            </w:r>
          </w:p>
        </w:tc>
      </w:tr>
      <w:tr w:rsidR="00121D0D" w14:paraId="2A4CE1DF" w14:textId="77777777">
        <w:tblPrEx>
          <w:tblCellMar>
            <w:top w:w="0" w:type="dxa"/>
            <w:bottom w:w="0" w:type="dxa"/>
          </w:tblCellMar>
        </w:tblPrEx>
        <w:trPr>
          <w:jc w:val="right"/>
        </w:trPr>
        <w:tc>
          <w:tcPr>
            <w:tcW w:w="850" w:type="dxa"/>
          </w:tcPr>
          <w:p w14:paraId="73618D86" w14:textId="77777777" w:rsidR="00121D0D" w:rsidRDefault="00121D0D">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007F348F" w14:textId="77777777" w:rsidR="00121D0D" w:rsidRDefault="00121D0D">
            <w:hyperlink w:anchor="Seif2" w:tooltip="חוות דעת הוועדה המייעצת" w:history="1">
              <w:r>
                <w:rPr>
                  <w:rStyle w:val="Hyperlink"/>
                </w:rPr>
                <w:t>Go</w:t>
              </w:r>
            </w:hyperlink>
          </w:p>
        </w:tc>
        <w:tc>
          <w:tcPr>
            <w:tcW w:w="5669" w:type="dxa"/>
          </w:tcPr>
          <w:p w14:paraId="2B101490" w14:textId="77777777" w:rsidR="00121D0D" w:rsidRDefault="00121D0D">
            <w:pPr>
              <w:rPr>
                <w:rtl/>
              </w:rPr>
            </w:pPr>
            <w:r>
              <w:rPr>
                <w:rtl/>
              </w:rPr>
              <w:t>חוות דעת הוועדה המייעצת</w:t>
            </w:r>
          </w:p>
        </w:tc>
        <w:tc>
          <w:tcPr>
            <w:tcW w:w="1247" w:type="dxa"/>
          </w:tcPr>
          <w:p w14:paraId="22F19E26" w14:textId="77777777" w:rsidR="00121D0D" w:rsidRDefault="00121D0D">
            <w:r>
              <w:rPr>
                <w:rtl/>
              </w:rPr>
              <w:t xml:space="preserve">סעיף 3 </w:t>
            </w:r>
          </w:p>
        </w:tc>
      </w:tr>
      <w:tr w:rsidR="00121D0D" w14:paraId="5A4007E6" w14:textId="77777777">
        <w:tblPrEx>
          <w:tblCellMar>
            <w:top w:w="0" w:type="dxa"/>
            <w:bottom w:w="0" w:type="dxa"/>
          </w:tblCellMar>
        </w:tblPrEx>
        <w:trPr>
          <w:jc w:val="right"/>
        </w:trPr>
        <w:tc>
          <w:tcPr>
            <w:tcW w:w="850" w:type="dxa"/>
          </w:tcPr>
          <w:p w14:paraId="628203D6" w14:textId="77777777" w:rsidR="00121D0D" w:rsidRDefault="00121D0D">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14:paraId="30DA0671" w14:textId="77777777" w:rsidR="00121D0D" w:rsidRDefault="00121D0D">
            <w:hyperlink w:anchor="Seif3" w:tooltip="החלטה בבקשה להתמנות למעריך מסוכנות" w:history="1">
              <w:r>
                <w:rPr>
                  <w:rStyle w:val="Hyperlink"/>
                </w:rPr>
                <w:t>Go</w:t>
              </w:r>
            </w:hyperlink>
          </w:p>
        </w:tc>
        <w:tc>
          <w:tcPr>
            <w:tcW w:w="5669" w:type="dxa"/>
          </w:tcPr>
          <w:p w14:paraId="3735E92E" w14:textId="77777777" w:rsidR="00121D0D" w:rsidRDefault="00121D0D">
            <w:pPr>
              <w:rPr>
                <w:rtl/>
              </w:rPr>
            </w:pPr>
            <w:r>
              <w:rPr>
                <w:rtl/>
              </w:rPr>
              <w:t>החלטה בבקשה להתמנות למעריך מסוכנות</w:t>
            </w:r>
          </w:p>
        </w:tc>
        <w:tc>
          <w:tcPr>
            <w:tcW w:w="1247" w:type="dxa"/>
          </w:tcPr>
          <w:p w14:paraId="2A3F522B" w14:textId="77777777" w:rsidR="00121D0D" w:rsidRDefault="00121D0D">
            <w:r>
              <w:rPr>
                <w:rtl/>
              </w:rPr>
              <w:t xml:space="preserve">סעיף 4 </w:t>
            </w:r>
          </w:p>
        </w:tc>
      </w:tr>
      <w:tr w:rsidR="00121D0D" w14:paraId="56592D2E" w14:textId="77777777">
        <w:tblPrEx>
          <w:tblCellMar>
            <w:top w:w="0" w:type="dxa"/>
            <w:bottom w:w="0" w:type="dxa"/>
          </w:tblCellMar>
        </w:tblPrEx>
        <w:trPr>
          <w:jc w:val="right"/>
        </w:trPr>
        <w:tc>
          <w:tcPr>
            <w:tcW w:w="850" w:type="dxa"/>
          </w:tcPr>
          <w:p w14:paraId="657BD8F2" w14:textId="77777777" w:rsidR="00121D0D" w:rsidRDefault="00121D0D">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2</w:t>
            </w:r>
            <w:r>
              <w:rPr>
                <w:rtl/>
              </w:rPr>
              <w:fldChar w:fldCharType="end"/>
            </w:r>
          </w:p>
        </w:tc>
        <w:tc>
          <w:tcPr>
            <w:tcW w:w="567" w:type="dxa"/>
          </w:tcPr>
          <w:p w14:paraId="5B3EA650" w14:textId="77777777" w:rsidR="00121D0D" w:rsidRDefault="00121D0D">
            <w:hyperlink w:anchor="Seif4" w:tooltip="ועדה מייעצת" w:history="1">
              <w:r>
                <w:rPr>
                  <w:rStyle w:val="Hyperlink"/>
                </w:rPr>
                <w:t>Go</w:t>
              </w:r>
            </w:hyperlink>
          </w:p>
        </w:tc>
        <w:tc>
          <w:tcPr>
            <w:tcW w:w="5669" w:type="dxa"/>
          </w:tcPr>
          <w:p w14:paraId="0D7F2235" w14:textId="77777777" w:rsidR="00121D0D" w:rsidRDefault="00121D0D">
            <w:pPr>
              <w:rPr>
                <w:rtl/>
              </w:rPr>
            </w:pPr>
            <w:r>
              <w:rPr>
                <w:rtl/>
              </w:rPr>
              <w:t>ועדה מייעצת</w:t>
            </w:r>
          </w:p>
        </w:tc>
        <w:tc>
          <w:tcPr>
            <w:tcW w:w="1247" w:type="dxa"/>
          </w:tcPr>
          <w:p w14:paraId="6150083E" w14:textId="77777777" w:rsidR="00121D0D" w:rsidRDefault="00121D0D">
            <w:r>
              <w:rPr>
                <w:rtl/>
              </w:rPr>
              <w:t xml:space="preserve">סעיף 5 </w:t>
            </w:r>
          </w:p>
        </w:tc>
      </w:tr>
      <w:tr w:rsidR="00121D0D" w14:paraId="160D2C20" w14:textId="77777777">
        <w:tblPrEx>
          <w:tblCellMar>
            <w:top w:w="0" w:type="dxa"/>
            <w:bottom w:w="0" w:type="dxa"/>
          </w:tblCellMar>
        </w:tblPrEx>
        <w:trPr>
          <w:jc w:val="right"/>
        </w:trPr>
        <w:tc>
          <w:tcPr>
            <w:tcW w:w="850" w:type="dxa"/>
          </w:tcPr>
          <w:p w14:paraId="362724D0" w14:textId="77777777" w:rsidR="00121D0D" w:rsidRDefault="00121D0D">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3</w:t>
            </w:r>
            <w:r>
              <w:rPr>
                <w:rtl/>
              </w:rPr>
              <w:fldChar w:fldCharType="end"/>
            </w:r>
          </w:p>
        </w:tc>
        <w:tc>
          <w:tcPr>
            <w:tcW w:w="567" w:type="dxa"/>
          </w:tcPr>
          <w:p w14:paraId="16BC1702" w14:textId="77777777" w:rsidR="00121D0D" w:rsidRDefault="00121D0D">
            <w:hyperlink w:anchor="Seif5" w:tooltip="תנאי ההכשרה" w:history="1">
              <w:r>
                <w:rPr>
                  <w:rStyle w:val="Hyperlink"/>
                </w:rPr>
                <w:t>Go</w:t>
              </w:r>
            </w:hyperlink>
          </w:p>
        </w:tc>
        <w:tc>
          <w:tcPr>
            <w:tcW w:w="5669" w:type="dxa"/>
          </w:tcPr>
          <w:p w14:paraId="48CB5A3A" w14:textId="77777777" w:rsidR="00121D0D" w:rsidRDefault="00121D0D">
            <w:pPr>
              <w:rPr>
                <w:rtl/>
              </w:rPr>
            </w:pPr>
            <w:r>
              <w:rPr>
                <w:rtl/>
              </w:rPr>
              <w:t>תנאי ההכשרה</w:t>
            </w:r>
          </w:p>
        </w:tc>
        <w:tc>
          <w:tcPr>
            <w:tcW w:w="1247" w:type="dxa"/>
          </w:tcPr>
          <w:p w14:paraId="3C514D3F" w14:textId="77777777" w:rsidR="00121D0D" w:rsidRDefault="00121D0D">
            <w:r>
              <w:rPr>
                <w:rtl/>
              </w:rPr>
              <w:t xml:space="preserve">סעיף 6 </w:t>
            </w:r>
          </w:p>
        </w:tc>
      </w:tr>
      <w:tr w:rsidR="00121D0D" w14:paraId="31F7ECAC" w14:textId="77777777">
        <w:tblPrEx>
          <w:tblCellMar>
            <w:top w:w="0" w:type="dxa"/>
            <w:bottom w:w="0" w:type="dxa"/>
          </w:tblCellMar>
        </w:tblPrEx>
        <w:trPr>
          <w:jc w:val="right"/>
        </w:trPr>
        <w:tc>
          <w:tcPr>
            <w:tcW w:w="850" w:type="dxa"/>
          </w:tcPr>
          <w:p w14:paraId="126290FC" w14:textId="77777777" w:rsidR="00121D0D" w:rsidRDefault="00121D0D">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4</w:t>
            </w:r>
            <w:r>
              <w:rPr>
                <w:rtl/>
              </w:rPr>
              <w:fldChar w:fldCharType="end"/>
            </w:r>
          </w:p>
        </w:tc>
        <w:tc>
          <w:tcPr>
            <w:tcW w:w="567" w:type="dxa"/>
          </w:tcPr>
          <w:p w14:paraId="6A60C05A" w14:textId="77777777" w:rsidR="00121D0D" w:rsidRDefault="00121D0D">
            <w:hyperlink w:anchor="Seif6" w:tooltip="פטור מתחולת תקנות" w:history="1">
              <w:r>
                <w:rPr>
                  <w:rStyle w:val="Hyperlink"/>
                </w:rPr>
                <w:t>Go</w:t>
              </w:r>
            </w:hyperlink>
          </w:p>
        </w:tc>
        <w:tc>
          <w:tcPr>
            <w:tcW w:w="5669" w:type="dxa"/>
          </w:tcPr>
          <w:p w14:paraId="1CC02E5D" w14:textId="77777777" w:rsidR="00121D0D" w:rsidRDefault="00121D0D">
            <w:pPr>
              <w:rPr>
                <w:rtl/>
              </w:rPr>
            </w:pPr>
            <w:r>
              <w:rPr>
                <w:rtl/>
              </w:rPr>
              <w:t>פטור מתחולת תקנות</w:t>
            </w:r>
          </w:p>
        </w:tc>
        <w:tc>
          <w:tcPr>
            <w:tcW w:w="1247" w:type="dxa"/>
          </w:tcPr>
          <w:p w14:paraId="13BF6E52" w14:textId="77777777" w:rsidR="00121D0D" w:rsidRDefault="00121D0D">
            <w:r>
              <w:rPr>
                <w:rtl/>
              </w:rPr>
              <w:t xml:space="preserve">סעיף 7 </w:t>
            </w:r>
          </w:p>
        </w:tc>
      </w:tr>
      <w:tr w:rsidR="00121D0D" w14:paraId="6F9F1B30" w14:textId="77777777">
        <w:tblPrEx>
          <w:tblCellMar>
            <w:top w:w="0" w:type="dxa"/>
            <w:bottom w:w="0" w:type="dxa"/>
          </w:tblCellMar>
        </w:tblPrEx>
        <w:trPr>
          <w:jc w:val="right"/>
        </w:trPr>
        <w:tc>
          <w:tcPr>
            <w:tcW w:w="850" w:type="dxa"/>
          </w:tcPr>
          <w:p w14:paraId="0F3F54C2" w14:textId="77777777" w:rsidR="00121D0D" w:rsidRDefault="00121D0D">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4</w:t>
            </w:r>
            <w:r>
              <w:rPr>
                <w:rtl/>
              </w:rPr>
              <w:fldChar w:fldCharType="end"/>
            </w:r>
          </w:p>
        </w:tc>
        <w:tc>
          <w:tcPr>
            <w:tcW w:w="567" w:type="dxa"/>
          </w:tcPr>
          <w:p w14:paraId="0BA35AE4" w14:textId="77777777" w:rsidR="00121D0D" w:rsidRDefault="00121D0D">
            <w:hyperlink w:anchor="Seif7" w:tooltip="הוראות מעבר" w:history="1">
              <w:r>
                <w:rPr>
                  <w:rStyle w:val="Hyperlink"/>
                </w:rPr>
                <w:t>Go</w:t>
              </w:r>
            </w:hyperlink>
          </w:p>
        </w:tc>
        <w:tc>
          <w:tcPr>
            <w:tcW w:w="5669" w:type="dxa"/>
          </w:tcPr>
          <w:p w14:paraId="14E28A16" w14:textId="77777777" w:rsidR="00121D0D" w:rsidRDefault="00121D0D">
            <w:pPr>
              <w:rPr>
                <w:rtl/>
              </w:rPr>
            </w:pPr>
            <w:r>
              <w:rPr>
                <w:rtl/>
              </w:rPr>
              <w:t>הוראות מעבר</w:t>
            </w:r>
          </w:p>
        </w:tc>
        <w:tc>
          <w:tcPr>
            <w:tcW w:w="1247" w:type="dxa"/>
          </w:tcPr>
          <w:p w14:paraId="51D83CBE" w14:textId="77777777" w:rsidR="00121D0D" w:rsidRDefault="00121D0D">
            <w:r>
              <w:rPr>
                <w:rtl/>
              </w:rPr>
              <w:t xml:space="preserve">סעיף 8 </w:t>
            </w:r>
          </w:p>
        </w:tc>
      </w:tr>
      <w:tr w:rsidR="00121D0D" w14:paraId="4D455577" w14:textId="77777777">
        <w:tblPrEx>
          <w:tblCellMar>
            <w:top w:w="0" w:type="dxa"/>
            <w:bottom w:w="0" w:type="dxa"/>
          </w:tblCellMar>
        </w:tblPrEx>
        <w:trPr>
          <w:jc w:val="right"/>
        </w:trPr>
        <w:tc>
          <w:tcPr>
            <w:tcW w:w="850" w:type="dxa"/>
          </w:tcPr>
          <w:p w14:paraId="45E2FC4B" w14:textId="77777777" w:rsidR="00121D0D" w:rsidRDefault="00121D0D">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4</w:t>
            </w:r>
            <w:r>
              <w:rPr>
                <w:rtl/>
              </w:rPr>
              <w:fldChar w:fldCharType="end"/>
            </w:r>
          </w:p>
        </w:tc>
        <w:tc>
          <w:tcPr>
            <w:tcW w:w="567" w:type="dxa"/>
          </w:tcPr>
          <w:p w14:paraId="2FF5ACD4" w14:textId="77777777" w:rsidR="00121D0D" w:rsidRDefault="00121D0D">
            <w:hyperlink w:anchor="Seif8" w:tooltip="תחילה" w:history="1">
              <w:r>
                <w:rPr>
                  <w:rStyle w:val="Hyperlink"/>
                </w:rPr>
                <w:t>Go</w:t>
              </w:r>
            </w:hyperlink>
          </w:p>
        </w:tc>
        <w:tc>
          <w:tcPr>
            <w:tcW w:w="5669" w:type="dxa"/>
          </w:tcPr>
          <w:p w14:paraId="7EF403D9" w14:textId="77777777" w:rsidR="00121D0D" w:rsidRDefault="00121D0D">
            <w:pPr>
              <w:rPr>
                <w:rtl/>
              </w:rPr>
            </w:pPr>
            <w:r>
              <w:rPr>
                <w:rtl/>
              </w:rPr>
              <w:t>תחילה</w:t>
            </w:r>
          </w:p>
        </w:tc>
        <w:tc>
          <w:tcPr>
            <w:tcW w:w="1247" w:type="dxa"/>
          </w:tcPr>
          <w:p w14:paraId="72449CEE" w14:textId="77777777" w:rsidR="00121D0D" w:rsidRDefault="00121D0D">
            <w:r>
              <w:rPr>
                <w:rtl/>
              </w:rPr>
              <w:t xml:space="preserve">סעיף 9 </w:t>
            </w:r>
          </w:p>
        </w:tc>
      </w:tr>
    </w:tbl>
    <w:p w14:paraId="77EC8B92" w14:textId="77777777" w:rsidR="00121D0D" w:rsidRDefault="00121D0D" w:rsidP="00D00F37">
      <w:pPr>
        <w:pStyle w:val="big-header"/>
        <w:ind w:left="0" w:right="1134"/>
        <w:rPr>
          <w:rFonts w:cs="FrankRuehl" w:hint="cs"/>
          <w:sz w:val="32"/>
          <w:rtl/>
        </w:rPr>
      </w:pPr>
      <w:r>
        <w:rPr>
          <w:rFonts w:cs="FrankRuehl"/>
          <w:sz w:val="32"/>
          <w:rtl/>
        </w:rPr>
        <w:br w:type="page"/>
      </w:r>
      <w:r>
        <w:rPr>
          <w:rFonts w:cs="FrankRuehl" w:hint="cs"/>
          <w:sz w:val="32"/>
          <w:rtl/>
        </w:rPr>
        <w:lastRenderedPageBreak/>
        <w:t>תקנות הגנה על הציבור מפני עברייני מין (מעריכי מסוכנות), תשס"ז-2006</w:t>
      </w:r>
      <w:r>
        <w:rPr>
          <w:rStyle w:val="default"/>
          <w:sz w:val="22"/>
          <w:szCs w:val="22"/>
          <w:rtl/>
        </w:rPr>
        <w:footnoteReference w:customMarkFollows="1" w:id="1"/>
        <w:t>*</w:t>
      </w:r>
    </w:p>
    <w:p w14:paraId="48B35BF8" w14:textId="77777777" w:rsidR="00121D0D" w:rsidRDefault="00121D0D">
      <w:pPr>
        <w:pStyle w:val="P00"/>
        <w:spacing w:before="72"/>
        <w:ind w:left="0" w:right="1134"/>
        <w:rPr>
          <w:rStyle w:val="default"/>
          <w:rFonts w:cs="FrankRuehl" w:hint="cs"/>
          <w:rtl/>
        </w:rPr>
      </w:pPr>
      <w:r>
        <w:rPr>
          <w:rFonts w:cs="FrankRuehl"/>
          <w:sz w:val="26"/>
          <w:rtl/>
        </w:rPr>
        <w:tab/>
      </w:r>
      <w:r>
        <w:rPr>
          <w:rStyle w:val="default"/>
          <w:rFonts w:cs="FrankRuehl"/>
          <w:rtl/>
        </w:rPr>
        <w:t>בתוקף סמכויות שר הבריאות ושר הרווחה לפי סעיפים 5 ו</w:t>
      </w:r>
      <w:r>
        <w:rPr>
          <w:rStyle w:val="default"/>
          <w:rFonts w:cs="FrankRuehl" w:hint="cs"/>
          <w:rtl/>
        </w:rPr>
        <w:t>-</w:t>
      </w:r>
      <w:r>
        <w:rPr>
          <w:rStyle w:val="default"/>
          <w:rFonts w:cs="FrankRuehl"/>
          <w:rtl/>
        </w:rPr>
        <w:t>26(ג) לחוק הגנה על הציבור מפני עברייני מין, התשס"ו</w:t>
      </w:r>
      <w:r>
        <w:rPr>
          <w:rStyle w:val="default"/>
          <w:rFonts w:cs="FrankRuehl" w:hint="cs"/>
          <w:rtl/>
        </w:rPr>
        <w:t>-2006</w:t>
      </w:r>
      <w:r>
        <w:rPr>
          <w:rStyle w:val="default"/>
          <w:rFonts w:cs="FrankRuehl"/>
          <w:rtl/>
        </w:rPr>
        <w:t xml:space="preserve"> (להלן – החוק), אנו מתקינים תקנות אלה:</w:t>
      </w:r>
    </w:p>
    <w:p w14:paraId="23DC23B8" w14:textId="77777777" w:rsidR="00121D0D" w:rsidRDefault="00121D0D">
      <w:pPr>
        <w:pStyle w:val="P00"/>
        <w:spacing w:before="72"/>
        <w:ind w:left="0" w:right="1134"/>
        <w:rPr>
          <w:rStyle w:val="default"/>
          <w:rFonts w:cs="FrankRuehl" w:hint="cs"/>
          <w:rtl/>
        </w:rPr>
      </w:pPr>
      <w:bookmarkStart w:id="0" w:name="Seif0"/>
      <w:bookmarkEnd w:id="0"/>
      <w:r>
        <w:rPr>
          <w:rFonts w:cs="Miriam"/>
          <w:lang w:val="he-IL"/>
        </w:rPr>
        <w:pict w14:anchorId="216A78B0">
          <v:rect id="_x0000_s1026" style="position:absolute;left:0;text-align:left;margin-left:464.35pt;margin-top:7.1pt;width:75.05pt;height:10.95pt;z-index:251653632" o:allowincell="f" filled="f" stroked="f" strokecolor="lime" strokeweight=".25pt">
            <v:textbox style="mso-next-textbox:#_x0000_s1026" inset="1mm,0,1mm,0">
              <w:txbxContent>
                <w:p w14:paraId="4F841C46" w14:textId="77777777" w:rsidR="00121D0D" w:rsidRDefault="00121D0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4F530F87" w14:textId="77777777" w:rsidR="00121D0D" w:rsidRDefault="00121D0D">
      <w:pPr>
        <w:pStyle w:val="P00"/>
        <w:spacing w:before="72"/>
        <w:ind w:left="0" w:right="1134"/>
        <w:rPr>
          <w:rStyle w:val="default"/>
          <w:rFonts w:cs="FrankRuehl" w:hint="cs"/>
          <w:rtl/>
        </w:rPr>
      </w:pPr>
      <w:r>
        <w:rPr>
          <w:rStyle w:val="default"/>
          <w:rFonts w:cs="FrankRuehl" w:hint="cs"/>
          <w:rtl/>
        </w:rPr>
        <w:tab/>
        <w:t>"</w:t>
      </w:r>
      <w:r>
        <w:rPr>
          <w:rStyle w:val="default"/>
          <w:rFonts w:cs="FrankRuehl"/>
          <w:rtl/>
        </w:rPr>
        <w:t>הוועדה המייעצת" – ועדה שמונתה לפי תקנה 5;</w:t>
      </w:r>
    </w:p>
    <w:p w14:paraId="40878509" w14:textId="77777777" w:rsidR="00121D0D" w:rsidRDefault="00121D0D">
      <w:pPr>
        <w:pStyle w:val="P00"/>
        <w:spacing w:before="72"/>
        <w:ind w:left="0" w:right="1134"/>
        <w:rPr>
          <w:rStyle w:val="default"/>
          <w:rFonts w:cs="FrankRuehl" w:hint="cs"/>
          <w:rtl/>
        </w:rPr>
      </w:pPr>
      <w:r>
        <w:rPr>
          <w:rStyle w:val="default"/>
          <w:rFonts w:cs="FrankRuehl" w:hint="cs"/>
          <w:rtl/>
        </w:rPr>
        <w:tab/>
        <w:t>"</w:t>
      </w:r>
      <w:r>
        <w:rPr>
          <w:rStyle w:val="default"/>
          <w:rFonts w:cs="FrankRuehl"/>
          <w:rtl/>
        </w:rPr>
        <w:t>השרים" – שר הבריאות ושר הרווחה;</w:t>
      </w:r>
    </w:p>
    <w:p w14:paraId="2A077FB0" w14:textId="77777777" w:rsidR="00121D0D" w:rsidRDefault="00121D0D">
      <w:pPr>
        <w:pStyle w:val="P00"/>
        <w:spacing w:before="72"/>
        <w:ind w:left="0" w:right="1134"/>
        <w:rPr>
          <w:rStyle w:val="default"/>
          <w:rFonts w:cs="FrankRuehl" w:hint="cs"/>
          <w:rtl/>
        </w:rPr>
      </w:pPr>
      <w:r>
        <w:rPr>
          <w:rStyle w:val="default"/>
          <w:rFonts w:cs="FrankRuehl" w:hint="cs"/>
          <w:rtl/>
        </w:rPr>
        <w:tab/>
        <w:t>"</w:t>
      </w:r>
      <w:r>
        <w:rPr>
          <w:rStyle w:val="default"/>
          <w:rFonts w:cs="FrankRuehl"/>
          <w:rtl/>
        </w:rPr>
        <w:t>מבקש" – מי שהגיש בקשה להתמנות למעריך מסוכנות לפי תקנה 2;</w:t>
      </w:r>
    </w:p>
    <w:p w14:paraId="7CBA5F78" w14:textId="77777777" w:rsidR="00121D0D" w:rsidRDefault="00121D0D">
      <w:pPr>
        <w:pStyle w:val="P00"/>
        <w:spacing w:before="72"/>
        <w:ind w:left="0" w:right="1134"/>
        <w:rPr>
          <w:rStyle w:val="default"/>
          <w:rFonts w:cs="FrankRuehl" w:hint="cs"/>
          <w:rtl/>
        </w:rPr>
      </w:pPr>
      <w:r>
        <w:rPr>
          <w:rStyle w:val="default"/>
          <w:rFonts w:cs="FrankRuehl" w:hint="cs"/>
          <w:rtl/>
        </w:rPr>
        <w:tab/>
        <w:t>"</w:t>
      </w:r>
      <w:r>
        <w:rPr>
          <w:rStyle w:val="default"/>
          <w:rFonts w:cs="FrankRuehl"/>
          <w:rtl/>
        </w:rPr>
        <w:t>מנהל משרד הבריאות" – המנהל הכללי של משרד הבריאות או מי שהוא הסמיך לענין תקנות אלה, כולן או מקצתן;</w:t>
      </w:r>
    </w:p>
    <w:p w14:paraId="14ED8B50" w14:textId="77777777" w:rsidR="00121D0D" w:rsidRDefault="00121D0D">
      <w:pPr>
        <w:pStyle w:val="P00"/>
        <w:spacing w:before="72"/>
        <w:ind w:left="0" w:right="1134"/>
        <w:rPr>
          <w:rStyle w:val="default"/>
          <w:rFonts w:cs="FrankRuehl" w:hint="cs"/>
          <w:rtl/>
        </w:rPr>
      </w:pPr>
      <w:r>
        <w:rPr>
          <w:rStyle w:val="default"/>
          <w:rFonts w:cs="FrankRuehl" w:hint="cs"/>
          <w:rtl/>
        </w:rPr>
        <w:tab/>
        <w:t>"</w:t>
      </w:r>
      <w:r>
        <w:rPr>
          <w:rStyle w:val="default"/>
          <w:rFonts w:cs="FrankRuehl"/>
          <w:rtl/>
        </w:rPr>
        <w:t>מנהל משרד הרווחה" – המנהל הכללי של משרד הרווחה או מי שהוא הסמיך לענין תקנות אלה, כולן או מקצתן.</w:t>
      </w:r>
    </w:p>
    <w:p w14:paraId="78063455" w14:textId="77777777" w:rsidR="00121D0D" w:rsidRDefault="00121D0D">
      <w:pPr>
        <w:pStyle w:val="P00"/>
        <w:spacing w:before="72"/>
        <w:ind w:left="0" w:right="1134"/>
        <w:rPr>
          <w:rStyle w:val="default"/>
          <w:rFonts w:cs="FrankRuehl" w:hint="cs"/>
          <w:rtl/>
        </w:rPr>
      </w:pPr>
      <w:bookmarkStart w:id="1" w:name="Seif1"/>
      <w:bookmarkEnd w:id="1"/>
      <w:r>
        <w:rPr>
          <w:rFonts w:cs="Miriam"/>
          <w:lang w:val="he-IL"/>
        </w:rPr>
        <w:pict w14:anchorId="0CA4B097">
          <v:rect id="_x0000_s1066" style="position:absolute;left:0;text-align:left;margin-left:464.35pt;margin-top:7.1pt;width:75.05pt;height:18.55pt;z-index:251654656" o:allowincell="f" filled="f" stroked="f" strokecolor="lime" strokeweight=".25pt">
            <v:textbox style="mso-next-textbox:#_x0000_s1066" inset="1mm,0,1mm,0">
              <w:txbxContent>
                <w:p w14:paraId="5C034A24" w14:textId="77777777" w:rsidR="00121D0D" w:rsidRDefault="00121D0D">
                  <w:pPr>
                    <w:spacing w:line="160" w:lineRule="exact"/>
                    <w:rPr>
                      <w:rFonts w:cs="Miriam" w:hint="cs"/>
                      <w:noProof/>
                      <w:sz w:val="18"/>
                      <w:szCs w:val="18"/>
                      <w:rtl/>
                    </w:rPr>
                  </w:pPr>
                  <w:r>
                    <w:rPr>
                      <w:rFonts w:cs="Miriam" w:hint="cs"/>
                      <w:sz w:val="18"/>
                      <w:szCs w:val="18"/>
                      <w:rtl/>
                    </w:rPr>
                    <w:t>בקשה להתמנות למעריך מסוכנות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בקשת רופא פסיכיאטר, פסיכולוג או קרימינולוג קליני להתמנות למעריך מסוכנות</w:t>
      </w:r>
      <w:r>
        <w:rPr>
          <w:rStyle w:val="default"/>
          <w:rFonts w:cs="FrankRuehl" w:hint="cs"/>
          <w:rtl/>
        </w:rPr>
        <w:t xml:space="preserve"> </w:t>
      </w:r>
      <w:r>
        <w:rPr>
          <w:rStyle w:val="default"/>
          <w:rFonts w:cs="FrankRuehl"/>
          <w:rtl/>
        </w:rPr>
        <w:t>תוגש למנהל משרד הבריאות שיעבירה לבחינת הוועדה המייעצת, והיא תיתן חוות דעת בדבר התאמתו של המבקש להתמנות למעריך מסוכנות.</w:t>
      </w:r>
    </w:p>
    <w:p w14:paraId="21128A88"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בקשת עובד סוציאלי להתמנות למעריך מסוכנות תוגש למנהל משרד הרווחה שיעבירה לבחינת הוועדה המייעצת, והיא תיתן חוות דעת בדבר התאמתו של המבקש להתמנות למעריך מסוכנות.</w:t>
      </w:r>
    </w:p>
    <w:p w14:paraId="5F593B60" w14:textId="77777777" w:rsidR="00121D0D" w:rsidRDefault="00121D0D">
      <w:pPr>
        <w:pStyle w:val="P00"/>
        <w:spacing w:before="72"/>
        <w:ind w:left="0" w:right="1134"/>
        <w:rPr>
          <w:rStyle w:val="default"/>
          <w:rFonts w:cs="FrankRuehl" w:hint="cs"/>
          <w:rtl/>
        </w:rPr>
      </w:pPr>
      <w:bookmarkStart w:id="2" w:name="Seif2"/>
      <w:bookmarkEnd w:id="2"/>
      <w:r>
        <w:rPr>
          <w:rFonts w:cs="Miriam"/>
          <w:lang w:val="he-IL"/>
        </w:rPr>
        <w:pict w14:anchorId="251735C2">
          <v:rect id="_x0000_s1067" style="position:absolute;left:0;text-align:left;margin-left:464.35pt;margin-top:7.1pt;width:75.05pt;height:19.05pt;z-index:251655680" o:allowincell="f" filled="f" stroked="f" strokecolor="lime" strokeweight=".25pt">
            <v:textbox style="mso-next-textbox:#_x0000_s1067" inset="1mm,0,1mm,0">
              <w:txbxContent>
                <w:p w14:paraId="71D695B4" w14:textId="77777777" w:rsidR="00121D0D" w:rsidRDefault="00121D0D">
                  <w:pPr>
                    <w:spacing w:line="160" w:lineRule="exact"/>
                    <w:rPr>
                      <w:rFonts w:cs="Miriam" w:hint="cs"/>
                      <w:noProof/>
                      <w:sz w:val="18"/>
                      <w:szCs w:val="18"/>
                      <w:rtl/>
                    </w:rPr>
                  </w:pPr>
                  <w:r>
                    <w:rPr>
                      <w:rFonts w:cs="Miriam" w:hint="cs"/>
                      <w:sz w:val="18"/>
                      <w:szCs w:val="18"/>
                      <w:rtl/>
                    </w:rPr>
                    <w:t>חוות דעת הוועדה המייעצת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הוועדה המייעצת, לאחר שבחנה בקשה שהוגשה לפי תקנה 2, תגיש לשרים את חוות דעתה שתכלול את אלה:</w:t>
      </w:r>
    </w:p>
    <w:p w14:paraId="7D47C603" w14:textId="77777777" w:rsidR="00121D0D" w:rsidRDefault="00121D0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עמידת המבקש בתנאי ההכשרה המפורטים בתקנה 6;</w:t>
      </w:r>
    </w:p>
    <w:p w14:paraId="45844FC2" w14:textId="77777777" w:rsidR="00121D0D" w:rsidRDefault="00121D0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מבקש שהורשע בעבירה שיש בה כדי להראות שהוא חסר האחריות הדרושה לשמש מעריך מסוכנות – פירוט העבירה, נסיבותיה ונימוקי הוועדה בענין;</w:t>
      </w:r>
    </w:p>
    <w:p w14:paraId="7FF4AA40" w14:textId="77777777" w:rsidR="00121D0D" w:rsidRDefault="00121D0D">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במקרה שקיימת בו עובדה אחרת העשויה להראות שהמבקש איננו מסוגל או איננו ראוי לשמש מעריך מסוכנות – פירוט נימוקי הוועדה בענין.</w:t>
      </w:r>
    </w:p>
    <w:p w14:paraId="68346537" w14:textId="77777777" w:rsidR="00121D0D" w:rsidRDefault="00121D0D">
      <w:pPr>
        <w:pStyle w:val="P00"/>
        <w:spacing w:before="72"/>
        <w:ind w:left="0" w:right="1134"/>
        <w:rPr>
          <w:rStyle w:val="default"/>
          <w:rFonts w:cs="FrankRuehl" w:hint="cs"/>
          <w:rtl/>
        </w:rPr>
      </w:pPr>
      <w:bookmarkStart w:id="3" w:name="Seif3"/>
      <w:bookmarkEnd w:id="3"/>
      <w:r>
        <w:rPr>
          <w:rFonts w:cs="Miriam"/>
          <w:lang w:val="he-IL"/>
        </w:rPr>
        <w:pict w14:anchorId="06762BB5">
          <v:rect id="_x0000_s1068" style="position:absolute;left:0;text-align:left;margin-left:464.35pt;margin-top:7.1pt;width:75.05pt;height:30.9pt;z-index:251656704" filled="f" stroked="f" strokecolor="lime" strokeweight=".25pt">
            <v:textbox style="mso-next-textbox:#_x0000_s1068" inset="1mm,0,1mm,0">
              <w:txbxContent>
                <w:p w14:paraId="0092F206" w14:textId="77777777" w:rsidR="00121D0D" w:rsidRDefault="00121D0D">
                  <w:pPr>
                    <w:pStyle w:val="a7"/>
                    <w:rPr>
                      <w:rFonts w:hint="cs"/>
                      <w:noProof/>
                      <w:rtl/>
                    </w:rPr>
                  </w:pPr>
                  <w:r>
                    <w:rPr>
                      <w:rFonts w:hint="cs"/>
                      <w:rtl/>
                    </w:rPr>
                    <w:t>החלטה בבקשה להתמנות למעריך מסוכנות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החליט שר, לאחר קבלת חוות הדעת של הוועדה המייעצת, למנות מבקש למעריך מסוכנות, יחתום על כתב מינוי.</w:t>
      </w:r>
    </w:p>
    <w:p w14:paraId="3D1BD482"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חתם שר אחד על כתב מינוי לפי תקנת משנה (א), יעביר את כתב המינוי לשר השני, בצירוף המלצת הוועדה המייעצת, והוא יחתום עליו וישלח את כתב המינוי למבקש ואת העתקו לשר הראשון.</w:t>
      </w:r>
    </w:p>
    <w:p w14:paraId="6FB45DC9"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החליט מי מהשרים לדחות בקשה להתמנות למעריך מסוכנות, בין בשל חוות הדעת של הוועדה המייעצת ובין מטעם אחר, תימסר על כך הודעה מנומקת בכתב למבקש עם העתק לשר השני.</w:t>
      </w:r>
    </w:p>
    <w:p w14:paraId="757ECAB2" w14:textId="77777777" w:rsidR="00121D0D" w:rsidRDefault="00121D0D">
      <w:pPr>
        <w:pStyle w:val="P00"/>
        <w:spacing w:before="72"/>
        <w:ind w:left="0" w:right="1134"/>
        <w:rPr>
          <w:rStyle w:val="default"/>
          <w:rFonts w:cs="FrankRuehl" w:hint="cs"/>
          <w:rtl/>
        </w:rPr>
      </w:pPr>
      <w:bookmarkStart w:id="4" w:name="Seif4"/>
      <w:bookmarkEnd w:id="4"/>
      <w:r>
        <w:rPr>
          <w:rFonts w:cs="Miriam"/>
          <w:lang w:val="he-IL"/>
        </w:rPr>
        <w:pict w14:anchorId="7E7780E0">
          <v:rect id="_x0000_s1072" style="position:absolute;left:0;text-align:left;margin-left:464.35pt;margin-top:7.1pt;width:75.05pt;height:11.5pt;z-index:251657728" o:allowincell="f" filled="f" stroked="f" strokecolor="lime" strokeweight=".25pt">
            <v:textbox style="mso-next-textbox:#_x0000_s1072" inset="1mm,0,1mm,0">
              <w:txbxContent>
                <w:p w14:paraId="06449114" w14:textId="77777777" w:rsidR="00121D0D" w:rsidRDefault="00121D0D">
                  <w:pPr>
                    <w:pStyle w:val="a7"/>
                    <w:rPr>
                      <w:rFonts w:hint="cs"/>
                      <w:noProof/>
                      <w:rtl/>
                    </w:rPr>
                  </w:pPr>
                  <w:r>
                    <w:rPr>
                      <w:rFonts w:hint="cs"/>
                      <w:rtl/>
                    </w:rPr>
                    <w:t>ועדה מייעצת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השרים ימנו ועדה מייעצת מבין עובדי משרדיהם שחבריה הם:</w:t>
      </w:r>
    </w:p>
    <w:p w14:paraId="1C331769" w14:textId="77777777" w:rsidR="00121D0D" w:rsidRDefault="00121D0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מנהל משרד הבריאות;</w:t>
      </w:r>
    </w:p>
    <w:p w14:paraId="6F15DDA6" w14:textId="77777777" w:rsidR="00121D0D" w:rsidRDefault="00121D0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מנהל משרד הרווחה;</w:t>
      </w:r>
    </w:p>
    <w:p w14:paraId="34E52696" w14:textId="77777777" w:rsidR="00121D0D" w:rsidRDefault="00121D0D">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יועץ משפטי;</w:t>
      </w:r>
    </w:p>
    <w:p w14:paraId="560616F1" w14:textId="77777777" w:rsidR="00121D0D" w:rsidRDefault="00121D0D">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חבר מתחלף שהוא בעל מקצוע זהה לזה של המבקש מתוך בעלי המקצועות</w:t>
      </w:r>
      <w:r>
        <w:rPr>
          <w:rStyle w:val="default"/>
          <w:rFonts w:cs="FrankRuehl" w:hint="cs"/>
          <w:rtl/>
        </w:rPr>
        <w:t xml:space="preserve"> </w:t>
      </w:r>
      <w:r>
        <w:rPr>
          <w:rStyle w:val="default"/>
          <w:rFonts w:cs="FrankRuehl"/>
          <w:rtl/>
        </w:rPr>
        <w:t>המנויים בסעיף 5(ג) לחוק, ולגבי בקשת עובד סוציאלי – מנהל שירות המבחן למבוגרים במשרד הרווחה (להלן - מנהל שירות המבחן) או נציגו.</w:t>
      </w:r>
    </w:p>
    <w:p w14:paraId="42AAFC35" w14:textId="77777777" w:rsidR="00121D0D" w:rsidRDefault="00121D0D">
      <w:pPr>
        <w:pStyle w:val="P00"/>
        <w:spacing w:before="72"/>
        <w:ind w:left="0" w:right="1134"/>
        <w:rPr>
          <w:rStyle w:val="default"/>
          <w:rFonts w:cs="FrankRuehl" w:hint="cs"/>
          <w:rtl/>
        </w:rPr>
      </w:pPr>
      <w:bookmarkStart w:id="5" w:name="Seif5"/>
      <w:bookmarkEnd w:id="5"/>
      <w:r>
        <w:rPr>
          <w:rFonts w:cs="Miriam"/>
          <w:lang w:val="he-IL"/>
        </w:rPr>
        <w:pict w14:anchorId="499809D2">
          <v:rect id="_x0000_s1073" style="position:absolute;left:0;text-align:left;margin-left:464.35pt;margin-top:7.1pt;width:75.05pt;height:10.3pt;z-index:251658752" o:allowincell="f" filled="f" stroked="f" strokecolor="lime" strokeweight=".25pt">
            <v:textbox style="mso-next-textbox:#_x0000_s1073" inset="1mm,0,1mm,0">
              <w:txbxContent>
                <w:p w14:paraId="4A1A5A12" w14:textId="77777777" w:rsidR="00121D0D" w:rsidRDefault="00121D0D">
                  <w:pPr>
                    <w:pStyle w:val="a7"/>
                    <w:rPr>
                      <w:rFonts w:hint="cs"/>
                      <w:noProof/>
                      <w:rtl/>
                    </w:rPr>
                  </w:pPr>
                  <w:r>
                    <w:rPr>
                      <w:rFonts w:hint="cs"/>
                      <w:rtl/>
                    </w:rPr>
                    <w:t>תנאי ההכשרה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 xml:space="preserve">על מבקש להוכיח, להנחת דעתה של הוועדה המייעצת, כי קיבל את ההכשרה </w:t>
      </w:r>
      <w:r>
        <w:rPr>
          <w:rStyle w:val="default"/>
          <w:rFonts w:cs="FrankRuehl"/>
          <w:rtl/>
        </w:rPr>
        <w:lastRenderedPageBreak/>
        <w:t>כמפורט להלן, או הכשרה שוות ערך לה:</w:t>
      </w:r>
    </w:p>
    <w:p w14:paraId="349A633B" w14:textId="77777777" w:rsidR="00121D0D" w:rsidRDefault="00121D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לימוד בישראל במסגרת מוסד מוכר כמשמעותו בחוק המועצה להשכלה גבוהה, התשי"ח</w:t>
      </w:r>
      <w:r>
        <w:rPr>
          <w:rStyle w:val="default"/>
          <w:rFonts w:cs="FrankRuehl" w:hint="cs"/>
          <w:rtl/>
        </w:rPr>
        <w:t>-1958</w:t>
      </w:r>
      <w:r>
        <w:rPr>
          <w:rStyle w:val="default"/>
          <w:rFonts w:cs="FrankRuehl"/>
          <w:rtl/>
        </w:rPr>
        <w:t xml:space="preserve"> (להלן – מוסד מוכר) את כל הנושאים שלהלן:</w:t>
      </w:r>
    </w:p>
    <w:p w14:paraId="21DDB071" w14:textId="77777777" w:rsidR="00121D0D" w:rsidRDefault="00121D0D">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פסיכופתולוגיה;</w:t>
      </w:r>
    </w:p>
    <w:p w14:paraId="50C6A901" w14:textId="77777777" w:rsidR="00121D0D" w:rsidRDefault="00121D0D">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התנהגות נורמלית ואב</w:t>
      </w:r>
      <w:r>
        <w:rPr>
          <w:rStyle w:val="default"/>
          <w:rFonts w:cs="FrankRuehl" w:hint="cs"/>
          <w:rtl/>
        </w:rPr>
        <w:t>-</w:t>
      </w:r>
      <w:r>
        <w:rPr>
          <w:rStyle w:val="default"/>
          <w:rFonts w:cs="FrankRuehl"/>
          <w:rtl/>
        </w:rPr>
        <w:t>נורמלית;</w:t>
      </w:r>
    </w:p>
    <w:p w14:paraId="704E6FEA" w14:textId="77777777" w:rsidR="00121D0D" w:rsidRDefault="00121D0D">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עקרונות בריאיון קליני;</w:t>
      </w:r>
    </w:p>
    <w:p w14:paraId="0C285B13" w14:textId="77777777" w:rsidR="00121D0D" w:rsidRDefault="00121D0D">
      <w:pPr>
        <w:pStyle w:val="P00"/>
        <w:spacing w:before="72"/>
        <w:ind w:left="147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מיניות האדם;</w:t>
      </w:r>
    </w:p>
    <w:p w14:paraId="033A8D25" w14:textId="77777777" w:rsidR="00121D0D" w:rsidRDefault="00121D0D">
      <w:pPr>
        <w:pStyle w:val="P00"/>
        <w:spacing w:before="72"/>
        <w:ind w:left="147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הפרעות בתפקוד המיני, הפרעות בזהות המינית וסטיות;</w:t>
      </w:r>
    </w:p>
    <w:p w14:paraId="7845827B" w14:textId="77777777" w:rsidR="00121D0D" w:rsidRDefault="00121D0D">
      <w:pPr>
        <w:pStyle w:val="P00"/>
        <w:spacing w:before="72"/>
        <w:ind w:left="147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מאפיינים קרימינוגנים של עברייני מין או עקרונות בעבריינות ובסטיה חברתית בדגש על עברייני מין;</w:t>
      </w:r>
    </w:p>
    <w:p w14:paraId="1DAB91D0" w14:textId="77777777" w:rsidR="00121D0D" w:rsidRDefault="00121D0D">
      <w:pPr>
        <w:pStyle w:val="P00"/>
        <w:spacing w:before="72"/>
        <w:ind w:left="147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מעגל התקיפה;</w:t>
      </w:r>
    </w:p>
    <w:p w14:paraId="5A059CF9" w14:textId="77777777" w:rsidR="00121D0D" w:rsidRDefault="00121D0D">
      <w:pPr>
        <w:pStyle w:val="P00"/>
        <w:spacing w:before="72"/>
        <w:ind w:left="147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קרבנות;</w:t>
      </w:r>
    </w:p>
    <w:p w14:paraId="2463D014" w14:textId="77777777" w:rsidR="00121D0D" w:rsidRDefault="00121D0D">
      <w:pPr>
        <w:pStyle w:val="P00"/>
        <w:spacing w:before="72"/>
        <w:ind w:left="147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הערכת מסוכנות;</w:t>
      </w:r>
    </w:p>
    <w:p w14:paraId="24325E04" w14:textId="77777777" w:rsidR="00121D0D" w:rsidRDefault="00121D0D">
      <w:pPr>
        <w:pStyle w:val="P00"/>
        <w:spacing w:before="72"/>
        <w:ind w:left="147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דרכי טיפול והתערבות בעברייני מין.</w:t>
      </w:r>
    </w:p>
    <w:p w14:paraId="3B4D959F" w14:textId="77777777" w:rsidR="00121D0D" w:rsidRDefault="00121D0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אחד מאלה:</w:t>
      </w:r>
    </w:p>
    <w:p w14:paraId="2A71CA42" w14:textId="77777777" w:rsidR="00121D0D" w:rsidRDefault="00121D0D">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בעל ניסיון מצטבר של חמש שנים לפחות משך שמונה השנים שקדמו</w:t>
      </w:r>
      <w:r>
        <w:rPr>
          <w:rStyle w:val="default"/>
          <w:rFonts w:cs="FrankRuehl" w:hint="cs"/>
          <w:rtl/>
        </w:rPr>
        <w:t xml:space="preserve"> </w:t>
      </w:r>
      <w:r>
        <w:rPr>
          <w:rStyle w:val="default"/>
          <w:rFonts w:cs="FrankRuehl"/>
          <w:rtl/>
        </w:rPr>
        <w:t>להגשת הבקשה, בטיפול ובאבחון עברייני מין או במי שאובחנו סובלים</w:t>
      </w:r>
      <w:r>
        <w:rPr>
          <w:rStyle w:val="default"/>
          <w:rFonts w:cs="FrankRuehl" w:hint="cs"/>
          <w:rtl/>
        </w:rPr>
        <w:t xml:space="preserve"> </w:t>
      </w:r>
      <w:r>
        <w:rPr>
          <w:rStyle w:val="default"/>
          <w:rFonts w:cs="FrankRuehl"/>
          <w:rtl/>
        </w:rPr>
        <w:t>מסטיות מין וזאת במסגרות טיפול ציבוריות, ממשלתיות או של רשויות מקומיות ובהיקף מינימלי של 10 שעות שבועיות לפחות בממוצע;</w:t>
      </w:r>
    </w:p>
    <w:p w14:paraId="6A69031E" w14:textId="77777777" w:rsidR="00121D0D" w:rsidRDefault="00121D0D">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לגבי מי שלא עבד במסגרות ציבוריות כאמור בפסקת משנה (א) – הוכחת עבודה פרטנית של לא פחות מ</w:t>
      </w:r>
      <w:r>
        <w:rPr>
          <w:rStyle w:val="default"/>
          <w:rFonts w:cs="FrankRuehl" w:hint="cs"/>
          <w:rtl/>
        </w:rPr>
        <w:t>-</w:t>
      </w:r>
      <w:r>
        <w:rPr>
          <w:rStyle w:val="default"/>
          <w:rFonts w:cs="FrankRuehl"/>
          <w:rtl/>
        </w:rPr>
        <w:t>2,700 שעות ניסיון כאמור בעבודה עם עברייני מין מסוגים שונים או מי שאובחנו סובלים מסטיות מין שונות בחמש</w:t>
      </w:r>
      <w:r>
        <w:rPr>
          <w:rStyle w:val="default"/>
          <w:rFonts w:cs="FrankRuehl" w:hint="cs"/>
          <w:rtl/>
        </w:rPr>
        <w:t xml:space="preserve"> </w:t>
      </w:r>
      <w:r>
        <w:rPr>
          <w:rStyle w:val="default"/>
          <w:rFonts w:cs="FrankRuehl"/>
          <w:rtl/>
        </w:rPr>
        <w:t>השנים שקדמו להגשת הבקשה, כאשר שליש לפחות מהשעות האמורות</w:t>
      </w:r>
      <w:r>
        <w:rPr>
          <w:rStyle w:val="default"/>
          <w:rFonts w:cs="FrankRuehl" w:hint="cs"/>
          <w:rtl/>
        </w:rPr>
        <w:t xml:space="preserve"> </w:t>
      </w:r>
      <w:r>
        <w:rPr>
          <w:rStyle w:val="default"/>
          <w:rFonts w:cs="FrankRuehl"/>
          <w:rtl/>
        </w:rPr>
        <w:t>היו שעות עבודה עם עברייני מין באבחון ובהכנת חוות דעת על אודותם;</w:t>
      </w:r>
      <w:r>
        <w:rPr>
          <w:rStyle w:val="default"/>
          <w:rFonts w:cs="FrankRuehl" w:hint="cs"/>
          <w:rtl/>
        </w:rPr>
        <w:t xml:space="preserve"> </w:t>
      </w:r>
      <w:r>
        <w:rPr>
          <w:rStyle w:val="default"/>
          <w:rFonts w:cs="FrankRuehl"/>
          <w:rtl/>
        </w:rPr>
        <w:t>כדי להוכיח עבודה במסגרת אחרת כאמור רשאית הוועדה המייעצת לדרוש</w:t>
      </w:r>
      <w:r>
        <w:rPr>
          <w:rStyle w:val="default"/>
          <w:rFonts w:cs="FrankRuehl" w:hint="cs"/>
          <w:rtl/>
        </w:rPr>
        <w:t xml:space="preserve"> </w:t>
      </w:r>
      <w:r>
        <w:rPr>
          <w:rStyle w:val="default"/>
          <w:rFonts w:cs="FrankRuehl"/>
          <w:rtl/>
        </w:rPr>
        <w:t>ממבקש להציג לה העתקים מרשומות טיפוליות, מחוות דעת או מכל מסמך</w:t>
      </w:r>
      <w:r>
        <w:rPr>
          <w:rStyle w:val="default"/>
          <w:rFonts w:cs="FrankRuehl" w:hint="cs"/>
          <w:rtl/>
        </w:rPr>
        <w:t xml:space="preserve"> </w:t>
      </w:r>
      <w:r>
        <w:rPr>
          <w:rStyle w:val="default"/>
          <w:rFonts w:cs="FrankRuehl"/>
          <w:rtl/>
        </w:rPr>
        <w:t>רלוונטי אחר היכול להעיד על ניסיונו של המבקש, מהם הוסרו הפרטים המזהים של המטופל;</w:t>
      </w:r>
    </w:p>
    <w:p w14:paraId="59A97821" w14:textId="77777777" w:rsidR="00121D0D" w:rsidRDefault="00121D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היה המבקש בעל ניסיון מצטבר של חמש שנים לפחות משך שמונה השנים שקדמו להגשת הבקשה בטיפול ובאבחון של עבריינים, יידרש ממנו ניסיון בהערכה, בטיפול ובאבחון בעבריינות בהיקף מינימלי של 20 שעות שבועיות בממוצע ומתוכן שנה אחת בטיפול, הערכה ואבחון של עברייני מין או במי שאובחנו סובלים מסטיות מין בהיקף של 10 שעות שבועיות בממוצע וזאת במסגרות ציבוריות, ממשלתיות או של רשויות מקומיות;</w:t>
      </w:r>
    </w:p>
    <w:p w14:paraId="557268D9" w14:textId="77777777" w:rsidR="00121D0D" w:rsidRDefault="00121D0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מבקש שאינו בעל תואר שני, נוסף על התנאים המפורטים בפסקאות (1) ו</w:t>
      </w:r>
      <w:r>
        <w:rPr>
          <w:rStyle w:val="default"/>
          <w:rFonts w:cs="FrankRuehl" w:hint="cs"/>
          <w:rtl/>
        </w:rPr>
        <w:t>-(</w:t>
      </w:r>
      <w:r>
        <w:rPr>
          <w:rStyle w:val="default"/>
          <w:rFonts w:cs="FrankRuehl"/>
          <w:rtl/>
        </w:rPr>
        <w:t>2) – קיבל גם הדרכות שבועיות במשך שנתיים לפחות ממעריך מסוכנות או מבעל</w:t>
      </w:r>
      <w:r>
        <w:rPr>
          <w:rStyle w:val="default"/>
          <w:rFonts w:cs="FrankRuehl" w:hint="cs"/>
          <w:rtl/>
        </w:rPr>
        <w:t xml:space="preserve"> </w:t>
      </w:r>
      <w:r>
        <w:rPr>
          <w:rStyle w:val="default"/>
          <w:rFonts w:cs="FrankRuehl"/>
          <w:rtl/>
        </w:rPr>
        <w:t>מקצוע המנוי בסעיף 5(ג) לחוק שהוא בעל תואר שני וחמש שנות ניסיון לפחות בביצוע אבחונים לעברייני מין.</w:t>
      </w:r>
    </w:p>
    <w:p w14:paraId="212D2506"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הוועדה המייעצת רשאית, לפי שיקול דעתה, לראיין מבקש לצורך קבלת הבהרות או השלמות של פרטי הבקשה וכדי לבחון את בקיאותו בספרות מקצועית עדכנית ככל שתמצא שהדבר דרוש.</w:t>
      </w:r>
    </w:p>
    <w:p w14:paraId="5BF22900"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הוועדה המייעצת רשאית להכיר בלימודים שנערכו במוסד או במכון בחוץ לארץ אם ראתה שמדובר במוסד שווה ערך למוסד ישראלי מוכר וכי היקף הלימודים ותוכנם תואמים את דרישות תקנות אלה או שווי ערך להן.</w:t>
      </w:r>
    </w:p>
    <w:p w14:paraId="741BCC53" w14:textId="77777777" w:rsidR="00121D0D" w:rsidRDefault="00121D0D">
      <w:pPr>
        <w:pStyle w:val="P00"/>
        <w:spacing w:before="72"/>
        <w:ind w:left="0" w:right="1134"/>
        <w:rPr>
          <w:rStyle w:val="default"/>
          <w:rFonts w:cs="FrankRuehl" w:hint="cs"/>
          <w:rtl/>
        </w:rPr>
      </w:pPr>
      <w:bookmarkStart w:id="6" w:name="Seif6"/>
      <w:bookmarkEnd w:id="6"/>
      <w:r>
        <w:rPr>
          <w:rFonts w:cs="Miriam"/>
          <w:lang w:val="he-IL"/>
        </w:rPr>
        <w:pict w14:anchorId="68BDA9DC">
          <v:rect id="_x0000_s1074" style="position:absolute;left:0;text-align:left;margin-left:464.35pt;margin-top:7.1pt;width:75.05pt;height:19.95pt;z-index:251659776" o:allowincell="f" filled="f" stroked="f" strokecolor="lime" strokeweight=".25pt">
            <v:textbox style="mso-next-textbox:#_x0000_s1074" inset="1mm,0,1mm,0">
              <w:txbxContent>
                <w:p w14:paraId="5EE6A87C" w14:textId="77777777" w:rsidR="00121D0D" w:rsidRDefault="00121D0D">
                  <w:pPr>
                    <w:pStyle w:val="a7"/>
                    <w:rPr>
                      <w:rFonts w:hint="cs"/>
                      <w:noProof/>
                      <w:rtl/>
                    </w:rPr>
                  </w:pPr>
                  <w:r>
                    <w:rPr>
                      <w:rFonts w:hint="cs"/>
                      <w:rtl/>
                    </w:rPr>
                    <w:t>פטור מתחולת תקנות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השרים רשאים, על פי המלצת מנהל שירות המבחן, למנות למעריך מסוכנות קצין מבחן שקיבל הכשרה מתאימה לפי תקנה 6(א)(1) ולפי שיקול דעתו של מנהל שירות המבחן, אף אם לא עמד בתנאי תקנה 6(א)(2) ו</w:t>
      </w:r>
      <w:r>
        <w:rPr>
          <w:rStyle w:val="default"/>
          <w:rFonts w:cs="FrankRuehl" w:hint="cs"/>
          <w:rtl/>
        </w:rPr>
        <w:t>-</w:t>
      </w:r>
      <w:r>
        <w:rPr>
          <w:rStyle w:val="default"/>
          <w:rFonts w:cs="FrankRuehl"/>
          <w:rtl/>
        </w:rPr>
        <w:t>(3) ואף בלא חוות דעת של הוועדה המייעצת; קצין מבחן שמונה לפי תקנת משנה זו, לא יבצע כל תפקיד המוטל על קצין מבחן מכוח חוק.</w:t>
      </w:r>
    </w:p>
    <w:p w14:paraId="697A787F"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השרים רשאים, על פי המלצת מנהל משרד הבריאות או מנהל משרד הרווחה, לפי הענין, למנות עובד מבין עובדי משרדיהם למעריכי מסוכנות אף בלא המלצה של הוועדה המייעצת ובתנאי שעמדו בתנאי ההכשרה המפורטים בתקנה 6.</w:t>
      </w:r>
    </w:p>
    <w:p w14:paraId="1A6D9327" w14:textId="77777777" w:rsidR="00121D0D" w:rsidRDefault="00121D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מינוי שניתן לפי תקנה זו יפקע עם פרישתו של העובד משירות המדינה ובמקרה כזה יהיה זכאי בעל המינוי להתמנות שנית רק אם הגיש בקשה ועמד בכל תנאי תקנות אלה.</w:t>
      </w:r>
    </w:p>
    <w:p w14:paraId="78B31209" w14:textId="77777777" w:rsidR="00121D0D" w:rsidRDefault="00121D0D">
      <w:pPr>
        <w:pStyle w:val="P00"/>
        <w:spacing w:before="72"/>
        <w:ind w:left="0" w:right="1134"/>
        <w:rPr>
          <w:rStyle w:val="default"/>
          <w:rFonts w:cs="FrankRuehl" w:hint="cs"/>
          <w:rtl/>
        </w:rPr>
      </w:pPr>
      <w:bookmarkStart w:id="7" w:name="Seif7"/>
      <w:bookmarkEnd w:id="7"/>
      <w:r>
        <w:rPr>
          <w:rFonts w:cs="Miriam"/>
          <w:lang w:val="he-IL"/>
        </w:rPr>
        <w:pict w14:anchorId="4F2A3E54">
          <v:rect id="_x0000_s1075" style="position:absolute;left:0;text-align:left;margin-left:464.35pt;margin-top:7.1pt;width:75.05pt;height:10pt;z-index:251660800" o:allowincell="f" filled="f" stroked="f" strokecolor="lime" strokeweight=".25pt">
            <v:textbox style="mso-next-textbox:#_x0000_s1075" inset="1mm,0,1mm,0">
              <w:txbxContent>
                <w:p w14:paraId="6B478706" w14:textId="77777777" w:rsidR="00121D0D" w:rsidRDefault="00121D0D">
                  <w:pPr>
                    <w:pStyle w:val="a7"/>
                    <w:rPr>
                      <w:rFonts w:hint="cs"/>
                      <w:noProof/>
                      <w:rtl/>
                    </w:rPr>
                  </w:pPr>
                  <w:r>
                    <w:rPr>
                      <w:rFonts w:hint="cs"/>
                      <w:rtl/>
                    </w:rPr>
                    <w:t>הוראות מעבר</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על אף האמור בתקנות אלה, רשאים השרים, על פי המלצת הוועדה המייעצת, למנות למעריך מסוכנות אדם שלא נתקיימו בו תנאי תקנות אלה ובתנאי שהתקיימו כל אלה:</w:t>
      </w:r>
    </w:p>
    <w:p w14:paraId="08C7DF6E" w14:textId="77777777" w:rsidR="00121D0D" w:rsidRDefault="00121D0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הוגשה בקשה לא יאוחר משישה חודשים מיום התחילה כאמור בתקנה 9 (להלן – יום התחילה);</w:t>
      </w:r>
    </w:p>
    <w:p w14:paraId="76D331AF" w14:textId="77777777" w:rsidR="00121D0D" w:rsidRDefault="00121D0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המבקש עסק בפועל בחמש השנים מתוך שמונה השנים שקדמו ליום התחילה</w:t>
      </w:r>
      <w:r>
        <w:rPr>
          <w:rStyle w:val="default"/>
          <w:rFonts w:cs="FrankRuehl" w:hint="cs"/>
          <w:rtl/>
        </w:rPr>
        <w:t xml:space="preserve"> </w:t>
      </w:r>
      <w:r>
        <w:rPr>
          <w:rStyle w:val="default"/>
          <w:rFonts w:cs="FrankRuehl"/>
          <w:rtl/>
        </w:rPr>
        <w:t>בטיפול, באבחון ובביצוע הערכות מסוכנות של עברייני מין או מי שאובחנו סובלים מסטיות מין והכשרתו פוחתת רק במידה מועטה מהנדרש לפי תקנות אלה.</w:t>
      </w:r>
    </w:p>
    <w:p w14:paraId="1F2605A8" w14:textId="77777777" w:rsidR="00121D0D" w:rsidRDefault="00121D0D">
      <w:pPr>
        <w:pStyle w:val="P00"/>
        <w:spacing w:before="72"/>
        <w:ind w:left="0" w:right="1134"/>
        <w:rPr>
          <w:rStyle w:val="default"/>
          <w:rFonts w:cs="FrankRuehl" w:hint="cs"/>
          <w:rtl/>
        </w:rPr>
      </w:pPr>
      <w:bookmarkStart w:id="8" w:name="Seif8"/>
      <w:bookmarkEnd w:id="8"/>
      <w:r>
        <w:rPr>
          <w:rFonts w:cs="Miriam"/>
          <w:lang w:val="he-IL"/>
        </w:rPr>
        <w:pict w14:anchorId="22A5FB74">
          <v:rect id="_x0000_s1076" style="position:absolute;left:0;text-align:left;margin-left:464.35pt;margin-top:7.1pt;width:75.05pt;height:10.25pt;z-index:251661824" o:allowincell="f" filled="f" stroked="f" strokecolor="lime" strokeweight=".25pt">
            <v:textbox style="mso-next-textbox:#_x0000_s1076" inset="1mm,0,1mm,0">
              <w:txbxContent>
                <w:p w14:paraId="3E69FB49" w14:textId="77777777" w:rsidR="00121D0D" w:rsidRDefault="00121D0D">
                  <w:pPr>
                    <w:pStyle w:val="a7"/>
                    <w:rPr>
                      <w:rFonts w:hint="cs"/>
                      <w:noProof/>
                      <w:rtl/>
                    </w:rPr>
                  </w:pPr>
                  <w:r>
                    <w:rPr>
                      <w:rFonts w:hint="cs"/>
                      <w:rtl/>
                    </w:rPr>
                    <w:t>תחילה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ביום י"א בתשרי התשס"ז (3 באוקטובר 2006).</w:t>
      </w:r>
    </w:p>
    <w:p w14:paraId="10B3B3E8" w14:textId="77777777" w:rsidR="00121D0D" w:rsidRDefault="00121D0D">
      <w:pPr>
        <w:pStyle w:val="page"/>
        <w:widowControl/>
        <w:spacing w:before="72"/>
        <w:ind w:right="1134"/>
        <w:rPr>
          <w:rStyle w:val="default"/>
          <w:rFonts w:cs="FrankRuehl" w:hint="cs"/>
          <w:position w:val="0"/>
          <w:rtl/>
        </w:rPr>
      </w:pPr>
    </w:p>
    <w:p w14:paraId="590995C2" w14:textId="77777777" w:rsidR="00121D0D" w:rsidRDefault="00121D0D">
      <w:pPr>
        <w:pStyle w:val="page"/>
        <w:widowControl/>
        <w:spacing w:before="72"/>
        <w:ind w:right="1134"/>
        <w:rPr>
          <w:rStyle w:val="default"/>
          <w:rFonts w:cs="FrankRuehl"/>
          <w:position w:val="0"/>
          <w:rtl/>
        </w:rPr>
      </w:pPr>
    </w:p>
    <w:p w14:paraId="5FC32272" w14:textId="77777777" w:rsidR="00121D0D" w:rsidRDefault="00121D0D">
      <w:pPr>
        <w:pStyle w:val="sig-0"/>
        <w:tabs>
          <w:tab w:val="clear" w:pos="4820"/>
          <w:tab w:val="center" w:pos="5103"/>
        </w:tabs>
        <w:ind w:left="0" w:right="1134"/>
        <w:rPr>
          <w:rFonts w:cs="FrankRuehl" w:hint="cs"/>
          <w:sz w:val="26"/>
          <w:rtl/>
        </w:rPr>
      </w:pPr>
      <w:r>
        <w:rPr>
          <w:rFonts w:cs="FrankRuehl" w:hint="cs"/>
          <w:sz w:val="26"/>
          <w:rtl/>
        </w:rPr>
        <w:t>י"א בתשרי התשס"ז (3 באוקטובר 2006)</w:t>
      </w:r>
    </w:p>
    <w:p w14:paraId="5C0D49A0" w14:textId="77777777" w:rsidR="00121D0D" w:rsidRDefault="00121D0D">
      <w:pPr>
        <w:pStyle w:val="sig-0"/>
        <w:tabs>
          <w:tab w:val="clear" w:pos="4820"/>
          <w:tab w:val="center" w:pos="3969"/>
          <w:tab w:val="center" w:pos="6237"/>
        </w:tabs>
        <w:ind w:left="0" w:right="1134"/>
        <w:rPr>
          <w:rFonts w:cs="FrankRuehl" w:hint="cs"/>
          <w:sz w:val="26"/>
          <w:rtl/>
        </w:rPr>
      </w:pPr>
      <w:r>
        <w:rPr>
          <w:rFonts w:cs="FrankRuehl" w:hint="cs"/>
          <w:sz w:val="26"/>
          <w:rtl/>
        </w:rPr>
        <w:tab/>
        <w:t>אהוד אולמרט</w:t>
      </w:r>
      <w:r>
        <w:rPr>
          <w:rFonts w:cs="FrankRuehl" w:hint="cs"/>
          <w:sz w:val="26"/>
          <w:rtl/>
        </w:rPr>
        <w:tab/>
        <w:t>יעקב בן יזרי</w:t>
      </w:r>
    </w:p>
    <w:p w14:paraId="04CE73A4" w14:textId="77777777" w:rsidR="00121D0D" w:rsidRDefault="00121D0D">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r>
      <w:r>
        <w:rPr>
          <w:rFonts w:cs="FrankRuehl" w:hint="cs"/>
          <w:sz w:val="22"/>
          <w:rtl/>
        </w:rPr>
        <w:t>ראש הממשלה ושר הרווחה</w:t>
      </w:r>
      <w:r>
        <w:rPr>
          <w:rFonts w:cs="FrankRuehl" w:hint="cs"/>
          <w:sz w:val="22"/>
          <w:rtl/>
        </w:rPr>
        <w:tab/>
        <w:t>שר הבריאות</w:t>
      </w:r>
    </w:p>
    <w:p w14:paraId="7F371F5C" w14:textId="77777777" w:rsidR="00121D0D" w:rsidRDefault="00121D0D">
      <w:pPr>
        <w:pStyle w:val="sig-1"/>
        <w:widowControl/>
        <w:tabs>
          <w:tab w:val="clear" w:pos="851"/>
          <w:tab w:val="clear" w:pos="2835"/>
          <w:tab w:val="clear" w:pos="4820"/>
          <w:tab w:val="center" w:pos="5103"/>
        </w:tabs>
        <w:ind w:left="0" w:right="1134"/>
        <w:rPr>
          <w:rFonts w:cs="FrankRuehl" w:hint="cs"/>
          <w:sz w:val="26"/>
          <w:szCs w:val="26"/>
          <w:rtl/>
        </w:rPr>
      </w:pPr>
    </w:p>
    <w:p w14:paraId="00BB02E3" w14:textId="77777777" w:rsidR="00121D0D" w:rsidRDefault="00121D0D">
      <w:pPr>
        <w:pStyle w:val="sig-1"/>
        <w:widowControl/>
        <w:tabs>
          <w:tab w:val="clear" w:pos="851"/>
          <w:tab w:val="clear" w:pos="2835"/>
          <w:tab w:val="clear" w:pos="4820"/>
          <w:tab w:val="center" w:pos="1701"/>
          <w:tab w:val="center" w:pos="3402"/>
        </w:tabs>
        <w:ind w:left="0" w:right="1134"/>
        <w:rPr>
          <w:rFonts w:cs="FrankRuehl"/>
          <w:sz w:val="26"/>
          <w:szCs w:val="26"/>
          <w:rtl/>
        </w:rPr>
      </w:pPr>
    </w:p>
    <w:sectPr w:rsidR="00121D0D">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FA0E4" w14:textId="77777777" w:rsidR="00121D0D" w:rsidRDefault="00121D0D">
      <w:r>
        <w:separator/>
      </w:r>
    </w:p>
  </w:endnote>
  <w:endnote w:type="continuationSeparator" w:id="0">
    <w:p w14:paraId="19432663" w14:textId="77777777" w:rsidR="00121D0D" w:rsidRDefault="0012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1530" w14:textId="77777777" w:rsidR="00121D0D" w:rsidRDefault="00121D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AAB93C" w14:textId="77777777" w:rsidR="00121D0D" w:rsidRDefault="00121D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913B17" w14:textId="77777777" w:rsidR="00121D0D" w:rsidRDefault="00121D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Z:\00000000-law\yael\06-10-10\999_676.doc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23F1" w14:textId="77777777" w:rsidR="00121D0D" w:rsidRDefault="00121D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0F37">
      <w:rPr>
        <w:rFonts w:hAnsi="FrankRuehl" w:cs="FrankRuehl"/>
        <w:noProof/>
        <w:sz w:val="24"/>
        <w:szCs w:val="24"/>
        <w:rtl/>
      </w:rPr>
      <w:t>1</w:t>
    </w:r>
    <w:r>
      <w:rPr>
        <w:rFonts w:hAnsi="FrankRuehl" w:cs="FrankRuehl"/>
        <w:sz w:val="24"/>
        <w:szCs w:val="24"/>
        <w:rtl/>
      </w:rPr>
      <w:fldChar w:fldCharType="end"/>
    </w:r>
  </w:p>
  <w:p w14:paraId="48537A64" w14:textId="77777777" w:rsidR="00121D0D" w:rsidRDefault="00121D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8B1DC1" w14:textId="77777777" w:rsidR="00121D0D" w:rsidRDefault="00121D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Z:\00000000-law\yael\06-10-10\999_676.doc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49EF" w14:textId="77777777" w:rsidR="00121D0D" w:rsidRDefault="00121D0D">
      <w:pPr>
        <w:spacing w:before="60"/>
        <w:ind w:right="1134"/>
      </w:pPr>
      <w:r>
        <w:separator/>
      </w:r>
    </w:p>
  </w:footnote>
  <w:footnote w:type="continuationSeparator" w:id="0">
    <w:p w14:paraId="5D28712A" w14:textId="77777777" w:rsidR="00121D0D" w:rsidRDefault="00121D0D">
      <w:r>
        <w:separator/>
      </w:r>
    </w:p>
  </w:footnote>
  <w:footnote w:id="1">
    <w:p w14:paraId="265D5987" w14:textId="77777777" w:rsidR="00121D0D" w:rsidRDefault="00121D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ק"ת תשס"ז מס' 6526</w:t>
        </w:r>
      </w:hyperlink>
      <w:r>
        <w:rPr>
          <w:rFonts w:cs="FrankRuehl" w:hint="cs"/>
          <w:rtl/>
        </w:rPr>
        <w:t xml:space="preserve"> מיום 5.10.2006 עמ' 157.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97D8" w14:textId="77777777" w:rsidR="00121D0D" w:rsidRDefault="00121D0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57B0A50" w14:textId="77777777" w:rsidR="00121D0D" w:rsidRDefault="00121D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479EE4" w14:textId="77777777" w:rsidR="00121D0D" w:rsidRDefault="00121D0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BBD1" w14:textId="77777777" w:rsidR="00121D0D" w:rsidRDefault="00121D0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הגנה על הציבור מפני עברייני מין (מעריכי מסוכנות), תשס"ז-2006</w:t>
    </w:r>
  </w:p>
  <w:p w14:paraId="5C8EE6EA" w14:textId="77777777" w:rsidR="00121D0D" w:rsidRDefault="00121D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3D7C5E" w14:textId="77777777" w:rsidR="00121D0D" w:rsidRDefault="00121D0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8201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0F37"/>
    <w:rsid w:val="00121D0D"/>
    <w:rsid w:val="00D00F37"/>
    <w:rsid w:val="00E745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E553360"/>
  <w15:chartTrackingRefBased/>
  <w15:docId w15:val="{37E73A41-2849-4288-ACF9-C236D7E1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6643</CharactersWithSpaces>
  <SharedDoc>false</SharedDoc>
  <HLinks>
    <vt:vector size="60"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8192011</vt:i4>
      </vt:variant>
      <vt:variant>
        <vt:i4>0</vt:i4>
      </vt:variant>
      <vt:variant>
        <vt:i4>0</vt:i4>
      </vt:variant>
      <vt:variant>
        <vt:i4>5</vt:i4>
      </vt:variant>
      <vt:variant>
        <vt:lpwstr>http://www.nevo.co.il/Law_word/law06/TAK-6526.pdf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הגנה על הציבור מפני עברייני מין (מעריכי מסוכנות), תשס"ז-2006</vt:lpwstr>
  </property>
  <property fmtid="{D5CDD505-2E9C-101B-9397-08002B2CF9AE}" pid="4" name="LAWNUMBER">
    <vt:lpwstr>0676</vt:lpwstr>
  </property>
  <property fmtid="{D5CDD505-2E9C-101B-9397-08002B2CF9AE}" pid="5" name="TYPE">
    <vt:lpwstr>01</vt:lpwstr>
  </property>
  <property fmtid="{D5CDD505-2E9C-101B-9397-08002B2CF9AE}" pid="6" name="CHNAME">
    <vt:lpwstr>ביטחון הציבור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http://www.nevo.co.il/Law_word/law06/TAK-6526.pdf;רשומות - תקנות כלליות#פורסם ק"ת תשס"ז מס' 6526 #מיום 5.10.2006 #עמ' 157</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עברייני מין</vt:lpwstr>
  </property>
  <property fmtid="{D5CDD505-2E9C-101B-9397-08002B2CF9AE}" pid="25" name="NOSE41">
    <vt:lpwstr>הגנה על הציבור</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