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E6D3C" w14:textId="77777777" w:rsidR="00AC07F5" w:rsidRDefault="00AC07F5" w:rsidP="0099105B">
      <w:pPr>
        <w:pStyle w:val="big-header"/>
        <w:ind w:left="0" w:right="1134"/>
        <w:rPr>
          <w:rFonts w:cs="FrankRuehl" w:hint="cs"/>
          <w:sz w:val="32"/>
          <w:rtl/>
        </w:rPr>
      </w:pPr>
      <w:r>
        <w:rPr>
          <w:rFonts w:cs="FrankRuehl"/>
          <w:sz w:val="32"/>
          <w:rtl/>
        </w:rPr>
        <w:t>תקנות הגנת הדייר (סדרי הדין בבתי הדין לשכירות), תשי"ד</w:t>
      </w:r>
      <w:r w:rsidR="0099105B">
        <w:rPr>
          <w:rFonts w:cs="FrankRuehl" w:hint="cs"/>
          <w:sz w:val="32"/>
          <w:rtl/>
        </w:rPr>
        <w:t>-</w:t>
      </w:r>
      <w:r>
        <w:rPr>
          <w:rFonts w:cs="FrankRuehl"/>
          <w:sz w:val="32"/>
          <w:rtl/>
        </w:rPr>
        <w:t>1954</w:t>
      </w:r>
    </w:p>
    <w:p w14:paraId="6B016ADD" w14:textId="77777777" w:rsidR="00930DC6" w:rsidRDefault="00930DC6" w:rsidP="00930DC6">
      <w:pPr>
        <w:spacing w:line="320" w:lineRule="auto"/>
        <w:jc w:val="left"/>
        <w:rPr>
          <w:rFonts w:hint="cs"/>
          <w:rtl/>
        </w:rPr>
      </w:pPr>
    </w:p>
    <w:p w14:paraId="306D98D9" w14:textId="77777777" w:rsidR="002D63DB" w:rsidRDefault="002D63DB" w:rsidP="00930DC6">
      <w:pPr>
        <w:spacing w:line="320" w:lineRule="auto"/>
        <w:jc w:val="left"/>
        <w:rPr>
          <w:rFonts w:hint="cs"/>
          <w:rtl/>
        </w:rPr>
      </w:pPr>
    </w:p>
    <w:p w14:paraId="778D7A58" w14:textId="77777777" w:rsidR="00930DC6" w:rsidRDefault="00930DC6" w:rsidP="00930DC6">
      <w:pPr>
        <w:spacing w:line="320" w:lineRule="auto"/>
        <w:jc w:val="left"/>
        <w:rPr>
          <w:rFonts w:cs="FrankRuehl"/>
          <w:szCs w:val="26"/>
          <w:rtl/>
        </w:rPr>
      </w:pPr>
      <w:r w:rsidRPr="00930DC6">
        <w:rPr>
          <w:rFonts w:cs="Miriam"/>
          <w:szCs w:val="22"/>
          <w:rtl/>
        </w:rPr>
        <w:t>משפט פרטי וכלכלה</w:t>
      </w:r>
      <w:r w:rsidRPr="00930DC6">
        <w:rPr>
          <w:rFonts w:cs="FrankRuehl"/>
          <w:szCs w:val="26"/>
          <w:rtl/>
        </w:rPr>
        <w:t xml:space="preserve"> – קניין – שכירות והגנת הדייר – בית הדין לשכירות</w:t>
      </w:r>
    </w:p>
    <w:p w14:paraId="099B870C" w14:textId="77777777" w:rsidR="00930DC6" w:rsidRDefault="00930DC6" w:rsidP="00930DC6">
      <w:pPr>
        <w:spacing w:line="320" w:lineRule="auto"/>
        <w:jc w:val="left"/>
        <w:rPr>
          <w:rFonts w:cs="FrankRuehl"/>
          <w:szCs w:val="26"/>
          <w:rtl/>
        </w:rPr>
      </w:pPr>
      <w:r w:rsidRPr="00930DC6">
        <w:rPr>
          <w:rFonts w:cs="Miriam"/>
          <w:szCs w:val="22"/>
          <w:rtl/>
        </w:rPr>
        <w:t>בתי משפט וסדרי דין</w:t>
      </w:r>
      <w:r w:rsidRPr="00930DC6">
        <w:rPr>
          <w:rFonts w:cs="FrankRuehl"/>
          <w:szCs w:val="26"/>
          <w:rtl/>
        </w:rPr>
        <w:t xml:space="preserve"> – בתי משפט ובתי דין – בית הדין לשכירות</w:t>
      </w:r>
    </w:p>
    <w:p w14:paraId="2E987B40" w14:textId="77777777" w:rsidR="009C5DEE" w:rsidRPr="00930DC6" w:rsidRDefault="00930DC6" w:rsidP="00930DC6">
      <w:pPr>
        <w:spacing w:line="320" w:lineRule="auto"/>
        <w:jc w:val="left"/>
        <w:rPr>
          <w:rFonts w:cs="Miriam"/>
          <w:szCs w:val="22"/>
          <w:rtl/>
        </w:rPr>
      </w:pPr>
      <w:r w:rsidRPr="00930DC6">
        <w:rPr>
          <w:rFonts w:cs="Miriam"/>
          <w:szCs w:val="22"/>
          <w:rtl/>
        </w:rPr>
        <w:t>בתי משפט וסדרי דין</w:t>
      </w:r>
      <w:r w:rsidRPr="00930DC6">
        <w:rPr>
          <w:rFonts w:cs="FrankRuehl"/>
          <w:szCs w:val="26"/>
          <w:rtl/>
        </w:rPr>
        <w:t xml:space="preserve"> – סדר דין אזרחי</w:t>
      </w:r>
    </w:p>
    <w:p w14:paraId="2ABD2051" w14:textId="77777777" w:rsidR="00AC07F5" w:rsidRDefault="00AC07F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C07F5" w14:paraId="51D8572B" w14:textId="77777777">
        <w:tblPrEx>
          <w:tblCellMar>
            <w:top w:w="0" w:type="dxa"/>
            <w:bottom w:w="0" w:type="dxa"/>
          </w:tblCellMar>
        </w:tblPrEx>
        <w:tc>
          <w:tcPr>
            <w:tcW w:w="850" w:type="dxa"/>
          </w:tcPr>
          <w:p w14:paraId="348D83A4"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9105B">
              <w:rPr>
                <w:noProof/>
                <w:sz w:val="24"/>
                <w:rtl/>
              </w:rPr>
              <w:t>2</w:t>
            </w:r>
            <w:r>
              <w:rPr>
                <w:sz w:val="24"/>
                <w:rtl/>
              </w:rPr>
              <w:fldChar w:fldCharType="end"/>
            </w:r>
          </w:p>
        </w:tc>
        <w:tc>
          <w:tcPr>
            <w:tcW w:w="567" w:type="dxa"/>
          </w:tcPr>
          <w:p w14:paraId="33FFF79B" w14:textId="77777777" w:rsidR="00AC07F5" w:rsidRDefault="00AC07F5">
            <w:pPr>
              <w:spacing w:line="240" w:lineRule="auto"/>
              <w:rPr>
                <w:sz w:val="24"/>
              </w:rPr>
            </w:pPr>
            <w:hyperlink w:anchor="Seif0" w:tooltip="פרשנות ותחולה" w:history="1">
              <w:r>
                <w:rPr>
                  <w:rStyle w:val="Hyperlink"/>
                </w:rPr>
                <w:t>Go</w:t>
              </w:r>
            </w:hyperlink>
          </w:p>
        </w:tc>
        <w:tc>
          <w:tcPr>
            <w:tcW w:w="5669" w:type="dxa"/>
          </w:tcPr>
          <w:p w14:paraId="7DCAC4A7" w14:textId="77777777" w:rsidR="00AC07F5" w:rsidRDefault="00AC07F5">
            <w:pPr>
              <w:spacing w:line="240" w:lineRule="auto"/>
              <w:rPr>
                <w:sz w:val="24"/>
                <w:rtl/>
              </w:rPr>
            </w:pPr>
            <w:r>
              <w:rPr>
                <w:sz w:val="24"/>
                <w:rtl/>
              </w:rPr>
              <w:t>פרשנות ותחולה</w:t>
            </w:r>
          </w:p>
        </w:tc>
        <w:tc>
          <w:tcPr>
            <w:tcW w:w="1247" w:type="dxa"/>
          </w:tcPr>
          <w:p w14:paraId="66E74895" w14:textId="77777777" w:rsidR="00AC07F5" w:rsidRDefault="00AC07F5">
            <w:pPr>
              <w:spacing w:line="240" w:lineRule="auto"/>
              <w:rPr>
                <w:sz w:val="24"/>
              </w:rPr>
            </w:pPr>
            <w:r>
              <w:rPr>
                <w:sz w:val="24"/>
                <w:rtl/>
              </w:rPr>
              <w:t xml:space="preserve">סעיף 1 </w:t>
            </w:r>
          </w:p>
        </w:tc>
      </w:tr>
      <w:tr w:rsidR="00AC07F5" w14:paraId="5D0043FE" w14:textId="77777777">
        <w:tblPrEx>
          <w:tblCellMar>
            <w:top w:w="0" w:type="dxa"/>
            <w:bottom w:w="0" w:type="dxa"/>
          </w:tblCellMar>
        </w:tblPrEx>
        <w:tc>
          <w:tcPr>
            <w:tcW w:w="850" w:type="dxa"/>
          </w:tcPr>
          <w:p w14:paraId="7394DAB2"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9105B">
              <w:rPr>
                <w:noProof/>
                <w:sz w:val="24"/>
                <w:rtl/>
              </w:rPr>
              <w:t>2</w:t>
            </w:r>
            <w:r>
              <w:rPr>
                <w:sz w:val="24"/>
                <w:rtl/>
              </w:rPr>
              <w:fldChar w:fldCharType="end"/>
            </w:r>
          </w:p>
        </w:tc>
        <w:tc>
          <w:tcPr>
            <w:tcW w:w="567" w:type="dxa"/>
          </w:tcPr>
          <w:p w14:paraId="3096C2D8" w14:textId="77777777" w:rsidR="00AC07F5" w:rsidRDefault="00AC07F5">
            <w:pPr>
              <w:spacing w:line="240" w:lineRule="auto"/>
              <w:rPr>
                <w:sz w:val="24"/>
              </w:rPr>
            </w:pPr>
            <w:hyperlink w:anchor="Seif1" w:tooltip="פגם בסדרי הדין" w:history="1">
              <w:r>
                <w:rPr>
                  <w:rStyle w:val="Hyperlink"/>
                </w:rPr>
                <w:t>Go</w:t>
              </w:r>
            </w:hyperlink>
          </w:p>
        </w:tc>
        <w:tc>
          <w:tcPr>
            <w:tcW w:w="5669" w:type="dxa"/>
          </w:tcPr>
          <w:p w14:paraId="22BDACC4" w14:textId="77777777" w:rsidR="00AC07F5" w:rsidRDefault="00AC07F5">
            <w:pPr>
              <w:spacing w:line="240" w:lineRule="auto"/>
              <w:rPr>
                <w:sz w:val="24"/>
                <w:rtl/>
              </w:rPr>
            </w:pPr>
            <w:r>
              <w:rPr>
                <w:sz w:val="24"/>
                <w:rtl/>
              </w:rPr>
              <w:t>פגם בסדרי הדין</w:t>
            </w:r>
          </w:p>
        </w:tc>
        <w:tc>
          <w:tcPr>
            <w:tcW w:w="1247" w:type="dxa"/>
          </w:tcPr>
          <w:p w14:paraId="61999BF0" w14:textId="77777777" w:rsidR="00AC07F5" w:rsidRDefault="00AC07F5">
            <w:pPr>
              <w:spacing w:line="240" w:lineRule="auto"/>
              <w:rPr>
                <w:sz w:val="24"/>
              </w:rPr>
            </w:pPr>
            <w:r>
              <w:rPr>
                <w:sz w:val="24"/>
                <w:rtl/>
              </w:rPr>
              <w:t xml:space="preserve">סעיף 2 </w:t>
            </w:r>
          </w:p>
        </w:tc>
      </w:tr>
      <w:tr w:rsidR="00AC07F5" w14:paraId="47C49C78" w14:textId="77777777">
        <w:tblPrEx>
          <w:tblCellMar>
            <w:top w:w="0" w:type="dxa"/>
            <w:bottom w:w="0" w:type="dxa"/>
          </w:tblCellMar>
        </w:tblPrEx>
        <w:tc>
          <w:tcPr>
            <w:tcW w:w="850" w:type="dxa"/>
          </w:tcPr>
          <w:p w14:paraId="6E3D4023"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9105B">
              <w:rPr>
                <w:noProof/>
                <w:sz w:val="24"/>
                <w:rtl/>
              </w:rPr>
              <w:t>2</w:t>
            </w:r>
            <w:r>
              <w:rPr>
                <w:sz w:val="24"/>
                <w:rtl/>
              </w:rPr>
              <w:fldChar w:fldCharType="end"/>
            </w:r>
          </w:p>
        </w:tc>
        <w:tc>
          <w:tcPr>
            <w:tcW w:w="567" w:type="dxa"/>
          </w:tcPr>
          <w:p w14:paraId="3ED268E3" w14:textId="77777777" w:rsidR="00AC07F5" w:rsidRDefault="00AC07F5">
            <w:pPr>
              <w:spacing w:line="240" w:lineRule="auto"/>
              <w:rPr>
                <w:sz w:val="24"/>
              </w:rPr>
            </w:pPr>
            <w:hyperlink w:anchor="Seif2" w:tooltip="שיפוט מבחינת המקום" w:history="1">
              <w:r>
                <w:rPr>
                  <w:rStyle w:val="Hyperlink"/>
                </w:rPr>
                <w:t>Go</w:t>
              </w:r>
            </w:hyperlink>
          </w:p>
        </w:tc>
        <w:tc>
          <w:tcPr>
            <w:tcW w:w="5669" w:type="dxa"/>
          </w:tcPr>
          <w:p w14:paraId="290EB524" w14:textId="77777777" w:rsidR="00AC07F5" w:rsidRDefault="00AC07F5">
            <w:pPr>
              <w:spacing w:line="240" w:lineRule="auto"/>
              <w:rPr>
                <w:sz w:val="24"/>
                <w:rtl/>
              </w:rPr>
            </w:pPr>
            <w:r>
              <w:rPr>
                <w:sz w:val="24"/>
                <w:rtl/>
              </w:rPr>
              <w:t>שיפוט מבחינת המקום</w:t>
            </w:r>
          </w:p>
        </w:tc>
        <w:tc>
          <w:tcPr>
            <w:tcW w:w="1247" w:type="dxa"/>
          </w:tcPr>
          <w:p w14:paraId="3447F667" w14:textId="77777777" w:rsidR="00AC07F5" w:rsidRDefault="00AC07F5">
            <w:pPr>
              <w:spacing w:line="240" w:lineRule="auto"/>
              <w:rPr>
                <w:sz w:val="24"/>
              </w:rPr>
            </w:pPr>
            <w:r>
              <w:rPr>
                <w:sz w:val="24"/>
                <w:rtl/>
              </w:rPr>
              <w:t xml:space="preserve">סעיף 3 </w:t>
            </w:r>
          </w:p>
        </w:tc>
      </w:tr>
      <w:tr w:rsidR="00AC07F5" w14:paraId="7095A2A7" w14:textId="77777777">
        <w:tblPrEx>
          <w:tblCellMar>
            <w:top w:w="0" w:type="dxa"/>
            <w:bottom w:w="0" w:type="dxa"/>
          </w:tblCellMar>
        </w:tblPrEx>
        <w:tc>
          <w:tcPr>
            <w:tcW w:w="850" w:type="dxa"/>
          </w:tcPr>
          <w:p w14:paraId="5CB37345"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99105B">
              <w:rPr>
                <w:noProof/>
                <w:sz w:val="24"/>
                <w:rtl/>
              </w:rPr>
              <w:t>2</w:t>
            </w:r>
            <w:r>
              <w:rPr>
                <w:sz w:val="24"/>
                <w:rtl/>
              </w:rPr>
              <w:fldChar w:fldCharType="end"/>
            </w:r>
          </w:p>
        </w:tc>
        <w:tc>
          <w:tcPr>
            <w:tcW w:w="567" w:type="dxa"/>
          </w:tcPr>
          <w:p w14:paraId="6B5A0970" w14:textId="77777777" w:rsidR="00AC07F5" w:rsidRDefault="00AC07F5">
            <w:pPr>
              <w:spacing w:line="240" w:lineRule="auto"/>
              <w:rPr>
                <w:sz w:val="24"/>
              </w:rPr>
            </w:pPr>
            <w:hyperlink w:anchor="Seif3" w:tooltip="העברה לבית דין אחר בעל סמכות שווה" w:history="1">
              <w:r>
                <w:rPr>
                  <w:rStyle w:val="Hyperlink"/>
                </w:rPr>
                <w:t>Go</w:t>
              </w:r>
            </w:hyperlink>
          </w:p>
        </w:tc>
        <w:tc>
          <w:tcPr>
            <w:tcW w:w="5669" w:type="dxa"/>
          </w:tcPr>
          <w:p w14:paraId="7828F2B0" w14:textId="77777777" w:rsidR="00AC07F5" w:rsidRDefault="00AC07F5">
            <w:pPr>
              <w:spacing w:line="240" w:lineRule="auto"/>
              <w:rPr>
                <w:sz w:val="24"/>
                <w:rtl/>
              </w:rPr>
            </w:pPr>
            <w:r>
              <w:rPr>
                <w:sz w:val="24"/>
                <w:rtl/>
              </w:rPr>
              <w:t>העברה לבית דין אחר בעל סמכות שווה</w:t>
            </w:r>
          </w:p>
        </w:tc>
        <w:tc>
          <w:tcPr>
            <w:tcW w:w="1247" w:type="dxa"/>
          </w:tcPr>
          <w:p w14:paraId="55F34472" w14:textId="77777777" w:rsidR="00AC07F5" w:rsidRDefault="00AC07F5">
            <w:pPr>
              <w:spacing w:line="240" w:lineRule="auto"/>
              <w:rPr>
                <w:sz w:val="24"/>
              </w:rPr>
            </w:pPr>
            <w:r>
              <w:rPr>
                <w:sz w:val="24"/>
                <w:rtl/>
              </w:rPr>
              <w:t xml:space="preserve">סעיף 4 </w:t>
            </w:r>
          </w:p>
        </w:tc>
      </w:tr>
      <w:tr w:rsidR="00AC07F5" w14:paraId="365C5D69" w14:textId="77777777">
        <w:tblPrEx>
          <w:tblCellMar>
            <w:top w:w="0" w:type="dxa"/>
            <w:bottom w:w="0" w:type="dxa"/>
          </w:tblCellMar>
        </w:tblPrEx>
        <w:tc>
          <w:tcPr>
            <w:tcW w:w="850" w:type="dxa"/>
          </w:tcPr>
          <w:p w14:paraId="378DC752"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99105B">
              <w:rPr>
                <w:noProof/>
                <w:sz w:val="24"/>
                <w:rtl/>
              </w:rPr>
              <w:t>2</w:t>
            </w:r>
            <w:r>
              <w:rPr>
                <w:sz w:val="24"/>
                <w:rtl/>
              </w:rPr>
              <w:fldChar w:fldCharType="end"/>
            </w:r>
          </w:p>
        </w:tc>
        <w:tc>
          <w:tcPr>
            <w:tcW w:w="567" w:type="dxa"/>
          </w:tcPr>
          <w:p w14:paraId="552468EF" w14:textId="77777777" w:rsidR="00AC07F5" w:rsidRDefault="00AC07F5">
            <w:pPr>
              <w:spacing w:line="240" w:lineRule="auto"/>
              <w:rPr>
                <w:sz w:val="24"/>
              </w:rPr>
            </w:pPr>
            <w:hyperlink w:anchor="Seif4" w:tooltip="העברה לבית דין שיש לו סמכות בענין" w:history="1">
              <w:r>
                <w:rPr>
                  <w:rStyle w:val="Hyperlink"/>
                </w:rPr>
                <w:t>Go</w:t>
              </w:r>
            </w:hyperlink>
          </w:p>
        </w:tc>
        <w:tc>
          <w:tcPr>
            <w:tcW w:w="5669" w:type="dxa"/>
          </w:tcPr>
          <w:p w14:paraId="70DA71FC" w14:textId="77777777" w:rsidR="00AC07F5" w:rsidRDefault="00AC07F5">
            <w:pPr>
              <w:spacing w:line="240" w:lineRule="auto"/>
              <w:rPr>
                <w:sz w:val="24"/>
                <w:rtl/>
              </w:rPr>
            </w:pPr>
            <w:r>
              <w:rPr>
                <w:sz w:val="24"/>
                <w:rtl/>
              </w:rPr>
              <w:t>העברה לבית דין שיש לו סמכות בענין</w:t>
            </w:r>
          </w:p>
        </w:tc>
        <w:tc>
          <w:tcPr>
            <w:tcW w:w="1247" w:type="dxa"/>
          </w:tcPr>
          <w:p w14:paraId="0753D699" w14:textId="77777777" w:rsidR="00AC07F5" w:rsidRDefault="00AC07F5">
            <w:pPr>
              <w:spacing w:line="240" w:lineRule="auto"/>
              <w:rPr>
                <w:sz w:val="24"/>
              </w:rPr>
            </w:pPr>
            <w:r>
              <w:rPr>
                <w:sz w:val="24"/>
                <w:rtl/>
              </w:rPr>
              <w:t xml:space="preserve">סעיף 5 </w:t>
            </w:r>
          </w:p>
        </w:tc>
      </w:tr>
      <w:tr w:rsidR="00AC07F5" w14:paraId="391CF9B1" w14:textId="77777777">
        <w:tblPrEx>
          <w:tblCellMar>
            <w:top w:w="0" w:type="dxa"/>
            <w:bottom w:w="0" w:type="dxa"/>
          </w:tblCellMar>
        </w:tblPrEx>
        <w:tc>
          <w:tcPr>
            <w:tcW w:w="850" w:type="dxa"/>
          </w:tcPr>
          <w:p w14:paraId="107856F8"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99105B">
              <w:rPr>
                <w:noProof/>
                <w:sz w:val="24"/>
                <w:rtl/>
              </w:rPr>
              <w:t>2</w:t>
            </w:r>
            <w:r>
              <w:rPr>
                <w:sz w:val="24"/>
                <w:rtl/>
              </w:rPr>
              <w:fldChar w:fldCharType="end"/>
            </w:r>
          </w:p>
        </w:tc>
        <w:tc>
          <w:tcPr>
            <w:tcW w:w="567" w:type="dxa"/>
          </w:tcPr>
          <w:p w14:paraId="73AD290E" w14:textId="77777777" w:rsidR="00AC07F5" w:rsidRDefault="00AC07F5">
            <w:pPr>
              <w:spacing w:line="240" w:lineRule="auto"/>
              <w:rPr>
                <w:sz w:val="24"/>
              </w:rPr>
            </w:pPr>
            <w:hyperlink w:anchor="Seif5" w:tooltip="ציון של שווי נושא התביעה" w:history="1">
              <w:r>
                <w:rPr>
                  <w:rStyle w:val="Hyperlink"/>
                </w:rPr>
                <w:t>Go</w:t>
              </w:r>
            </w:hyperlink>
          </w:p>
        </w:tc>
        <w:tc>
          <w:tcPr>
            <w:tcW w:w="5669" w:type="dxa"/>
          </w:tcPr>
          <w:p w14:paraId="550CEA6E" w14:textId="77777777" w:rsidR="00AC07F5" w:rsidRDefault="00AC07F5">
            <w:pPr>
              <w:spacing w:line="240" w:lineRule="auto"/>
              <w:rPr>
                <w:sz w:val="24"/>
                <w:rtl/>
              </w:rPr>
            </w:pPr>
            <w:r>
              <w:rPr>
                <w:sz w:val="24"/>
                <w:rtl/>
              </w:rPr>
              <w:t>ציון של שווי נושא התביעה</w:t>
            </w:r>
          </w:p>
        </w:tc>
        <w:tc>
          <w:tcPr>
            <w:tcW w:w="1247" w:type="dxa"/>
          </w:tcPr>
          <w:p w14:paraId="6B8A70F9" w14:textId="77777777" w:rsidR="00AC07F5" w:rsidRDefault="00AC07F5">
            <w:pPr>
              <w:spacing w:line="240" w:lineRule="auto"/>
              <w:rPr>
                <w:sz w:val="24"/>
              </w:rPr>
            </w:pPr>
            <w:r>
              <w:rPr>
                <w:sz w:val="24"/>
                <w:rtl/>
              </w:rPr>
              <w:t xml:space="preserve">סעיף 6 </w:t>
            </w:r>
          </w:p>
        </w:tc>
      </w:tr>
      <w:tr w:rsidR="00AC07F5" w14:paraId="25AB0DE7" w14:textId="77777777">
        <w:tblPrEx>
          <w:tblCellMar>
            <w:top w:w="0" w:type="dxa"/>
            <w:bottom w:w="0" w:type="dxa"/>
          </w:tblCellMar>
        </w:tblPrEx>
        <w:tc>
          <w:tcPr>
            <w:tcW w:w="850" w:type="dxa"/>
          </w:tcPr>
          <w:p w14:paraId="27A3D13F"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99105B">
              <w:rPr>
                <w:noProof/>
                <w:sz w:val="24"/>
                <w:rtl/>
              </w:rPr>
              <w:t>3</w:t>
            </w:r>
            <w:r>
              <w:rPr>
                <w:sz w:val="24"/>
                <w:rtl/>
              </w:rPr>
              <w:fldChar w:fldCharType="end"/>
            </w:r>
          </w:p>
        </w:tc>
        <w:tc>
          <w:tcPr>
            <w:tcW w:w="567" w:type="dxa"/>
          </w:tcPr>
          <w:p w14:paraId="529F1E79" w14:textId="77777777" w:rsidR="00AC07F5" w:rsidRDefault="00AC07F5">
            <w:pPr>
              <w:spacing w:line="240" w:lineRule="auto"/>
              <w:rPr>
                <w:sz w:val="24"/>
              </w:rPr>
            </w:pPr>
            <w:hyperlink w:anchor="Seif6" w:tooltip="אין צורך בהגנה שבכתב" w:history="1">
              <w:r>
                <w:rPr>
                  <w:rStyle w:val="Hyperlink"/>
                </w:rPr>
                <w:t>Go</w:t>
              </w:r>
            </w:hyperlink>
          </w:p>
        </w:tc>
        <w:tc>
          <w:tcPr>
            <w:tcW w:w="5669" w:type="dxa"/>
          </w:tcPr>
          <w:p w14:paraId="3D60F7D3" w14:textId="77777777" w:rsidR="00AC07F5" w:rsidRDefault="00AC07F5">
            <w:pPr>
              <w:spacing w:line="240" w:lineRule="auto"/>
              <w:rPr>
                <w:sz w:val="24"/>
                <w:rtl/>
              </w:rPr>
            </w:pPr>
            <w:r>
              <w:rPr>
                <w:sz w:val="24"/>
                <w:rtl/>
              </w:rPr>
              <w:t>אין צורך בהגנה שבכתב</w:t>
            </w:r>
          </w:p>
        </w:tc>
        <w:tc>
          <w:tcPr>
            <w:tcW w:w="1247" w:type="dxa"/>
          </w:tcPr>
          <w:p w14:paraId="4C103AC2" w14:textId="77777777" w:rsidR="00AC07F5" w:rsidRDefault="00AC07F5">
            <w:pPr>
              <w:spacing w:line="240" w:lineRule="auto"/>
              <w:rPr>
                <w:sz w:val="24"/>
              </w:rPr>
            </w:pPr>
            <w:r>
              <w:rPr>
                <w:sz w:val="24"/>
                <w:rtl/>
              </w:rPr>
              <w:t xml:space="preserve">סעיף 7 </w:t>
            </w:r>
          </w:p>
        </w:tc>
      </w:tr>
      <w:tr w:rsidR="00AC07F5" w14:paraId="0E913E89" w14:textId="77777777">
        <w:tblPrEx>
          <w:tblCellMar>
            <w:top w:w="0" w:type="dxa"/>
            <w:bottom w:w="0" w:type="dxa"/>
          </w:tblCellMar>
        </w:tblPrEx>
        <w:tc>
          <w:tcPr>
            <w:tcW w:w="850" w:type="dxa"/>
          </w:tcPr>
          <w:p w14:paraId="2E412033"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99105B">
              <w:rPr>
                <w:noProof/>
                <w:sz w:val="24"/>
                <w:rtl/>
              </w:rPr>
              <w:t>3</w:t>
            </w:r>
            <w:r>
              <w:rPr>
                <w:sz w:val="24"/>
                <w:rtl/>
              </w:rPr>
              <w:fldChar w:fldCharType="end"/>
            </w:r>
          </w:p>
        </w:tc>
        <w:tc>
          <w:tcPr>
            <w:tcW w:w="567" w:type="dxa"/>
          </w:tcPr>
          <w:p w14:paraId="137D10BC" w14:textId="77777777" w:rsidR="00AC07F5" w:rsidRDefault="00AC07F5">
            <w:pPr>
              <w:spacing w:line="240" w:lineRule="auto"/>
              <w:rPr>
                <w:sz w:val="24"/>
              </w:rPr>
            </w:pPr>
            <w:hyperlink w:anchor="Seif7" w:tooltip="הברירה למסור בדואר רשום" w:history="1">
              <w:r>
                <w:rPr>
                  <w:rStyle w:val="Hyperlink"/>
                </w:rPr>
                <w:t>Go</w:t>
              </w:r>
            </w:hyperlink>
          </w:p>
        </w:tc>
        <w:tc>
          <w:tcPr>
            <w:tcW w:w="5669" w:type="dxa"/>
          </w:tcPr>
          <w:p w14:paraId="3FF7A55C" w14:textId="77777777" w:rsidR="00AC07F5" w:rsidRDefault="00AC07F5">
            <w:pPr>
              <w:spacing w:line="240" w:lineRule="auto"/>
              <w:rPr>
                <w:sz w:val="24"/>
                <w:rtl/>
              </w:rPr>
            </w:pPr>
            <w:r>
              <w:rPr>
                <w:sz w:val="24"/>
                <w:rtl/>
              </w:rPr>
              <w:t>הברירה למסור בדואר רשום</w:t>
            </w:r>
          </w:p>
        </w:tc>
        <w:tc>
          <w:tcPr>
            <w:tcW w:w="1247" w:type="dxa"/>
          </w:tcPr>
          <w:p w14:paraId="1A8F8295" w14:textId="77777777" w:rsidR="00AC07F5" w:rsidRDefault="00AC07F5">
            <w:pPr>
              <w:spacing w:line="240" w:lineRule="auto"/>
              <w:rPr>
                <w:sz w:val="24"/>
              </w:rPr>
            </w:pPr>
            <w:r>
              <w:rPr>
                <w:sz w:val="24"/>
                <w:rtl/>
              </w:rPr>
              <w:t xml:space="preserve">סעיף 8 </w:t>
            </w:r>
          </w:p>
        </w:tc>
      </w:tr>
      <w:tr w:rsidR="00AC07F5" w14:paraId="5FFCCE56" w14:textId="77777777">
        <w:tblPrEx>
          <w:tblCellMar>
            <w:top w:w="0" w:type="dxa"/>
            <w:bottom w:w="0" w:type="dxa"/>
          </w:tblCellMar>
        </w:tblPrEx>
        <w:tc>
          <w:tcPr>
            <w:tcW w:w="850" w:type="dxa"/>
          </w:tcPr>
          <w:p w14:paraId="7518CE48"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99105B">
              <w:rPr>
                <w:noProof/>
                <w:sz w:val="24"/>
                <w:rtl/>
              </w:rPr>
              <w:t>3</w:t>
            </w:r>
            <w:r>
              <w:rPr>
                <w:sz w:val="24"/>
                <w:rtl/>
              </w:rPr>
              <w:fldChar w:fldCharType="end"/>
            </w:r>
          </w:p>
        </w:tc>
        <w:tc>
          <w:tcPr>
            <w:tcW w:w="567" w:type="dxa"/>
          </w:tcPr>
          <w:p w14:paraId="53AE890E" w14:textId="77777777" w:rsidR="00AC07F5" w:rsidRDefault="00AC07F5">
            <w:pPr>
              <w:spacing w:line="240" w:lineRule="auto"/>
              <w:rPr>
                <w:sz w:val="24"/>
              </w:rPr>
            </w:pPr>
            <w:hyperlink w:anchor="Seif8" w:tooltip="תביעה שכנגד" w:history="1">
              <w:r>
                <w:rPr>
                  <w:rStyle w:val="Hyperlink"/>
                </w:rPr>
                <w:t>Go</w:t>
              </w:r>
            </w:hyperlink>
          </w:p>
        </w:tc>
        <w:tc>
          <w:tcPr>
            <w:tcW w:w="5669" w:type="dxa"/>
          </w:tcPr>
          <w:p w14:paraId="69CCC350" w14:textId="77777777" w:rsidR="00AC07F5" w:rsidRDefault="00AC07F5">
            <w:pPr>
              <w:spacing w:line="240" w:lineRule="auto"/>
              <w:rPr>
                <w:sz w:val="24"/>
                <w:rtl/>
              </w:rPr>
            </w:pPr>
            <w:r>
              <w:rPr>
                <w:sz w:val="24"/>
                <w:rtl/>
              </w:rPr>
              <w:t>תביעה שכנגד</w:t>
            </w:r>
          </w:p>
        </w:tc>
        <w:tc>
          <w:tcPr>
            <w:tcW w:w="1247" w:type="dxa"/>
          </w:tcPr>
          <w:p w14:paraId="6F6DBD1C" w14:textId="77777777" w:rsidR="00AC07F5" w:rsidRDefault="00AC07F5">
            <w:pPr>
              <w:spacing w:line="240" w:lineRule="auto"/>
              <w:rPr>
                <w:sz w:val="24"/>
              </w:rPr>
            </w:pPr>
            <w:r>
              <w:rPr>
                <w:sz w:val="24"/>
                <w:rtl/>
              </w:rPr>
              <w:t xml:space="preserve">סעיף 9 </w:t>
            </w:r>
          </w:p>
        </w:tc>
      </w:tr>
      <w:tr w:rsidR="00AC07F5" w14:paraId="39AA767C" w14:textId="77777777">
        <w:tblPrEx>
          <w:tblCellMar>
            <w:top w:w="0" w:type="dxa"/>
            <w:bottom w:w="0" w:type="dxa"/>
          </w:tblCellMar>
        </w:tblPrEx>
        <w:tc>
          <w:tcPr>
            <w:tcW w:w="850" w:type="dxa"/>
          </w:tcPr>
          <w:p w14:paraId="00849A21"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99105B">
              <w:rPr>
                <w:noProof/>
                <w:sz w:val="24"/>
                <w:rtl/>
              </w:rPr>
              <w:t>3</w:t>
            </w:r>
            <w:r>
              <w:rPr>
                <w:sz w:val="24"/>
                <w:rtl/>
              </w:rPr>
              <w:fldChar w:fldCharType="end"/>
            </w:r>
          </w:p>
        </w:tc>
        <w:tc>
          <w:tcPr>
            <w:tcW w:w="567" w:type="dxa"/>
          </w:tcPr>
          <w:p w14:paraId="7A199224" w14:textId="77777777" w:rsidR="00AC07F5" w:rsidRDefault="00AC07F5">
            <w:pPr>
              <w:spacing w:line="240" w:lineRule="auto"/>
              <w:rPr>
                <w:sz w:val="24"/>
              </w:rPr>
            </w:pPr>
            <w:hyperlink w:anchor="Seif9" w:tooltip="אין צורך בכפירה מפורשת" w:history="1">
              <w:r>
                <w:rPr>
                  <w:rStyle w:val="Hyperlink"/>
                </w:rPr>
                <w:t>Go</w:t>
              </w:r>
            </w:hyperlink>
          </w:p>
        </w:tc>
        <w:tc>
          <w:tcPr>
            <w:tcW w:w="5669" w:type="dxa"/>
          </w:tcPr>
          <w:p w14:paraId="42086B16" w14:textId="77777777" w:rsidR="00AC07F5" w:rsidRDefault="00AC07F5">
            <w:pPr>
              <w:spacing w:line="240" w:lineRule="auto"/>
              <w:rPr>
                <w:sz w:val="24"/>
                <w:rtl/>
              </w:rPr>
            </w:pPr>
            <w:r>
              <w:rPr>
                <w:sz w:val="24"/>
                <w:rtl/>
              </w:rPr>
              <w:t>אין צורך בכפירה מפורשת</w:t>
            </w:r>
          </w:p>
        </w:tc>
        <w:tc>
          <w:tcPr>
            <w:tcW w:w="1247" w:type="dxa"/>
          </w:tcPr>
          <w:p w14:paraId="580101AF" w14:textId="77777777" w:rsidR="00AC07F5" w:rsidRDefault="00AC07F5">
            <w:pPr>
              <w:spacing w:line="240" w:lineRule="auto"/>
              <w:rPr>
                <w:sz w:val="24"/>
              </w:rPr>
            </w:pPr>
            <w:r>
              <w:rPr>
                <w:sz w:val="24"/>
                <w:rtl/>
              </w:rPr>
              <w:t xml:space="preserve">סעיף 10 </w:t>
            </w:r>
          </w:p>
        </w:tc>
      </w:tr>
      <w:tr w:rsidR="00AC07F5" w14:paraId="251B0A90" w14:textId="77777777">
        <w:tblPrEx>
          <w:tblCellMar>
            <w:top w:w="0" w:type="dxa"/>
            <w:bottom w:w="0" w:type="dxa"/>
          </w:tblCellMar>
        </w:tblPrEx>
        <w:tc>
          <w:tcPr>
            <w:tcW w:w="850" w:type="dxa"/>
          </w:tcPr>
          <w:p w14:paraId="5B9039B4"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99105B">
              <w:rPr>
                <w:noProof/>
                <w:sz w:val="24"/>
                <w:rtl/>
              </w:rPr>
              <w:t>3</w:t>
            </w:r>
            <w:r>
              <w:rPr>
                <w:sz w:val="24"/>
                <w:rtl/>
              </w:rPr>
              <w:fldChar w:fldCharType="end"/>
            </w:r>
          </w:p>
        </w:tc>
        <w:tc>
          <w:tcPr>
            <w:tcW w:w="567" w:type="dxa"/>
          </w:tcPr>
          <w:p w14:paraId="4702933E" w14:textId="77777777" w:rsidR="00AC07F5" w:rsidRDefault="00AC07F5">
            <w:pPr>
              <w:spacing w:line="240" w:lineRule="auto"/>
              <w:rPr>
                <w:sz w:val="24"/>
              </w:rPr>
            </w:pPr>
            <w:hyperlink w:anchor="Seif10" w:tooltip="הפרוטוקול" w:history="1">
              <w:r>
                <w:rPr>
                  <w:rStyle w:val="Hyperlink"/>
                </w:rPr>
                <w:t>Go</w:t>
              </w:r>
            </w:hyperlink>
          </w:p>
        </w:tc>
        <w:tc>
          <w:tcPr>
            <w:tcW w:w="5669" w:type="dxa"/>
          </w:tcPr>
          <w:p w14:paraId="48D79E18" w14:textId="77777777" w:rsidR="00AC07F5" w:rsidRDefault="00AC07F5">
            <w:pPr>
              <w:spacing w:line="240" w:lineRule="auto"/>
              <w:rPr>
                <w:sz w:val="24"/>
                <w:rtl/>
              </w:rPr>
            </w:pPr>
            <w:r>
              <w:rPr>
                <w:sz w:val="24"/>
                <w:rtl/>
              </w:rPr>
              <w:t>הפרוטוקול</w:t>
            </w:r>
          </w:p>
        </w:tc>
        <w:tc>
          <w:tcPr>
            <w:tcW w:w="1247" w:type="dxa"/>
          </w:tcPr>
          <w:p w14:paraId="12D8E021" w14:textId="77777777" w:rsidR="00AC07F5" w:rsidRDefault="00AC07F5">
            <w:pPr>
              <w:spacing w:line="240" w:lineRule="auto"/>
              <w:rPr>
                <w:sz w:val="24"/>
              </w:rPr>
            </w:pPr>
            <w:r>
              <w:rPr>
                <w:sz w:val="24"/>
                <w:rtl/>
              </w:rPr>
              <w:t xml:space="preserve">סעיף 11 </w:t>
            </w:r>
          </w:p>
        </w:tc>
      </w:tr>
      <w:tr w:rsidR="00AC07F5" w14:paraId="386F2DD0" w14:textId="77777777">
        <w:tblPrEx>
          <w:tblCellMar>
            <w:top w:w="0" w:type="dxa"/>
            <w:bottom w:w="0" w:type="dxa"/>
          </w:tblCellMar>
        </w:tblPrEx>
        <w:tc>
          <w:tcPr>
            <w:tcW w:w="850" w:type="dxa"/>
          </w:tcPr>
          <w:p w14:paraId="1970EF1C"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99105B">
              <w:rPr>
                <w:noProof/>
                <w:sz w:val="24"/>
                <w:rtl/>
              </w:rPr>
              <w:t>3</w:t>
            </w:r>
            <w:r>
              <w:rPr>
                <w:sz w:val="24"/>
                <w:rtl/>
              </w:rPr>
              <w:fldChar w:fldCharType="end"/>
            </w:r>
          </w:p>
        </w:tc>
        <w:tc>
          <w:tcPr>
            <w:tcW w:w="567" w:type="dxa"/>
          </w:tcPr>
          <w:p w14:paraId="1C91D2E0" w14:textId="77777777" w:rsidR="00AC07F5" w:rsidRDefault="00AC07F5">
            <w:pPr>
              <w:spacing w:line="240" w:lineRule="auto"/>
              <w:rPr>
                <w:sz w:val="24"/>
              </w:rPr>
            </w:pPr>
            <w:hyperlink w:anchor="Seif11" w:tooltip="חילופים בהרכב בית הדין" w:history="1">
              <w:r>
                <w:rPr>
                  <w:rStyle w:val="Hyperlink"/>
                </w:rPr>
                <w:t>Go</w:t>
              </w:r>
            </w:hyperlink>
          </w:p>
        </w:tc>
        <w:tc>
          <w:tcPr>
            <w:tcW w:w="5669" w:type="dxa"/>
          </w:tcPr>
          <w:p w14:paraId="21539CB7" w14:textId="77777777" w:rsidR="00AC07F5" w:rsidRDefault="00AC07F5">
            <w:pPr>
              <w:spacing w:line="240" w:lineRule="auto"/>
              <w:rPr>
                <w:sz w:val="24"/>
                <w:rtl/>
              </w:rPr>
            </w:pPr>
            <w:r>
              <w:rPr>
                <w:sz w:val="24"/>
                <w:rtl/>
              </w:rPr>
              <w:t>חילופים בהרכב בית הדין</w:t>
            </w:r>
          </w:p>
        </w:tc>
        <w:tc>
          <w:tcPr>
            <w:tcW w:w="1247" w:type="dxa"/>
          </w:tcPr>
          <w:p w14:paraId="1FAFDAF2" w14:textId="77777777" w:rsidR="00AC07F5" w:rsidRDefault="00AC07F5">
            <w:pPr>
              <w:spacing w:line="240" w:lineRule="auto"/>
              <w:rPr>
                <w:sz w:val="24"/>
              </w:rPr>
            </w:pPr>
            <w:r>
              <w:rPr>
                <w:sz w:val="24"/>
                <w:rtl/>
              </w:rPr>
              <w:t xml:space="preserve">סעיף 12 </w:t>
            </w:r>
          </w:p>
        </w:tc>
      </w:tr>
      <w:tr w:rsidR="00AC07F5" w14:paraId="743701EE" w14:textId="77777777">
        <w:tblPrEx>
          <w:tblCellMar>
            <w:top w:w="0" w:type="dxa"/>
            <w:bottom w:w="0" w:type="dxa"/>
          </w:tblCellMar>
        </w:tblPrEx>
        <w:tc>
          <w:tcPr>
            <w:tcW w:w="850" w:type="dxa"/>
          </w:tcPr>
          <w:p w14:paraId="1C3D4B5F"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99105B">
              <w:rPr>
                <w:noProof/>
                <w:sz w:val="24"/>
                <w:rtl/>
              </w:rPr>
              <w:t>3</w:t>
            </w:r>
            <w:r>
              <w:rPr>
                <w:sz w:val="24"/>
                <w:rtl/>
              </w:rPr>
              <w:fldChar w:fldCharType="end"/>
            </w:r>
          </w:p>
        </w:tc>
        <w:tc>
          <w:tcPr>
            <w:tcW w:w="567" w:type="dxa"/>
          </w:tcPr>
          <w:p w14:paraId="768147F0" w14:textId="77777777" w:rsidR="00AC07F5" w:rsidRDefault="00AC07F5">
            <w:pPr>
              <w:spacing w:line="240" w:lineRule="auto"/>
              <w:rPr>
                <w:sz w:val="24"/>
              </w:rPr>
            </w:pPr>
            <w:hyperlink w:anchor="Seif12" w:tooltip="המועד להגשת בקשה בדבר ביטול פסק דין" w:history="1">
              <w:r>
                <w:rPr>
                  <w:rStyle w:val="Hyperlink"/>
                </w:rPr>
                <w:t>Go</w:t>
              </w:r>
            </w:hyperlink>
          </w:p>
        </w:tc>
        <w:tc>
          <w:tcPr>
            <w:tcW w:w="5669" w:type="dxa"/>
          </w:tcPr>
          <w:p w14:paraId="58B1A684" w14:textId="77777777" w:rsidR="00AC07F5" w:rsidRDefault="00AC07F5">
            <w:pPr>
              <w:spacing w:line="240" w:lineRule="auto"/>
              <w:rPr>
                <w:sz w:val="24"/>
                <w:rtl/>
              </w:rPr>
            </w:pPr>
            <w:r>
              <w:rPr>
                <w:sz w:val="24"/>
                <w:rtl/>
              </w:rPr>
              <w:t>המועד להגשת בקשה בדבר ביטול פסק דין</w:t>
            </w:r>
          </w:p>
        </w:tc>
        <w:tc>
          <w:tcPr>
            <w:tcW w:w="1247" w:type="dxa"/>
          </w:tcPr>
          <w:p w14:paraId="324DF82F" w14:textId="77777777" w:rsidR="00AC07F5" w:rsidRDefault="00AC07F5">
            <w:pPr>
              <w:spacing w:line="240" w:lineRule="auto"/>
              <w:rPr>
                <w:sz w:val="24"/>
              </w:rPr>
            </w:pPr>
            <w:r>
              <w:rPr>
                <w:sz w:val="24"/>
                <w:rtl/>
              </w:rPr>
              <w:t xml:space="preserve">סעיף 13 </w:t>
            </w:r>
          </w:p>
        </w:tc>
      </w:tr>
      <w:tr w:rsidR="00AC07F5" w14:paraId="0B622E77" w14:textId="77777777">
        <w:tblPrEx>
          <w:tblCellMar>
            <w:top w:w="0" w:type="dxa"/>
            <w:bottom w:w="0" w:type="dxa"/>
          </w:tblCellMar>
        </w:tblPrEx>
        <w:tc>
          <w:tcPr>
            <w:tcW w:w="850" w:type="dxa"/>
          </w:tcPr>
          <w:p w14:paraId="7D520603"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99105B">
              <w:rPr>
                <w:noProof/>
                <w:sz w:val="24"/>
                <w:rtl/>
              </w:rPr>
              <w:t>3</w:t>
            </w:r>
            <w:r>
              <w:rPr>
                <w:sz w:val="24"/>
                <w:rtl/>
              </w:rPr>
              <w:fldChar w:fldCharType="end"/>
            </w:r>
          </w:p>
        </w:tc>
        <w:tc>
          <w:tcPr>
            <w:tcW w:w="567" w:type="dxa"/>
          </w:tcPr>
          <w:p w14:paraId="4EBD9959" w14:textId="77777777" w:rsidR="00AC07F5" w:rsidRDefault="00AC07F5">
            <w:pPr>
              <w:spacing w:line="240" w:lineRule="auto"/>
              <w:rPr>
                <w:sz w:val="24"/>
              </w:rPr>
            </w:pPr>
            <w:hyperlink w:anchor="Seif13" w:tooltip="הצטרפות לדיון בדבר התקנת אנטנה או דוד" w:history="1">
              <w:r>
                <w:rPr>
                  <w:rStyle w:val="Hyperlink"/>
                </w:rPr>
                <w:t>Go</w:t>
              </w:r>
            </w:hyperlink>
          </w:p>
        </w:tc>
        <w:tc>
          <w:tcPr>
            <w:tcW w:w="5669" w:type="dxa"/>
          </w:tcPr>
          <w:p w14:paraId="5AB0D9B3" w14:textId="77777777" w:rsidR="00AC07F5" w:rsidRDefault="00AC07F5">
            <w:pPr>
              <w:spacing w:line="240" w:lineRule="auto"/>
              <w:rPr>
                <w:sz w:val="24"/>
                <w:rtl/>
              </w:rPr>
            </w:pPr>
            <w:r>
              <w:rPr>
                <w:sz w:val="24"/>
                <w:rtl/>
              </w:rPr>
              <w:t>הצטרפות לדיון בדבר התקנת אנטנה או דוד</w:t>
            </w:r>
          </w:p>
        </w:tc>
        <w:tc>
          <w:tcPr>
            <w:tcW w:w="1247" w:type="dxa"/>
          </w:tcPr>
          <w:p w14:paraId="4D9C9738" w14:textId="77777777" w:rsidR="00AC07F5" w:rsidRDefault="00AC07F5">
            <w:pPr>
              <w:spacing w:line="240" w:lineRule="auto"/>
              <w:rPr>
                <w:sz w:val="24"/>
              </w:rPr>
            </w:pPr>
            <w:r>
              <w:rPr>
                <w:sz w:val="24"/>
                <w:rtl/>
              </w:rPr>
              <w:t xml:space="preserve">סעיף 13א </w:t>
            </w:r>
          </w:p>
        </w:tc>
      </w:tr>
      <w:tr w:rsidR="00AC07F5" w14:paraId="501002F2" w14:textId="77777777">
        <w:tblPrEx>
          <w:tblCellMar>
            <w:top w:w="0" w:type="dxa"/>
            <w:bottom w:w="0" w:type="dxa"/>
          </w:tblCellMar>
        </w:tblPrEx>
        <w:tc>
          <w:tcPr>
            <w:tcW w:w="850" w:type="dxa"/>
          </w:tcPr>
          <w:p w14:paraId="509D4D04"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99105B">
              <w:rPr>
                <w:noProof/>
                <w:sz w:val="24"/>
                <w:rtl/>
              </w:rPr>
              <w:t>3</w:t>
            </w:r>
            <w:r>
              <w:rPr>
                <w:sz w:val="24"/>
                <w:rtl/>
              </w:rPr>
              <w:fldChar w:fldCharType="end"/>
            </w:r>
          </w:p>
        </w:tc>
        <w:tc>
          <w:tcPr>
            <w:tcW w:w="567" w:type="dxa"/>
          </w:tcPr>
          <w:p w14:paraId="3DA07EBA" w14:textId="77777777" w:rsidR="00AC07F5" w:rsidRDefault="00AC07F5">
            <w:pPr>
              <w:spacing w:line="240" w:lineRule="auto"/>
              <w:rPr>
                <w:sz w:val="24"/>
              </w:rPr>
            </w:pPr>
            <w:hyperlink w:anchor="Seif14" w:tooltip="הודעת צד שלישי" w:history="1">
              <w:r>
                <w:rPr>
                  <w:rStyle w:val="Hyperlink"/>
                </w:rPr>
                <w:t>Go</w:t>
              </w:r>
            </w:hyperlink>
          </w:p>
        </w:tc>
        <w:tc>
          <w:tcPr>
            <w:tcW w:w="5669" w:type="dxa"/>
          </w:tcPr>
          <w:p w14:paraId="512A6B1A" w14:textId="77777777" w:rsidR="00AC07F5" w:rsidRDefault="00AC07F5">
            <w:pPr>
              <w:spacing w:line="240" w:lineRule="auto"/>
              <w:rPr>
                <w:sz w:val="24"/>
                <w:rtl/>
              </w:rPr>
            </w:pPr>
            <w:r>
              <w:rPr>
                <w:sz w:val="24"/>
                <w:rtl/>
              </w:rPr>
              <w:t>הודעת צד שלישי</w:t>
            </w:r>
          </w:p>
        </w:tc>
        <w:tc>
          <w:tcPr>
            <w:tcW w:w="1247" w:type="dxa"/>
          </w:tcPr>
          <w:p w14:paraId="635BB3DD" w14:textId="77777777" w:rsidR="00AC07F5" w:rsidRDefault="00AC07F5">
            <w:pPr>
              <w:spacing w:line="240" w:lineRule="auto"/>
              <w:rPr>
                <w:sz w:val="24"/>
              </w:rPr>
            </w:pPr>
            <w:r>
              <w:rPr>
                <w:sz w:val="24"/>
                <w:rtl/>
              </w:rPr>
              <w:t xml:space="preserve">סעיף 14 </w:t>
            </w:r>
          </w:p>
        </w:tc>
      </w:tr>
      <w:tr w:rsidR="00AC07F5" w14:paraId="2FA8D9BB" w14:textId="77777777">
        <w:tblPrEx>
          <w:tblCellMar>
            <w:top w:w="0" w:type="dxa"/>
            <w:bottom w:w="0" w:type="dxa"/>
          </w:tblCellMar>
        </w:tblPrEx>
        <w:tc>
          <w:tcPr>
            <w:tcW w:w="850" w:type="dxa"/>
          </w:tcPr>
          <w:p w14:paraId="114DD9B4"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99105B">
              <w:rPr>
                <w:noProof/>
                <w:sz w:val="24"/>
                <w:rtl/>
              </w:rPr>
              <w:t>4</w:t>
            </w:r>
            <w:r>
              <w:rPr>
                <w:sz w:val="24"/>
                <w:rtl/>
              </w:rPr>
              <w:fldChar w:fldCharType="end"/>
            </w:r>
          </w:p>
        </w:tc>
        <w:tc>
          <w:tcPr>
            <w:tcW w:w="567" w:type="dxa"/>
          </w:tcPr>
          <w:p w14:paraId="72A5956B" w14:textId="77777777" w:rsidR="00AC07F5" w:rsidRDefault="00AC07F5">
            <w:pPr>
              <w:spacing w:line="240" w:lineRule="auto"/>
              <w:rPr>
                <w:sz w:val="24"/>
              </w:rPr>
            </w:pPr>
            <w:hyperlink w:anchor="Seif15" w:tooltip="סעד בדרך טען ביניים" w:history="1">
              <w:r>
                <w:rPr>
                  <w:rStyle w:val="Hyperlink"/>
                </w:rPr>
                <w:t>Go</w:t>
              </w:r>
            </w:hyperlink>
          </w:p>
        </w:tc>
        <w:tc>
          <w:tcPr>
            <w:tcW w:w="5669" w:type="dxa"/>
          </w:tcPr>
          <w:p w14:paraId="55623191" w14:textId="77777777" w:rsidR="00AC07F5" w:rsidRDefault="00AC07F5">
            <w:pPr>
              <w:spacing w:line="240" w:lineRule="auto"/>
              <w:rPr>
                <w:sz w:val="24"/>
                <w:rtl/>
              </w:rPr>
            </w:pPr>
            <w:r>
              <w:rPr>
                <w:sz w:val="24"/>
                <w:rtl/>
              </w:rPr>
              <w:t>סעד בדרך טען ביניים</w:t>
            </w:r>
          </w:p>
        </w:tc>
        <w:tc>
          <w:tcPr>
            <w:tcW w:w="1247" w:type="dxa"/>
          </w:tcPr>
          <w:p w14:paraId="33145FB8" w14:textId="77777777" w:rsidR="00AC07F5" w:rsidRDefault="00AC07F5">
            <w:pPr>
              <w:spacing w:line="240" w:lineRule="auto"/>
              <w:rPr>
                <w:sz w:val="24"/>
              </w:rPr>
            </w:pPr>
            <w:r>
              <w:rPr>
                <w:sz w:val="24"/>
                <w:rtl/>
              </w:rPr>
              <w:t xml:space="preserve">סעיף 15 </w:t>
            </w:r>
          </w:p>
        </w:tc>
      </w:tr>
      <w:tr w:rsidR="00AC07F5" w14:paraId="07ADE170" w14:textId="77777777">
        <w:tblPrEx>
          <w:tblCellMar>
            <w:top w:w="0" w:type="dxa"/>
            <w:bottom w:w="0" w:type="dxa"/>
          </w:tblCellMar>
        </w:tblPrEx>
        <w:tc>
          <w:tcPr>
            <w:tcW w:w="850" w:type="dxa"/>
          </w:tcPr>
          <w:p w14:paraId="7BB5A423"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99105B">
              <w:rPr>
                <w:noProof/>
                <w:sz w:val="24"/>
                <w:rtl/>
              </w:rPr>
              <w:t>4</w:t>
            </w:r>
            <w:r>
              <w:rPr>
                <w:sz w:val="24"/>
                <w:rtl/>
              </w:rPr>
              <w:fldChar w:fldCharType="end"/>
            </w:r>
          </w:p>
        </w:tc>
        <w:tc>
          <w:tcPr>
            <w:tcW w:w="567" w:type="dxa"/>
          </w:tcPr>
          <w:p w14:paraId="0266BE51" w14:textId="77777777" w:rsidR="00AC07F5" w:rsidRDefault="00AC07F5">
            <w:pPr>
              <w:spacing w:line="240" w:lineRule="auto"/>
              <w:rPr>
                <w:sz w:val="24"/>
              </w:rPr>
            </w:pPr>
            <w:hyperlink w:anchor="Seif16" w:tooltip="בקשות בעל פה" w:history="1">
              <w:r>
                <w:rPr>
                  <w:rStyle w:val="Hyperlink"/>
                </w:rPr>
                <w:t>Go</w:t>
              </w:r>
            </w:hyperlink>
          </w:p>
        </w:tc>
        <w:tc>
          <w:tcPr>
            <w:tcW w:w="5669" w:type="dxa"/>
          </w:tcPr>
          <w:p w14:paraId="3A9FD69C" w14:textId="77777777" w:rsidR="00AC07F5" w:rsidRDefault="00AC07F5">
            <w:pPr>
              <w:spacing w:line="240" w:lineRule="auto"/>
              <w:rPr>
                <w:sz w:val="24"/>
                <w:rtl/>
              </w:rPr>
            </w:pPr>
            <w:r>
              <w:rPr>
                <w:sz w:val="24"/>
                <w:rtl/>
              </w:rPr>
              <w:t>בקשות בעל פה</w:t>
            </w:r>
          </w:p>
        </w:tc>
        <w:tc>
          <w:tcPr>
            <w:tcW w:w="1247" w:type="dxa"/>
          </w:tcPr>
          <w:p w14:paraId="20F8E675" w14:textId="77777777" w:rsidR="00AC07F5" w:rsidRDefault="00AC07F5">
            <w:pPr>
              <w:spacing w:line="240" w:lineRule="auto"/>
              <w:rPr>
                <w:sz w:val="24"/>
              </w:rPr>
            </w:pPr>
            <w:r>
              <w:rPr>
                <w:sz w:val="24"/>
                <w:rtl/>
              </w:rPr>
              <w:t xml:space="preserve">סעיף 16 </w:t>
            </w:r>
          </w:p>
        </w:tc>
      </w:tr>
      <w:tr w:rsidR="00AC07F5" w14:paraId="22361418" w14:textId="77777777">
        <w:tblPrEx>
          <w:tblCellMar>
            <w:top w:w="0" w:type="dxa"/>
            <w:bottom w:w="0" w:type="dxa"/>
          </w:tblCellMar>
        </w:tblPrEx>
        <w:tc>
          <w:tcPr>
            <w:tcW w:w="850" w:type="dxa"/>
          </w:tcPr>
          <w:p w14:paraId="34AE2B61"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99105B">
              <w:rPr>
                <w:noProof/>
                <w:sz w:val="24"/>
                <w:rtl/>
              </w:rPr>
              <w:t>4</w:t>
            </w:r>
            <w:r>
              <w:rPr>
                <w:sz w:val="24"/>
                <w:rtl/>
              </w:rPr>
              <w:fldChar w:fldCharType="end"/>
            </w:r>
          </w:p>
        </w:tc>
        <w:tc>
          <w:tcPr>
            <w:tcW w:w="567" w:type="dxa"/>
          </w:tcPr>
          <w:p w14:paraId="18C2E9BA" w14:textId="77777777" w:rsidR="00AC07F5" w:rsidRDefault="00AC07F5">
            <w:pPr>
              <w:spacing w:line="240" w:lineRule="auto"/>
              <w:rPr>
                <w:sz w:val="24"/>
              </w:rPr>
            </w:pPr>
            <w:hyperlink w:anchor="Seif17" w:tooltip="סמכויות אב בית דין" w:history="1">
              <w:r>
                <w:rPr>
                  <w:rStyle w:val="Hyperlink"/>
                </w:rPr>
                <w:t>Go</w:t>
              </w:r>
            </w:hyperlink>
          </w:p>
        </w:tc>
        <w:tc>
          <w:tcPr>
            <w:tcW w:w="5669" w:type="dxa"/>
          </w:tcPr>
          <w:p w14:paraId="088D54F9" w14:textId="77777777" w:rsidR="00AC07F5" w:rsidRDefault="00AC07F5">
            <w:pPr>
              <w:spacing w:line="240" w:lineRule="auto"/>
              <w:rPr>
                <w:sz w:val="24"/>
                <w:rtl/>
              </w:rPr>
            </w:pPr>
            <w:r>
              <w:rPr>
                <w:sz w:val="24"/>
                <w:rtl/>
              </w:rPr>
              <w:t>סמכויות אב בית דין</w:t>
            </w:r>
          </w:p>
        </w:tc>
        <w:tc>
          <w:tcPr>
            <w:tcW w:w="1247" w:type="dxa"/>
          </w:tcPr>
          <w:p w14:paraId="3101841D" w14:textId="77777777" w:rsidR="00AC07F5" w:rsidRDefault="00AC07F5">
            <w:pPr>
              <w:spacing w:line="240" w:lineRule="auto"/>
              <w:rPr>
                <w:sz w:val="24"/>
              </w:rPr>
            </w:pPr>
            <w:r>
              <w:rPr>
                <w:sz w:val="24"/>
                <w:rtl/>
              </w:rPr>
              <w:t xml:space="preserve">סעיף 17 </w:t>
            </w:r>
          </w:p>
        </w:tc>
      </w:tr>
      <w:tr w:rsidR="00AC07F5" w14:paraId="417436B5" w14:textId="77777777">
        <w:tblPrEx>
          <w:tblCellMar>
            <w:top w:w="0" w:type="dxa"/>
            <w:bottom w:w="0" w:type="dxa"/>
          </w:tblCellMar>
        </w:tblPrEx>
        <w:tc>
          <w:tcPr>
            <w:tcW w:w="850" w:type="dxa"/>
          </w:tcPr>
          <w:p w14:paraId="0FADA21B"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99105B">
              <w:rPr>
                <w:noProof/>
                <w:sz w:val="24"/>
                <w:rtl/>
              </w:rPr>
              <w:t>4</w:t>
            </w:r>
            <w:r>
              <w:rPr>
                <w:sz w:val="24"/>
                <w:rtl/>
              </w:rPr>
              <w:fldChar w:fldCharType="end"/>
            </w:r>
          </w:p>
        </w:tc>
        <w:tc>
          <w:tcPr>
            <w:tcW w:w="567" w:type="dxa"/>
          </w:tcPr>
          <w:p w14:paraId="1330A0EE" w14:textId="77777777" w:rsidR="00AC07F5" w:rsidRDefault="00AC07F5">
            <w:pPr>
              <w:spacing w:line="240" w:lineRule="auto"/>
              <w:rPr>
                <w:sz w:val="24"/>
              </w:rPr>
            </w:pPr>
            <w:hyperlink w:anchor="Seif18" w:tooltip="החלטות בית דין" w:history="1">
              <w:r>
                <w:rPr>
                  <w:rStyle w:val="Hyperlink"/>
                </w:rPr>
                <w:t>Go</w:t>
              </w:r>
            </w:hyperlink>
          </w:p>
        </w:tc>
        <w:tc>
          <w:tcPr>
            <w:tcW w:w="5669" w:type="dxa"/>
          </w:tcPr>
          <w:p w14:paraId="4B9A8A00" w14:textId="77777777" w:rsidR="00AC07F5" w:rsidRDefault="00AC07F5">
            <w:pPr>
              <w:spacing w:line="240" w:lineRule="auto"/>
              <w:rPr>
                <w:sz w:val="24"/>
                <w:rtl/>
              </w:rPr>
            </w:pPr>
            <w:r>
              <w:rPr>
                <w:sz w:val="24"/>
                <w:rtl/>
              </w:rPr>
              <w:t>החלטות בית דין</w:t>
            </w:r>
          </w:p>
        </w:tc>
        <w:tc>
          <w:tcPr>
            <w:tcW w:w="1247" w:type="dxa"/>
          </w:tcPr>
          <w:p w14:paraId="02ACFD0B" w14:textId="77777777" w:rsidR="00AC07F5" w:rsidRDefault="00AC07F5">
            <w:pPr>
              <w:spacing w:line="240" w:lineRule="auto"/>
              <w:rPr>
                <w:sz w:val="24"/>
              </w:rPr>
            </w:pPr>
            <w:r>
              <w:rPr>
                <w:sz w:val="24"/>
                <w:rtl/>
              </w:rPr>
              <w:t xml:space="preserve">סעיף 17א </w:t>
            </w:r>
          </w:p>
        </w:tc>
      </w:tr>
      <w:tr w:rsidR="00AC07F5" w14:paraId="4BD980F6" w14:textId="77777777">
        <w:tblPrEx>
          <w:tblCellMar>
            <w:top w:w="0" w:type="dxa"/>
            <w:bottom w:w="0" w:type="dxa"/>
          </w:tblCellMar>
        </w:tblPrEx>
        <w:tc>
          <w:tcPr>
            <w:tcW w:w="850" w:type="dxa"/>
          </w:tcPr>
          <w:p w14:paraId="2263A1F0"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99105B">
              <w:rPr>
                <w:noProof/>
                <w:sz w:val="24"/>
                <w:rtl/>
              </w:rPr>
              <w:t>4</w:t>
            </w:r>
            <w:r>
              <w:rPr>
                <w:sz w:val="24"/>
                <w:rtl/>
              </w:rPr>
              <w:fldChar w:fldCharType="end"/>
            </w:r>
          </w:p>
        </w:tc>
        <w:tc>
          <w:tcPr>
            <w:tcW w:w="567" w:type="dxa"/>
          </w:tcPr>
          <w:p w14:paraId="6348390B" w14:textId="77777777" w:rsidR="00AC07F5" w:rsidRDefault="00AC07F5">
            <w:pPr>
              <w:spacing w:line="240" w:lineRule="auto"/>
              <w:rPr>
                <w:sz w:val="24"/>
              </w:rPr>
            </w:pPr>
            <w:hyperlink w:anchor="Seif19" w:tooltip="שכר מיוחד בעד ביקור במקום" w:history="1">
              <w:r>
                <w:rPr>
                  <w:rStyle w:val="Hyperlink"/>
                </w:rPr>
                <w:t>Go</w:t>
              </w:r>
            </w:hyperlink>
          </w:p>
        </w:tc>
        <w:tc>
          <w:tcPr>
            <w:tcW w:w="5669" w:type="dxa"/>
          </w:tcPr>
          <w:p w14:paraId="64C1586D" w14:textId="77777777" w:rsidR="00AC07F5" w:rsidRDefault="00AC07F5">
            <w:pPr>
              <w:spacing w:line="240" w:lineRule="auto"/>
              <w:rPr>
                <w:sz w:val="24"/>
                <w:rtl/>
              </w:rPr>
            </w:pPr>
            <w:r>
              <w:rPr>
                <w:sz w:val="24"/>
                <w:rtl/>
              </w:rPr>
              <w:t>שכר מיוחד בעד ביקור במקום</w:t>
            </w:r>
          </w:p>
        </w:tc>
        <w:tc>
          <w:tcPr>
            <w:tcW w:w="1247" w:type="dxa"/>
          </w:tcPr>
          <w:p w14:paraId="686A29FB" w14:textId="77777777" w:rsidR="00AC07F5" w:rsidRDefault="00AC07F5">
            <w:pPr>
              <w:spacing w:line="240" w:lineRule="auto"/>
              <w:rPr>
                <w:sz w:val="24"/>
              </w:rPr>
            </w:pPr>
            <w:r>
              <w:rPr>
                <w:sz w:val="24"/>
                <w:rtl/>
              </w:rPr>
              <w:t xml:space="preserve">סעיף 18 </w:t>
            </w:r>
          </w:p>
        </w:tc>
      </w:tr>
      <w:tr w:rsidR="00AC07F5" w14:paraId="10BA46B8" w14:textId="77777777">
        <w:tblPrEx>
          <w:tblCellMar>
            <w:top w:w="0" w:type="dxa"/>
            <w:bottom w:w="0" w:type="dxa"/>
          </w:tblCellMar>
        </w:tblPrEx>
        <w:tc>
          <w:tcPr>
            <w:tcW w:w="850" w:type="dxa"/>
          </w:tcPr>
          <w:p w14:paraId="72354417"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99105B">
              <w:rPr>
                <w:noProof/>
                <w:sz w:val="24"/>
                <w:rtl/>
              </w:rPr>
              <w:t>4</w:t>
            </w:r>
            <w:r>
              <w:rPr>
                <w:sz w:val="24"/>
                <w:rtl/>
              </w:rPr>
              <w:fldChar w:fldCharType="end"/>
            </w:r>
          </w:p>
        </w:tc>
        <w:tc>
          <w:tcPr>
            <w:tcW w:w="567" w:type="dxa"/>
          </w:tcPr>
          <w:p w14:paraId="008227B0" w14:textId="77777777" w:rsidR="00AC07F5" w:rsidRDefault="00AC07F5">
            <w:pPr>
              <w:spacing w:line="240" w:lineRule="auto"/>
              <w:rPr>
                <w:sz w:val="24"/>
              </w:rPr>
            </w:pPr>
            <w:hyperlink w:anchor="Seif20" w:tooltip="העברת הארכיונים" w:history="1">
              <w:r>
                <w:rPr>
                  <w:rStyle w:val="Hyperlink"/>
                </w:rPr>
                <w:t>Go</w:t>
              </w:r>
            </w:hyperlink>
          </w:p>
        </w:tc>
        <w:tc>
          <w:tcPr>
            <w:tcW w:w="5669" w:type="dxa"/>
          </w:tcPr>
          <w:p w14:paraId="1C392BD5" w14:textId="77777777" w:rsidR="00AC07F5" w:rsidRDefault="00AC07F5">
            <w:pPr>
              <w:spacing w:line="240" w:lineRule="auto"/>
              <w:rPr>
                <w:sz w:val="24"/>
                <w:rtl/>
              </w:rPr>
            </w:pPr>
            <w:r>
              <w:rPr>
                <w:sz w:val="24"/>
                <w:rtl/>
              </w:rPr>
              <w:t>העברת הארכיונים</w:t>
            </w:r>
          </w:p>
        </w:tc>
        <w:tc>
          <w:tcPr>
            <w:tcW w:w="1247" w:type="dxa"/>
          </w:tcPr>
          <w:p w14:paraId="58535A41" w14:textId="77777777" w:rsidR="00AC07F5" w:rsidRDefault="00AC07F5">
            <w:pPr>
              <w:spacing w:line="240" w:lineRule="auto"/>
              <w:rPr>
                <w:sz w:val="24"/>
              </w:rPr>
            </w:pPr>
            <w:r>
              <w:rPr>
                <w:sz w:val="24"/>
                <w:rtl/>
              </w:rPr>
              <w:t xml:space="preserve">סעיף 19 </w:t>
            </w:r>
          </w:p>
        </w:tc>
      </w:tr>
      <w:tr w:rsidR="00AC07F5" w14:paraId="395706FF" w14:textId="77777777">
        <w:tblPrEx>
          <w:tblCellMar>
            <w:top w:w="0" w:type="dxa"/>
            <w:bottom w:w="0" w:type="dxa"/>
          </w:tblCellMar>
        </w:tblPrEx>
        <w:tc>
          <w:tcPr>
            <w:tcW w:w="850" w:type="dxa"/>
          </w:tcPr>
          <w:p w14:paraId="5537CD92"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99105B">
              <w:rPr>
                <w:noProof/>
                <w:sz w:val="24"/>
                <w:rtl/>
              </w:rPr>
              <w:t>5</w:t>
            </w:r>
            <w:r>
              <w:rPr>
                <w:sz w:val="24"/>
                <w:rtl/>
              </w:rPr>
              <w:fldChar w:fldCharType="end"/>
            </w:r>
          </w:p>
        </w:tc>
        <w:tc>
          <w:tcPr>
            <w:tcW w:w="567" w:type="dxa"/>
          </w:tcPr>
          <w:p w14:paraId="58D633E0" w14:textId="77777777" w:rsidR="00AC07F5" w:rsidRDefault="00AC07F5">
            <w:pPr>
              <w:spacing w:line="240" w:lineRule="auto"/>
              <w:rPr>
                <w:sz w:val="24"/>
              </w:rPr>
            </w:pPr>
            <w:hyperlink w:anchor="Seif21" w:tooltip="ביטולים" w:history="1">
              <w:r>
                <w:rPr>
                  <w:rStyle w:val="Hyperlink"/>
                </w:rPr>
                <w:t>Go</w:t>
              </w:r>
            </w:hyperlink>
          </w:p>
        </w:tc>
        <w:tc>
          <w:tcPr>
            <w:tcW w:w="5669" w:type="dxa"/>
          </w:tcPr>
          <w:p w14:paraId="2C911069" w14:textId="77777777" w:rsidR="00AC07F5" w:rsidRDefault="00AC07F5">
            <w:pPr>
              <w:spacing w:line="240" w:lineRule="auto"/>
              <w:rPr>
                <w:sz w:val="24"/>
                <w:rtl/>
              </w:rPr>
            </w:pPr>
            <w:r>
              <w:rPr>
                <w:sz w:val="24"/>
                <w:rtl/>
              </w:rPr>
              <w:t>ביטולים</w:t>
            </w:r>
          </w:p>
        </w:tc>
        <w:tc>
          <w:tcPr>
            <w:tcW w:w="1247" w:type="dxa"/>
          </w:tcPr>
          <w:p w14:paraId="542F6588" w14:textId="77777777" w:rsidR="00AC07F5" w:rsidRDefault="00AC07F5">
            <w:pPr>
              <w:spacing w:line="240" w:lineRule="auto"/>
              <w:rPr>
                <w:sz w:val="24"/>
              </w:rPr>
            </w:pPr>
            <w:r>
              <w:rPr>
                <w:sz w:val="24"/>
                <w:rtl/>
              </w:rPr>
              <w:t xml:space="preserve">סעיף 20 </w:t>
            </w:r>
          </w:p>
        </w:tc>
      </w:tr>
      <w:tr w:rsidR="00AC07F5" w14:paraId="50C03CED" w14:textId="77777777">
        <w:tblPrEx>
          <w:tblCellMar>
            <w:top w:w="0" w:type="dxa"/>
            <w:bottom w:w="0" w:type="dxa"/>
          </w:tblCellMar>
        </w:tblPrEx>
        <w:tc>
          <w:tcPr>
            <w:tcW w:w="850" w:type="dxa"/>
          </w:tcPr>
          <w:p w14:paraId="5AB43063"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99105B">
              <w:rPr>
                <w:noProof/>
                <w:sz w:val="24"/>
                <w:rtl/>
              </w:rPr>
              <w:t>5</w:t>
            </w:r>
            <w:r>
              <w:rPr>
                <w:sz w:val="24"/>
                <w:rtl/>
              </w:rPr>
              <w:fldChar w:fldCharType="end"/>
            </w:r>
          </w:p>
        </w:tc>
        <w:tc>
          <w:tcPr>
            <w:tcW w:w="567" w:type="dxa"/>
          </w:tcPr>
          <w:p w14:paraId="4DB1384E" w14:textId="77777777" w:rsidR="00AC07F5" w:rsidRDefault="00AC07F5">
            <w:pPr>
              <w:spacing w:line="240" w:lineRule="auto"/>
              <w:rPr>
                <w:sz w:val="24"/>
              </w:rPr>
            </w:pPr>
            <w:hyperlink w:anchor="Seif22" w:tooltip="הוראות מעבר" w:history="1">
              <w:r>
                <w:rPr>
                  <w:rStyle w:val="Hyperlink"/>
                </w:rPr>
                <w:t>Go</w:t>
              </w:r>
            </w:hyperlink>
          </w:p>
        </w:tc>
        <w:tc>
          <w:tcPr>
            <w:tcW w:w="5669" w:type="dxa"/>
          </w:tcPr>
          <w:p w14:paraId="22C9E938" w14:textId="77777777" w:rsidR="00AC07F5" w:rsidRDefault="00AC07F5">
            <w:pPr>
              <w:spacing w:line="240" w:lineRule="auto"/>
              <w:rPr>
                <w:sz w:val="24"/>
                <w:rtl/>
              </w:rPr>
            </w:pPr>
            <w:r>
              <w:rPr>
                <w:sz w:val="24"/>
                <w:rtl/>
              </w:rPr>
              <w:t>הוראות מעבר</w:t>
            </w:r>
          </w:p>
        </w:tc>
        <w:tc>
          <w:tcPr>
            <w:tcW w:w="1247" w:type="dxa"/>
          </w:tcPr>
          <w:p w14:paraId="3704DDDD" w14:textId="77777777" w:rsidR="00AC07F5" w:rsidRDefault="00AC07F5">
            <w:pPr>
              <w:spacing w:line="240" w:lineRule="auto"/>
              <w:rPr>
                <w:sz w:val="24"/>
              </w:rPr>
            </w:pPr>
            <w:r>
              <w:rPr>
                <w:sz w:val="24"/>
                <w:rtl/>
              </w:rPr>
              <w:t xml:space="preserve">סעיף 21 </w:t>
            </w:r>
          </w:p>
        </w:tc>
      </w:tr>
      <w:tr w:rsidR="00AC07F5" w14:paraId="4AD386C2" w14:textId="77777777">
        <w:tblPrEx>
          <w:tblCellMar>
            <w:top w:w="0" w:type="dxa"/>
            <w:bottom w:w="0" w:type="dxa"/>
          </w:tblCellMar>
        </w:tblPrEx>
        <w:tc>
          <w:tcPr>
            <w:tcW w:w="850" w:type="dxa"/>
          </w:tcPr>
          <w:p w14:paraId="79EE4189"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99105B">
              <w:rPr>
                <w:noProof/>
                <w:sz w:val="24"/>
                <w:rtl/>
              </w:rPr>
              <w:t>5</w:t>
            </w:r>
            <w:r>
              <w:rPr>
                <w:sz w:val="24"/>
                <w:rtl/>
              </w:rPr>
              <w:fldChar w:fldCharType="end"/>
            </w:r>
          </w:p>
        </w:tc>
        <w:tc>
          <w:tcPr>
            <w:tcW w:w="567" w:type="dxa"/>
          </w:tcPr>
          <w:p w14:paraId="4455251F" w14:textId="77777777" w:rsidR="00AC07F5" w:rsidRDefault="00AC07F5">
            <w:pPr>
              <w:spacing w:line="240" w:lineRule="auto"/>
              <w:rPr>
                <w:sz w:val="24"/>
              </w:rPr>
            </w:pPr>
            <w:hyperlink w:anchor="Seif23" w:tooltip="תחילת תוקף" w:history="1">
              <w:r>
                <w:rPr>
                  <w:rStyle w:val="Hyperlink"/>
                </w:rPr>
                <w:t>Go</w:t>
              </w:r>
            </w:hyperlink>
          </w:p>
        </w:tc>
        <w:tc>
          <w:tcPr>
            <w:tcW w:w="5669" w:type="dxa"/>
          </w:tcPr>
          <w:p w14:paraId="117DF5F3" w14:textId="77777777" w:rsidR="00AC07F5" w:rsidRDefault="00AC07F5">
            <w:pPr>
              <w:spacing w:line="240" w:lineRule="auto"/>
              <w:rPr>
                <w:sz w:val="24"/>
                <w:rtl/>
              </w:rPr>
            </w:pPr>
            <w:r>
              <w:rPr>
                <w:sz w:val="24"/>
                <w:rtl/>
              </w:rPr>
              <w:t>תחילת תוקף</w:t>
            </w:r>
          </w:p>
        </w:tc>
        <w:tc>
          <w:tcPr>
            <w:tcW w:w="1247" w:type="dxa"/>
          </w:tcPr>
          <w:p w14:paraId="28511D08" w14:textId="77777777" w:rsidR="00AC07F5" w:rsidRDefault="00AC07F5">
            <w:pPr>
              <w:spacing w:line="240" w:lineRule="auto"/>
              <w:rPr>
                <w:sz w:val="24"/>
              </w:rPr>
            </w:pPr>
            <w:r>
              <w:rPr>
                <w:sz w:val="24"/>
                <w:rtl/>
              </w:rPr>
              <w:t xml:space="preserve">סעיף 22 </w:t>
            </w:r>
          </w:p>
        </w:tc>
      </w:tr>
      <w:tr w:rsidR="00AC07F5" w14:paraId="3C23958B" w14:textId="77777777">
        <w:tblPrEx>
          <w:tblCellMar>
            <w:top w:w="0" w:type="dxa"/>
            <w:bottom w:w="0" w:type="dxa"/>
          </w:tblCellMar>
        </w:tblPrEx>
        <w:tc>
          <w:tcPr>
            <w:tcW w:w="850" w:type="dxa"/>
          </w:tcPr>
          <w:p w14:paraId="2FE5ABED" w14:textId="77777777" w:rsidR="00AC07F5" w:rsidRDefault="00AC07F5">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99105B">
              <w:rPr>
                <w:noProof/>
                <w:sz w:val="24"/>
                <w:rtl/>
              </w:rPr>
              <w:t>5</w:t>
            </w:r>
            <w:r>
              <w:rPr>
                <w:sz w:val="24"/>
                <w:rtl/>
              </w:rPr>
              <w:fldChar w:fldCharType="end"/>
            </w:r>
          </w:p>
        </w:tc>
        <w:tc>
          <w:tcPr>
            <w:tcW w:w="567" w:type="dxa"/>
          </w:tcPr>
          <w:p w14:paraId="190168B5" w14:textId="77777777" w:rsidR="00AC07F5" w:rsidRDefault="00AC07F5">
            <w:pPr>
              <w:spacing w:line="240" w:lineRule="auto"/>
              <w:rPr>
                <w:sz w:val="24"/>
              </w:rPr>
            </w:pPr>
            <w:hyperlink w:anchor="Seif24" w:tooltip="השם" w:history="1">
              <w:r>
                <w:rPr>
                  <w:rStyle w:val="Hyperlink"/>
                </w:rPr>
                <w:t>Go</w:t>
              </w:r>
            </w:hyperlink>
          </w:p>
        </w:tc>
        <w:tc>
          <w:tcPr>
            <w:tcW w:w="5669" w:type="dxa"/>
          </w:tcPr>
          <w:p w14:paraId="661AB7C6" w14:textId="77777777" w:rsidR="00AC07F5" w:rsidRDefault="00AC07F5">
            <w:pPr>
              <w:spacing w:line="240" w:lineRule="auto"/>
              <w:rPr>
                <w:sz w:val="24"/>
                <w:rtl/>
              </w:rPr>
            </w:pPr>
            <w:r>
              <w:rPr>
                <w:sz w:val="24"/>
                <w:rtl/>
              </w:rPr>
              <w:t>השם</w:t>
            </w:r>
          </w:p>
        </w:tc>
        <w:tc>
          <w:tcPr>
            <w:tcW w:w="1247" w:type="dxa"/>
          </w:tcPr>
          <w:p w14:paraId="2A0926D5" w14:textId="77777777" w:rsidR="00AC07F5" w:rsidRDefault="00AC07F5">
            <w:pPr>
              <w:spacing w:line="240" w:lineRule="auto"/>
              <w:rPr>
                <w:sz w:val="24"/>
              </w:rPr>
            </w:pPr>
            <w:r>
              <w:rPr>
                <w:sz w:val="24"/>
                <w:rtl/>
              </w:rPr>
              <w:t xml:space="preserve">סעיף 23 </w:t>
            </w:r>
          </w:p>
        </w:tc>
      </w:tr>
    </w:tbl>
    <w:p w14:paraId="3C2CB902" w14:textId="77777777" w:rsidR="00AC07F5" w:rsidRDefault="00AC07F5">
      <w:pPr>
        <w:pStyle w:val="big-header"/>
        <w:ind w:left="0" w:right="1134"/>
        <w:rPr>
          <w:rFonts w:cs="FrankRuehl"/>
          <w:sz w:val="32"/>
          <w:rtl/>
        </w:rPr>
      </w:pPr>
    </w:p>
    <w:p w14:paraId="1AC24E75" w14:textId="77777777" w:rsidR="00AC07F5" w:rsidRDefault="00AC07F5" w:rsidP="009C5DEE">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הגנת הדייר (סדרי הדין בבתי הדין לשכירות), תשי"ד</w:t>
      </w:r>
      <w:r w:rsidR="0099105B">
        <w:rPr>
          <w:rFonts w:cs="FrankRuehl" w:hint="cs"/>
          <w:sz w:val="32"/>
          <w:rtl/>
        </w:rPr>
        <w:t>-</w:t>
      </w:r>
      <w:r>
        <w:rPr>
          <w:rFonts w:cs="FrankRuehl"/>
          <w:sz w:val="32"/>
          <w:rtl/>
        </w:rPr>
        <w:t>1954</w:t>
      </w:r>
      <w:r w:rsidR="0099105B">
        <w:rPr>
          <w:rStyle w:val="a6"/>
          <w:rFonts w:cs="FrankRuehl"/>
          <w:sz w:val="32"/>
          <w:rtl/>
        </w:rPr>
        <w:footnoteReference w:customMarkFollows="1" w:id="1"/>
        <w:t>*</w:t>
      </w:r>
    </w:p>
    <w:p w14:paraId="2B4891FB" w14:textId="77777777" w:rsidR="00AC07F5" w:rsidRDefault="00AC07F5" w:rsidP="001B291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w:t>
      </w:r>
      <w:r>
        <w:rPr>
          <w:rStyle w:val="default"/>
          <w:rFonts w:cs="FrankRuehl"/>
          <w:rtl/>
        </w:rPr>
        <w:t>י</w:t>
      </w:r>
      <w:r>
        <w:rPr>
          <w:rStyle w:val="default"/>
          <w:rFonts w:cs="FrankRuehl" w:hint="cs"/>
          <w:rtl/>
        </w:rPr>
        <w:t xml:space="preserve"> לפי סעיף 64 לחוק הגנת הדייר, תשי"ד</w:t>
      </w:r>
      <w:r w:rsidR="001B2917">
        <w:rPr>
          <w:rStyle w:val="default"/>
          <w:rFonts w:cs="FrankRuehl" w:hint="cs"/>
          <w:rtl/>
        </w:rPr>
        <w:t>-</w:t>
      </w:r>
      <w:r>
        <w:rPr>
          <w:rStyle w:val="default"/>
          <w:rFonts w:cs="FrankRuehl"/>
          <w:rtl/>
        </w:rPr>
        <w:t xml:space="preserve">1954, </w:t>
      </w:r>
      <w:r>
        <w:rPr>
          <w:rStyle w:val="default"/>
          <w:rFonts w:cs="FrankRuehl" w:hint="cs"/>
          <w:rtl/>
        </w:rPr>
        <w:t xml:space="preserve">אני מתקין תקנות אלה: </w:t>
      </w:r>
    </w:p>
    <w:p w14:paraId="1A151BDC" w14:textId="77777777" w:rsidR="00AC07F5" w:rsidRDefault="00AC07F5" w:rsidP="001B2917">
      <w:pPr>
        <w:pStyle w:val="P00"/>
        <w:spacing w:before="72"/>
        <w:ind w:left="0" w:right="1134"/>
        <w:rPr>
          <w:rStyle w:val="default"/>
          <w:rFonts w:cs="FrankRuehl" w:hint="cs"/>
          <w:rtl/>
        </w:rPr>
      </w:pPr>
      <w:bookmarkStart w:id="0" w:name="Seif0"/>
      <w:bookmarkEnd w:id="0"/>
      <w:r>
        <w:rPr>
          <w:lang w:val="he-IL"/>
        </w:rPr>
        <w:pict w14:anchorId="1449BE97">
          <v:rect id="_x0000_s1026" style="position:absolute;left:0;text-align:left;margin-left:464.5pt;margin-top:8.05pt;width:75.05pt;height:24pt;z-index:251644928" o:allowincell="f" filled="f" stroked="f" strokecolor="lime" strokeweight=".25pt">
            <v:textbox inset="0,0,0,0">
              <w:txbxContent>
                <w:p w14:paraId="39357E4E" w14:textId="77777777" w:rsidR="00AC07F5" w:rsidRDefault="00AC07F5" w:rsidP="001B2917">
                  <w:pPr>
                    <w:spacing w:line="160" w:lineRule="exact"/>
                    <w:jc w:val="left"/>
                    <w:rPr>
                      <w:rFonts w:cs="Miriam"/>
                      <w:noProof/>
                      <w:sz w:val="18"/>
                      <w:szCs w:val="18"/>
                      <w:rtl/>
                    </w:rPr>
                  </w:pPr>
                  <w:r>
                    <w:rPr>
                      <w:rFonts w:cs="Miriam"/>
                      <w:sz w:val="18"/>
                      <w:szCs w:val="18"/>
                      <w:rtl/>
                    </w:rPr>
                    <w:t>פר</w:t>
                  </w:r>
                  <w:r>
                    <w:rPr>
                      <w:rFonts w:cs="Miriam" w:hint="cs"/>
                      <w:sz w:val="18"/>
                      <w:szCs w:val="18"/>
                      <w:rtl/>
                    </w:rPr>
                    <w:t>שנות</w:t>
                  </w:r>
                  <w:r w:rsidR="001B2917">
                    <w:rPr>
                      <w:rFonts w:cs="Miriam" w:hint="cs"/>
                      <w:sz w:val="18"/>
                      <w:szCs w:val="18"/>
                      <w:rtl/>
                    </w:rPr>
                    <w:t xml:space="preserve"> </w:t>
                  </w:r>
                  <w:r>
                    <w:rPr>
                      <w:rFonts w:cs="Miriam"/>
                      <w:sz w:val="18"/>
                      <w:szCs w:val="18"/>
                      <w:rtl/>
                    </w:rPr>
                    <w:t>ות</w:t>
                  </w:r>
                  <w:r>
                    <w:rPr>
                      <w:rFonts w:cs="Miriam" w:hint="cs"/>
                      <w:sz w:val="18"/>
                      <w:szCs w:val="18"/>
                      <w:rtl/>
                    </w:rPr>
                    <w:t>חולה</w:t>
                  </w:r>
                </w:p>
                <w:p w14:paraId="543B4143" w14:textId="77777777" w:rsidR="00AC07F5" w:rsidRDefault="00AC07F5" w:rsidP="001B2917">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sidR="001B2917">
                    <w:rPr>
                      <w:rFonts w:cs="Miriam" w:hint="cs"/>
                      <w:sz w:val="18"/>
                      <w:szCs w:val="18"/>
                      <w:rtl/>
                    </w:rPr>
                    <w:t>-</w:t>
                  </w:r>
                  <w:r>
                    <w:rPr>
                      <w:rFonts w:cs="Miriam"/>
                      <w:sz w:val="18"/>
                      <w:szCs w:val="18"/>
                      <w:rtl/>
                    </w:rPr>
                    <w:t>1970</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אלה תהא לכל מונח המשמעות שיש לו בתקנות סדר הדין האזרחי, תשכ"ג</w:t>
      </w:r>
      <w:r w:rsidR="001B2917">
        <w:rPr>
          <w:rStyle w:val="default"/>
          <w:rFonts w:cs="FrankRuehl" w:hint="cs"/>
          <w:rtl/>
        </w:rPr>
        <w:t>-</w:t>
      </w:r>
      <w:r>
        <w:rPr>
          <w:rStyle w:val="default"/>
          <w:rFonts w:cs="FrankRuehl"/>
          <w:rtl/>
        </w:rPr>
        <w:t>1963 (</w:t>
      </w:r>
      <w:r>
        <w:rPr>
          <w:rStyle w:val="default"/>
          <w:rFonts w:cs="FrankRuehl" w:hint="cs"/>
          <w:rtl/>
        </w:rPr>
        <w:t xml:space="preserve">להלן </w:t>
      </w:r>
      <w:r w:rsidR="002D63DB">
        <w:rPr>
          <w:rStyle w:val="default"/>
          <w:rFonts w:cs="FrankRuehl"/>
          <w:rtl/>
        </w:rPr>
        <w:t>–</w:t>
      </w:r>
      <w:r>
        <w:rPr>
          <w:rStyle w:val="default"/>
          <w:rFonts w:cs="FrankRuehl"/>
          <w:rtl/>
        </w:rPr>
        <w:t xml:space="preserve"> </w:t>
      </w:r>
      <w:r>
        <w:rPr>
          <w:rStyle w:val="default"/>
          <w:rFonts w:cs="FrankRuehl" w:hint="cs"/>
          <w:rtl/>
        </w:rPr>
        <w:t>התקנות הכללי</w:t>
      </w:r>
      <w:r>
        <w:rPr>
          <w:rStyle w:val="default"/>
          <w:rFonts w:cs="FrankRuehl"/>
          <w:rtl/>
        </w:rPr>
        <w:t>ות</w:t>
      </w:r>
      <w:r>
        <w:rPr>
          <w:rStyle w:val="default"/>
          <w:rFonts w:cs="FrankRuehl" w:hint="cs"/>
          <w:rtl/>
        </w:rPr>
        <w:t xml:space="preserve">), והוראות התקנות הכלליות יחולו, בשינויים המחוייבים לפי הענין, על סדרי הדין בבית הדין לשכירות, והוא כשאין כוונה אחרת משתמעת מתקנות אלה. </w:t>
      </w:r>
    </w:p>
    <w:p w14:paraId="36DA79F3" w14:textId="77777777" w:rsidR="00686876" w:rsidRPr="002D63DB" w:rsidRDefault="00686876" w:rsidP="00686876">
      <w:pPr>
        <w:pStyle w:val="P00"/>
        <w:tabs>
          <w:tab w:val="clear" w:pos="6259"/>
        </w:tabs>
        <w:spacing w:before="0"/>
        <w:ind w:left="0" w:right="1134"/>
        <w:rPr>
          <w:rFonts w:cs="FrankRuehl" w:hint="cs"/>
          <w:vanish/>
          <w:szCs w:val="20"/>
          <w:shd w:val="clear" w:color="auto" w:fill="FFFF99"/>
          <w:rtl/>
        </w:rPr>
      </w:pPr>
      <w:bookmarkStart w:id="1" w:name="Rov28"/>
      <w:r w:rsidRPr="002D63DB">
        <w:rPr>
          <w:rFonts w:cs="FrankRuehl" w:hint="cs"/>
          <w:vanish/>
          <w:color w:val="FF0000"/>
          <w:szCs w:val="20"/>
          <w:shd w:val="clear" w:color="auto" w:fill="FFFF99"/>
          <w:rtl/>
        </w:rPr>
        <w:t>מיום 5.2.1970</w:t>
      </w:r>
    </w:p>
    <w:p w14:paraId="76852D80" w14:textId="77777777" w:rsidR="00686876" w:rsidRPr="002D63DB" w:rsidRDefault="00686876" w:rsidP="00686876">
      <w:pPr>
        <w:pStyle w:val="P00"/>
        <w:spacing w:before="0"/>
        <w:ind w:left="0" w:right="1134"/>
        <w:rPr>
          <w:rFonts w:cs="FrankRuehl" w:hint="cs"/>
          <w:b/>
          <w:bCs/>
          <w:vanish/>
          <w:szCs w:val="20"/>
          <w:shd w:val="clear" w:color="auto" w:fill="FFFF99"/>
          <w:rtl/>
        </w:rPr>
      </w:pPr>
      <w:r w:rsidRPr="002D63DB">
        <w:rPr>
          <w:rFonts w:cs="FrankRuehl" w:hint="cs"/>
          <w:b/>
          <w:bCs/>
          <w:vanish/>
          <w:szCs w:val="20"/>
          <w:shd w:val="clear" w:color="auto" w:fill="FFFF99"/>
          <w:rtl/>
        </w:rPr>
        <w:t>תק' תש"ל-1970</w:t>
      </w:r>
    </w:p>
    <w:p w14:paraId="6E2F799D" w14:textId="77777777" w:rsidR="00686876" w:rsidRPr="002D63DB" w:rsidRDefault="00686876" w:rsidP="00686876">
      <w:pPr>
        <w:pStyle w:val="P00"/>
        <w:spacing w:before="0"/>
        <w:ind w:left="0" w:right="1134"/>
        <w:rPr>
          <w:rFonts w:cs="FrankRuehl" w:hint="cs"/>
          <w:vanish/>
          <w:szCs w:val="20"/>
          <w:shd w:val="clear" w:color="auto" w:fill="FFFF99"/>
          <w:rtl/>
        </w:rPr>
      </w:pPr>
      <w:hyperlink r:id="rId6" w:history="1">
        <w:r w:rsidRPr="002D63DB">
          <w:rPr>
            <w:rStyle w:val="Hyperlink"/>
            <w:rFonts w:cs="FrankRuehl" w:hint="cs"/>
            <w:vanish/>
            <w:szCs w:val="20"/>
            <w:shd w:val="clear" w:color="auto" w:fill="FFFF99"/>
            <w:rtl/>
          </w:rPr>
          <w:t>ק"ת תש"ל מס' 2518</w:t>
        </w:r>
      </w:hyperlink>
      <w:r w:rsidRPr="002D63DB">
        <w:rPr>
          <w:rFonts w:cs="FrankRuehl" w:hint="cs"/>
          <w:vanish/>
          <w:szCs w:val="20"/>
          <w:shd w:val="clear" w:color="auto" w:fill="FFFF99"/>
          <w:rtl/>
        </w:rPr>
        <w:t xml:space="preserve"> מיום 5.2.1970 עמ' 994</w:t>
      </w:r>
    </w:p>
    <w:p w14:paraId="2E596E74" w14:textId="77777777" w:rsidR="00686876" w:rsidRPr="002D63DB" w:rsidRDefault="00686876" w:rsidP="00686876">
      <w:pPr>
        <w:pStyle w:val="P00"/>
        <w:spacing w:before="0"/>
        <w:ind w:left="0" w:right="1134"/>
        <w:rPr>
          <w:rFonts w:cs="FrankRuehl" w:hint="cs"/>
          <w:b/>
          <w:bCs/>
          <w:vanish/>
          <w:szCs w:val="20"/>
          <w:shd w:val="clear" w:color="auto" w:fill="FFFF99"/>
          <w:rtl/>
        </w:rPr>
      </w:pPr>
      <w:r w:rsidRPr="002D63DB">
        <w:rPr>
          <w:rFonts w:cs="FrankRuehl" w:hint="cs"/>
          <w:b/>
          <w:bCs/>
          <w:vanish/>
          <w:szCs w:val="20"/>
          <w:shd w:val="clear" w:color="auto" w:fill="FFFF99"/>
          <w:rtl/>
        </w:rPr>
        <w:t>החלפת תקנה 1</w:t>
      </w:r>
    </w:p>
    <w:p w14:paraId="37EF19B4" w14:textId="77777777" w:rsidR="00686876" w:rsidRPr="002D63DB" w:rsidRDefault="00686876" w:rsidP="00686876">
      <w:pPr>
        <w:pStyle w:val="P00"/>
        <w:ind w:left="0" w:right="1134"/>
        <w:rPr>
          <w:rFonts w:cs="FrankRuehl" w:hint="cs"/>
          <w:vanish/>
          <w:szCs w:val="20"/>
          <w:shd w:val="clear" w:color="auto" w:fill="FFFF99"/>
          <w:rtl/>
        </w:rPr>
      </w:pPr>
      <w:r w:rsidRPr="002D63DB">
        <w:rPr>
          <w:rFonts w:cs="FrankRuehl" w:hint="cs"/>
          <w:vanish/>
          <w:szCs w:val="20"/>
          <w:shd w:val="clear" w:color="auto" w:fill="FFFF99"/>
          <w:rtl/>
        </w:rPr>
        <w:t>הנוסח הקודם:</w:t>
      </w:r>
    </w:p>
    <w:p w14:paraId="6AB9E5C1" w14:textId="77777777" w:rsidR="00686876" w:rsidRPr="00A53E2F" w:rsidRDefault="00686876" w:rsidP="00A53E2F">
      <w:pPr>
        <w:pStyle w:val="P00"/>
        <w:spacing w:before="0"/>
        <w:ind w:left="0" w:right="1134"/>
        <w:rPr>
          <w:rFonts w:cs="FrankRuehl" w:hint="cs"/>
          <w:strike/>
          <w:sz w:val="2"/>
          <w:szCs w:val="2"/>
          <w:rtl/>
        </w:rPr>
      </w:pPr>
      <w:r w:rsidRPr="002D63DB">
        <w:rPr>
          <w:rFonts w:cs="FrankRuehl" w:hint="cs"/>
          <w:strike/>
          <w:vanish/>
          <w:sz w:val="22"/>
          <w:szCs w:val="22"/>
          <w:shd w:val="clear" w:color="auto" w:fill="FFFF99"/>
          <w:rtl/>
        </w:rPr>
        <w:t>1.</w:t>
      </w:r>
      <w:r w:rsidRPr="002D63DB">
        <w:rPr>
          <w:rFonts w:cs="FrankRuehl" w:hint="cs"/>
          <w:strike/>
          <w:vanish/>
          <w:sz w:val="22"/>
          <w:szCs w:val="22"/>
          <w:shd w:val="clear" w:color="auto" w:fill="FFFF99"/>
          <w:rtl/>
        </w:rPr>
        <w:tab/>
        <w:t xml:space="preserve">בתקנות אלה תהא לכל מונח המשמעות שיש לו בתקנות לתיקון סדרי הדין בדיון אזרחי, תשי"ב-1952, ובתקנות הפרוצדורה בבתי משפט שלום, 1940 (להלן </w:t>
      </w:r>
      <w:r w:rsidRPr="002D63DB">
        <w:rPr>
          <w:rFonts w:cs="FrankRuehl"/>
          <w:strike/>
          <w:vanish/>
          <w:sz w:val="22"/>
          <w:szCs w:val="22"/>
          <w:shd w:val="clear" w:color="auto" w:fill="FFFF99"/>
          <w:rtl/>
        </w:rPr>
        <w:t>–</w:t>
      </w:r>
      <w:r w:rsidRPr="002D63DB">
        <w:rPr>
          <w:rFonts w:cs="FrankRuehl" w:hint="cs"/>
          <w:strike/>
          <w:vanish/>
          <w:sz w:val="22"/>
          <w:szCs w:val="22"/>
          <w:shd w:val="clear" w:color="auto" w:fill="FFFF99"/>
          <w:rtl/>
        </w:rPr>
        <w:t xml:space="preserve"> התקנות הכלליות), והוראות התקנות הכלליות יחולו, בשינויים המחוייבים לפי הענין, על סדרי הדין בבית הדין לשכירות, והוא כשאין כוונה אחרת משתמעת מתקנות אלה.</w:t>
      </w:r>
      <w:bookmarkEnd w:id="1"/>
    </w:p>
    <w:p w14:paraId="78B0155F" w14:textId="77777777" w:rsidR="00AC07F5" w:rsidRDefault="00AC07F5">
      <w:pPr>
        <w:pStyle w:val="P00"/>
        <w:spacing w:before="72"/>
        <w:ind w:left="0" w:right="1134"/>
        <w:rPr>
          <w:rStyle w:val="default"/>
          <w:rFonts w:cs="FrankRuehl"/>
          <w:rtl/>
        </w:rPr>
      </w:pPr>
      <w:bookmarkStart w:id="2" w:name="Seif1"/>
      <w:bookmarkEnd w:id="2"/>
      <w:r>
        <w:rPr>
          <w:lang w:val="he-IL"/>
        </w:rPr>
        <w:pict w14:anchorId="6C216CFC">
          <v:rect id="_x0000_s1027" style="position:absolute;left:0;text-align:left;margin-left:464.5pt;margin-top:8.05pt;width:75.05pt;height:16pt;z-index:251645952" o:allowincell="f" filled="f" stroked="f" strokecolor="lime" strokeweight=".25pt">
            <v:textbox inset="0,0,0,0">
              <w:txbxContent>
                <w:p w14:paraId="3C6E68F7" w14:textId="77777777" w:rsidR="00AC07F5" w:rsidRDefault="00AC07F5" w:rsidP="001B2917">
                  <w:pPr>
                    <w:spacing w:line="160" w:lineRule="exact"/>
                    <w:jc w:val="left"/>
                    <w:rPr>
                      <w:rFonts w:cs="Miriam"/>
                      <w:noProof/>
                      <w:sz w:val="18"/>
                      <w:szCs w:val="18"/>
                      <w:rtl/>
                    </w:rPr>
                  </w:pPr>
                  <w:r>
                    <w:rPr>
                      <w:rFonts w:cs="Miriam"/>
                      <w:sz w:val="18"/>
                      <w:szCs w:val="18"/>
                      <w:rtl/>
                    </w:rPr>
                    <w:t>פג</w:t>
                  </w:r>
                  <w:r>
                    <w:rPr>
                      <w:rFonts w:cs="Miriam" w:hint="cs"/>
                      <w:sz w:val="18"/>
                      <w:szCs w:val="18"/>
                      <w:rtl/>
                    </w:rPr>
                    <w:t>ם בסדרי</w:t>
                  </w:r>
                  <w:r w:rsidR="001B2917">
                    <w:rPr>
                      <w:rFonts w:cs="Miriam" w:hint="cs"/>
                      <w:sz w:val="18"/>
                      <w:szCs w:val="18"/>
                      <w:rtl/>
                    </w:rPr>
                    <w:t xml:space="preserve"> </w:t>
                  </w:r>
                  <w:r>
                    <w:rPr>
                      <w:rFonts w:cs="Miriam"/>
                      <w:sz w:val="18"/>
                      <w:szCs w:val="18"/>
                      <w:rtl/>
                    </w:rPr>
                    <w:t>הד</w:t>
                  </w:r>
                  <w:r>
                    <w:rPr>
                      <w:rFonts w:cs="Miriam" w:hint="cs"/>
                      <w:sz w:val="18"/>
                      <w:szCs w:val="18"/>
                      <w:rtl/>
                    </w:rPr>
                    <w:t>ין</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יפסול בית הדין כל הליך על יסוד פגם בסדרי הדין כפי שנקבעו בתקנות הכלליות או על פיהן, אלא אם ראה שעליו לעשות כן </w:t>
      </w:r>
      <w:r>
        <w:rPr>
          <w:rStyle w:val="default"/>
          <w:rFonts w:cs="FrankRuehl"/>
          <w:rtl/>
        </w:rPr>
        <w:t>כד</w:t>
      </w:r>
      <w:r>
        <w:rPr>
          <w:rStyle w:val="default"/>
          <w:rFonts w:cs="FrankRuehl" w:hint="cs"/>
          <w:rtl/>
        </w:rPr>
        <w:t xml:space="preserve">י למנוע עיוות דין ושאין סעד לטעון טענת הפגם בדרך של דחיית הדיון, או של חיוב בעל הדין השני בהוצאות, או בשתי הדרכים כאחד. </w:t>
      </w:r>
    </w:p>
    <w:p w14:paraId="1630CBCF" w14:textId="77777777" w:rsidR="00AC07F5" w:rsidRDefault="00AC07F5">
      <w:pPr>
        <w:pStyle w:val="P00"/>
        <w:spacing w:before="72"/>
        <w:ind w:left="0" w:right="1134"/>
        <w:rPr>
          <w:rStyle w:val="default"/>
          <w:rFonts w:cs="FrankRuehl"/>
          <w:rtl/>
        </w:rPr>
      </w:pPr>
      <w:bookmarkStart w:id="3" w:name="Seif2"/>
      <w:bookmarkEnd w:id="3"/>
      <w:r>
        <w:rPr>
          <w:lang w:val="he-IL"/>
        </w:rPr>
        <w:pict w14:anchorId="595F0059">
          <v:rect id="_x0000_s1028" style="position:absolute;left:0;text-align:left;margin-left:464.5pt;margin-top:8.05pt;width:75.05pt;height:22.4pt;z-index:251646976" o:allowincell="f" filled="f" stroked="f" strokecolor="lime" strokeweight=".25pt">
            <v:textbox inset="0,0,0,0">
              <w:txbxContent>
                <w:p w14:paraId="6F1B8264" w14:textId="77777777" w:rsidR="00AC07F5" w:rsidRDefault="00AC07F5" w:rsidP="001B2917">
                  <w:pPr>
                    <w:spacing w:line="160" w:lineRule="exact"/>
                    <w:jc w:val="left"/>
                    <w:rPr>
                      <w:rFonts w:cs="Miriam"/>
                      <w:noProof/>
                      <w:sz w:val="18"/>
                      <w:szCs w:val="18"/>
                      <w:rtl/>
                    </w:rPr>
                  </w:pPr>
                  <w:r>
                    <w:rPr>
                      <w:rFonts w:cs="Miriam"/>
                      <w:sz w:val="18"/>
                      <w:szCs w:val="18"/>
                      <w:rtl/>
                    </w:rPr>
                    <w:t>שי</w:t>
                  </w:r>
                  <w:r>
                    <w:rPr>
                      <w:rFonts w:cs="Miriam" w:hint="cs"/>
                      <w:sz w:val="18"/>
                      <w:szCs w:val="18"/>
                      <w:rtl/>
                    </w:rPr>
                    <w:t>פוט מבחינת</w:t>
                  </w:r>
                  <w:r w:rsidR="001B2917">
                    <w:rPr>
                      <w:rFonts w:cs="Miriam" w:hint="cs"/>
                      <w:sz w:val="18"/>
                      <w:szCs w:val="18"/>
                      <w:rtl/>
                    </w:rPr>
                    <w:t xml:space="preserve"> </w:t>
                  </w:r>
                  <w:r>
                    <w:rPr>
                      <w:rFonts w:cs="Miriam"/>
                      <w:sz w:val="18"/>
                      <w:szCs w:val="18"/>
                      <w:rtl/>
                    </w:rPr>
                    <w:t>המ</w:t>
                  </w:r>
                  <w:r>
                    <w:rPr>
                      <w:rFonts w:cs="Miriam" w:hint="cs"/>
                      <w:sz w:val="18"/>
                      <w:szCs w:val="18"/>
                      <w:rtl/>
                    </w:rPr>
                    <w:t>קום</w:t>
                  </w:r>
                </w:p>
              </w:txbxContent>
            </v:textbox>
            <w10:anchorlock/>
          </v:rect>
        </w:pict>
      </w:r>
      <w:r>
        <w:rPr>
          <w:rStyle w:val="big-number"/>
          <w:rFonts w:cs="Miriam"/>
          <w:rtl/>
        </w:rPr>
        <w:t>3.</w:t>
      </w:r>
      <w:r>
        <w:rPr>
          <w:rStyle w:val="big-number"/>
          <w:rFonts w:cs="Miriam"/>
          <w:rtl/>
        </w:rPr>
        <w:tab/>
      </w:r>
      <w:r>
        <w:rPr>
          <w:rStyle w:val="default"/>
          <w:rFonts w:cs="FrankRuehl"/>
          <w:rtl/>
        </w:rPr>
        <w:t>תו</w:t>
      </w:r>
      <w:r>
        <w:rPr>
          <w:rStyle w:val="default"/>
          <w:rFonts w:cs="FrankRuehl" w:hint="cs"/>
          <w:rtl/>
        </w:rPr>
        <w:t>בענות והליכים אחרים שהם בתחום סמכותו של בית הדין יתבררו בפני בית הדין שבאזור שיפוטו נמצאים הדירה או בית העסק הנוגעים בדבר.</w:t>
      </w:r>
    </w:p>
    <w:p w14:paraId="6907860F" w14:textId="77777777" w:rsidR="00AC07F5" w:rsidRDefault="00AC07F5">
      <w:pPr>
        <w:pStyle w:val="P00"/>
        <w:spacing w:before="72"/>
        <w:ind w:left="0" w:right="1134"/>
        <w:rPr>
          <w:rStyle w:val="default"/>
          <w:rFonts w:cs="FrankRuehl"/>
          <w:rtl/>
        </w:rPr>
      </w:pPr>
      <w:bookmarkStart w:id="4" w:name="Seif3"/>
      <w:bookmarkEnd w:id="4"/>
      <w:r>
        <w:rPr>
          <w:lang w:val="he-IL"/>
        </w:rPr>
        <w:pict w14:anchorId="2C9D3977">
          <v:rect id="_x0000_s1029" style="position:absolute;left:0;text-align:left;margin-left:464.5pt;margin-top:8.05pt;width:75.05pt;height:24pt;z-index:251648000" o:allowincell="f" filled="f" stroked="f" strokecolor="lime" strokeweight=".25pt">
            <v:textbox inset="0,0,0,0">
              <w:txbxContent>
                <w:p w14:paraId="21D178FD" w14:textId="77777777" w:rsidR="00AC07F5" w:rsidRDefault="00AC07F5" w:rsidP="001B2917">
                  <w:pPr>
                    <w:spacing w:line="160" w:lineRule="exact"/>
                    <w:jc w:val="left"/>
                    <w:rPr>
                      <w:rFonts w:cs="Miriam"/>
                      <w:noProof/>
                      <w:sz w:val="18"/>
                      <w:szCs w:val="18"/>
                      <w:rtl/>
                    </w:rPr>
                  </w:pPr>
                  <w:r>
                    <w:rPr>
                      <w:rFonts w:cs="Miriam"/>
                      <w:sz w:val="18"/>
                      <w:szCs w:val="18"/>
                      <w:rtl/>
                    </w:rPr>
                    <w:t>הע</w:t>
                  </w:r>
                  <w:r>
                    <w:rPr>
                      <w:rFonts w:cs="Miriam" w:hint="cs"/>
                      <w:sz w:val="18"/>
                      <w:szCs w:val="18"/>
                      <w:rtl/>
                    </w:rPr>
                    <w:t>ברה לבית</w:t>
                  </w:r>
                  <w:r w:rsidR="001B2917">
                    <w:rPr>
                      <w:rFonts w:cs="Miriam" w:hint="cs"/>
                      <w:sz w:val="18"/>
                      <w:szCs w:val="18"/>
                      <w:rtl/>
                    </w:rPr>
                    <w:t xml:space="preserve"> </w:t>
                  </w:r>
                  <w:r>
                    <w:rPr>
                      <w:rFonts w:cs="Miriam"/>
                      <w:sz w:val="18"/>
                      <w:szCs w:val="18"/>
                      <w:rtl/>
                    </w:rPr>
                    <w:t>די</w:t>
                  </w:r>
                  <w:r>
                    <w:rPr>
                      <w:rFonts w:cs="Miriam" w:hint="cs"/>
                      <w:sz w:val="18"/>
                      <w:szCs w:val="18"/>
                      <w:rtl/>
                    </w:rPr>
                    <w:t>ן אחר בעל</w:t>
                  </w:r>
                  <w:r w:rsidR="001B2917">
                    <w:rPr>
                      <w:rFonts w:cs="Miriam" w:hint="cs"/>
                      <w:noProof/>
                      <w:sz w:val="18"/>
                      <w:szCs w:val="18"/>
                      <w:rtl/>
                    </w:rPr>
                    <w:t xml:space="preserve"> </w:t>
                  </w:r>
                  <w:r>
                    <w:rPr>
                      <w:rFonts w:cs="Miriam"/>
                      <w:sz w:val="18"/>
                      <w:szCs w:val="18"/>
                      <w:rtl/>
                    </w:rPr>
                    <w:t>סמ</w:t>
                  </w:r>
                  <w:r>
                    <w:rPr>
                      <w:rFonts w:cs="Miriam" w:hint="cs"/>
                      <w:sz w:val="18"/>
                      <w:szCs w:val="18"/>
                      <w:rtl/>
                    </w:rPr>
                    <w:t xml:space="preserve">כות </w:t>
                  </w:r>
                  <w:r>
                    <w:rPr>
                      <w:rFonts w:cs="Miriam"/>
                      <w:sz w:val="18"/>
                      <w:szCs w:val="18"/>
                      <w:rtl/>
                    </w:rPr>
                    <w:t>ש</w:t>
                  </w:r>
                  <w:r>
                    <w:rPr>
                      <w:rFonts w:cs="Miriam" w:hint="cs"/>
                      <w:sz w:val="18"/>
                      <w:szCs w:val="18"/>
                      <w:rtl/>
                    </w:rPr>
                    <w:t>ווה</w:t>
                  </w:r>
                </w:p>
              </w:txbxContent>
            </v:textbox>
            <w10:anchorlock/>
          </v:rect>
        </w:pict>
      </w:r>
      <w:r>
        <w:rPr>
          <w:rStyle w:val="big-number"/>
          <w:rFonts w:cs="Miriam"/>
          <w:rtl/>
        </w:rPr>
        <w:t>4.</w:t>
      </w:r>
      <w:r>
        <w:rPr>
          <w:rStyle w:val="big-number"/>
          <w:rFonts w:cs="Miriam"/>
          <w:rtl/>
        </w:rPr>
        <w:tab/>
      </w:r>
      <w:r>
        <w:rPr>
          <w:rStyle w:val="default"/>
          <w:rFonts w:cs="FrankRuehl"/>
          <w:rtl/>
        </w:rPr>
        <w:t>בי</w:t>
      </w:r>
      <w:r>
        <w:rPr>
          <w:rStyle w:val="default"/>
          <w:rFonts w:cs="FrankRuehl" w:hint="cs"/>
          <w:rtl/>
        </w:rPr>
        <w:t xml:space="preserve">ת דין שבאו לפניו תובענה או הליך אחר ונראה לו אחד הטעמים המנויים להלן, רשאי הוא, על פי בקשת הנתבע או המשיב או על דעת עצמו, הן לפני שהתחיל בדיון והן לאחר מכן, להחליט על העברת הדיון לבית דין אחר, שאף לו יש מבחינת המקום שיפוט בענין הנדון, והחלטתו </w:t>
      </w:r>
      <w:r>
        <w:rPr>
          <w:rStyle w:val="default"/>
          <w:rFonts w:cs="FrankRuehl"/>
          <w:rtl/>
        </w:rPr>
        <w:t>ת</w:t>
      </w:r>
      <w:r>
        <w:rPr>
          <w:rStyle w:val="default"/>
          <w:rFonts w:cs="FrankRuehl" w:hint="cs"/>
          <w:rtl/>
        </w:rPr>
        <w:t>חייב את 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הדין האחר; ואלה הטעמים:</w:t>
      </w:r>
    </w:p>
    <w:p w14:paraId="60AEE0B0" w14:textId="77777777" w:rsidR="00AC07F5" w:rsidRDefault="00AC07F5" w:rsidP="002D63D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ושבו של בית הדין האחר נמצא קרוב יותר לדירה או לבית העסק מאשר מושבו של בית הדין המעביר;</w:t>
      </w:r>
    </w:p>
    <w:p w14:paraId="2FEEA7B7" w14:textId="77777777" w:rsidR="00AC07F5" w:rsidRDefault="00AC07F5" w:rsidP="002D63D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דירה או בית העסק נמצאים בתחום הרשות המקומית שבו נמצא גם מושבו של בית הדין האחר. </w:t>
      </w:r>
    </w:p>
    <w:p w14:paraId="71A4E0E8" w14:textId="77777777" w:rsidR="00AC07F5" w:rsidRDefault="00AC07F5">
      <w:pPr>
        <w:pStyle w:val="P00"/>
        <w:spacing w:before="72"/>
        <w:ind w:left="0" w:right="1134"/>
        <w:rPr>
          <w:rStyle w:val="default"/>
          <w:rFonts w:cs="FrankRuehl"/>
          <w:rtl/>
        </w:rPr>
      </w:pPr>
      <w:bookmarkStart w:id="5" w:name="Seif4"/>
      <w:bookmarkEnd w:id="5"/>
      <w:r>
        <w:rPr>
          <w:lang w:val="he-IL"/>
        </w:rPr>
        <w:pict w14:anchorId="26B2499F">
          <v:rect id="_x0000_s1030" style="position:absolute;left:0;text-align:left;margin-left:464.5pt;margin-top:8.05pt;width:75.05pt;height:24pt;z-index:251649024" o:allowincell="f" filled="f" stroked="f" strokecolor="lime" strokeweight=".25pt">
            <v:textbox inset="0,0,0,0">
              <w:txbxContent>
                <w:p w14:paraId="3C5477B2" w14:textId="77777777" w:rsidR="00AC07F5" w:rsidRDefault="00AC07F5" w:rsidP="001B2917">
                  <w:pPr>
                    <w:spacing w:line="160" w:lineRule="exact"/>
                    <w:jc w:val="left"/>
                    <w:rPr>
                      <w:rFonts w:cs="Miriam"/>
                      <w:noProof/>
                      <w:sz w:val="18"/>
                      <w:szCs w:val="18"/>
                      <w:rtl/>
                    </w:rPr>
                  </w:pPr>
                  <w:r>
                    <w:rPr>
                      <w:rFonts w:cs="Miriam"/>
                      <w:sz w:val="18"/>
                      <w:szCs w:val="18"/>
                      <w:rtl/>
                    </w:rPr>
                    <w:t>הע</w:t>
                  </w:r>
                  <w:r>
                    <w:rPr>
                      <w:rFonts w:cs="Miriam" w:hint="cs"/>
                      <w:sz w:val="18"/>
                      <w:szCs w:val="18"/>
                      <w:rtl/>
                    </w:rPr>
                    <w:t>ברה לבית</w:t>
                  </w:r>
                  <w:r w:rsidR="001B2917">
                    <w:rPr>
                      <w:rFonts w:cs="Miriam" w:hint="cs"/>
                      <w:sz w:val="18"/>
                      <w:szCs w:val="18"/>
                      <w:rtl/>
                    </w:rPr>
                    <w:t xml:space="preserve"> </w:t>
                  </w:r>
                  <w:r>
                    <w:rPr>
                      <w:rFonts w:cs="Miriam"/>
                      <w:sz w:val="18"/>
                      <w:szCs w:val="18"/>
                      <w:rtl/>
                    </w:rPr>
                    <w:t>די</w:t>
                  </w:r>
                  <w:r>
                    <w:rPr>
                      <w:rFonts w:cs="Miriam" w:hint="cs"/>
                      <w:sz w:val="18"/>
                      <w:szCs w:val="18"/>
                      <w:rtl/>
                    </w:rPr>
                    <w:t>ן שיש לו</w:t>
                  </w:r>
                  <w:r w:rsidR="001B2917">
                    <w:rPr>
                      <w:rFonts w:cs="Miriam" w:hint="cs"/>
                      <w:noProof/>
                      <w:sz w:val="18"/>
                      <w:szCs w:val="18"/>
                      <w:rtl/>
                    </w:rPr>
                    <w:t xml:space="preserve"> </w:t>
                  </w:r>
                  <w:r>
                    <w:rPr>
                      <w:rFonts w:cs="Miriam"/>
                      <w:sz w:val="18"/>
                      <w:szCs w:val="18"/>
                      <w:rtl/>
                    </w:rPr>
                    <w:t>סמ</w:t>
                  </w:r>
                  <w:r>
                    <w:rPr>
                      <w:rFonts w:cs="Miriam" w:hint="cs"/>
                      <w:sz w:val="18"/>
                      <w:szCs w:val="18"/>
                      <w:rtl/>
                    </w:rPr>
                    <w:t>כות בענין</w:t>
                  </w:r>
                </w:p>
              </w:txbxContent>
            </v:textbox>
            <w10:anchorlock/>
          </v:rect>
        </w:pict>
      </w:r>
      <w:r>
        <w:rPr>
          <w:rStyle w:val="big-number"/>
          <w:rFonts w:cs="Miriam"/>
          <w:rtl/>
        </w:rPr>
        <w:t>5.</w:t>
      </w:r>
      <w:r>
        <w:rPr>
          <w:rStyle w:val="big-number"/>
          <w:rFonts w:cs="Miriam"/>
          <w:rtl/>
        </w:rPr>
        <w:tab/>
      </w:r>
      <w:r>
        <w:rPr>
          <w:rStyle w:val="default"/>
          <w:rFonts w:cs="FrankRuehl"/>
          <w:rtl/>
        </w:rPr>
        <w:t>הו</w:t>
      </w:r>
      <w:r>
        <w:rPr>
          <w:rStyle w:val="default"/>
          <w:rFonts w:cs="FrankRuehl" w:hint="cs"/>
          <w:rtl/>
        </w:rPr>
        <w:t xml:space="preserve">גשו תובענה או הליך אחר לבית דין </w:t>
      </w:r>
      <w:r>
        <w:rPr>
          <w:rStyle w:val="default"/>
          <w:rFonts w:cs="FrankRuehl"/>
          <w:rtl/>
        </w:rPr>
        <w:t>שא</w:t>
      </w:r>
      <w:r>
        <w:rPr>
          <w:rStyle w:val="default"/>
          <w:rFonts w:cs="FrankRuehl" w:hint="cs"/>
          <w:rtl/>
        </w:rPr>
        <w:t>ין לו סמכות לדון בהם על פי תקנה 3, יעביר בית הדין את הדיון בהם לבית דין בעל סמכות כאמור והחלטתו של בית הדין המעביר, כל עוד לא בוטלה בערעור, תחייב את בית הדין שאליו הועבר הדיון; אולם אם הגיש בעל בית מספר תובע</w:t>
      </w:r>
      <w:r>
        <w:rPr>
          <w:rStyle w:val="default"/>
          <w:rFonts w:cs="FrankRuehl"/>
          <w:rtl/>
        </w:rPr>
        <w:t>נ</w:t>
      </w:r>
      <w:r>
        <w:rPr>
          <w:rStyle w:val="default"/>
          <w:rFonts w:cs="FrankRuehl" w:hint="cs"/>
          <w:rtl/>
        </w:rPr>
        <w:t>ות בדבר דירות או בתי עסק שחלק מהם אינו נמצא ב</w:t>
      </w:r>
      <w:r>
        <w:rPr>
          <w:rStyle w:val="default"/>
          <w:rFonts w:cs="FrankRuehl"/>
          <w:rtl/>
        </w:rPr>
        <w:t>א</w:t>
      </w:r>
      <w:r>
        <w:rPr>
          <w:rStyle w:val="default"/>
          <w:rFonts w:cs="FrankRuehl" w:hint="cs"/>
          <w:rtl/>
        </w:rPr>
        <w:t>ז</w:t>
      </w:r>
      <w:r>
        <w:rPr>
          <w:rStyle w:val="default"/>
          <w:rFonts w:cs="FrankRuehl"/>
          <w:rtl/>
        </w:rPr>
        <w:t>ו</w:t>
      </w:r>
      <w:r>
        <w:rPr>
          <w:rStyle w:val="default"/>
          <w:rFonts w:cs="FrankRuehl" w:hint="cs"/>
          <w:rtl/>
        </w:rPr>
        <w:t xml:space="preserve">ר שיפוטו של בית הדין, והדירות או בתי העסק שווים זה לזה מבחינת טיבם, זמן בנייתם והשכרתם, רשאי בית הדין לאחד את הדיון בתובענות אלה ולדון בכולן במקום להעביר את הדיון בתובענות שאין לו שיפוט בהן מבחינת המקום. </w:t>
      </w:r>
    </w:p>
    <w:p w14:paraId="5D5524C8" w14:textId="77777777" w:rsidR="00AC07F5" w:rsidRDefault="00AC07F5">
      <w:pPr>
        <w:pStyle w:val="P00"/>
        <w:spacing w:before="72"/>
        <w:ind w:left="0" w:right="1134"/>
        <w:rPr>
          <w:rStyle w:val="default"/>
          <w:rFonts w:cs="FrankRuehl"/>
          <w:rtl/>
        </w:rPr>
      </w:pPr>
      <w:bookmarkStart w:id="6" w:name="Seif5"/>
      <w:bookmarkEnd w:id="6"/>
      <w:r>
        <w:rPr>
          <w:lang w:val="he-IL"/>
        </w:rPr>
        <w:pict w14:anchorId="20BF25DD">
          <v:rect id="_x0000_s1031" style="position:absolute;left:0;text-align:left;margin-left:464.5pt;margin-top:8.05pt;width:75.05pt;height:25.45pt;z-index:251650048" o:allowincell="f" filled="f" stroked="f" strokecolor="lime" strokeweight=".25pt">
            <v:textbox inset="0,0,0,0">
              <w:txbxContent>
                <w:p w14:paraId="591388F7" w14:textId="77777777" w:rsidR="00AC07F5" w:rsidRDefault="00AC07F5" w:rsidP="001B2917">
                  <w:pPr>
                    <w:spacing w:line="160" w:lineRule="exact"/>
                    <w:jc w:val="left"/>
                    <w:rPr>
                      <w:rFonts w:cs="Miriam"/>
                      <w:noProof/>
                      <w:sz w:val="18"/>
                      <w:szCs w:val="18"/>
                      <w:rtl/>
                    </w:rPr>
                  </w:pPr>
                  <w:r>
                    <w:rPr>
                      <w:rFonts w:cs="Miriam"/>
                      <w:sz w:val="18"/>
                      <w:szCs w:val="18"/>
                      <w:rtl/>
                    </w:rPr>
                    <w:t>ציו</w:t>
                  </w:r>
                  <w:r>
                    <w:rPr>
                      <w:rFonts w:cs="Miriam" w:hint="cs"/>
                      <w:sz w:val="18"/>
                      <w:szCs w:val="18"/>
                      <w:rtl/>
                    </w:rPr>
                    <w:t>ן של שווי</w:t>
                  </w:r>
                  <w:r w:rsidR="001B2917">
                    <w:rPr>
                      <w:rFonts w:cs="Miriam" w:hint="cs"/>
                      <w:sz w:val="18"/>
                      <w:szCs w:val="18"/>
                      <w:rtl/>
                    </w:rPr>
                    <w:t xml:space="preserve"> </w:t>
                  </w:r>
                  <w:r>
                    <w:rPr>
                      <w:rFonts w:cs="Miriam"/>
                      <w:sz w:val="18"/>
                      <w:szCs w:val="18"/>
                      <w:rtl/>
                    </w:rPr>
                    <w:t>נו</w:t>
                  </w:r>
                  <w:r>
                    <w:rPr>
                      <w:rFonts w:cs="Miriam" w:hint="cs"/>
                      <w:sz w:val="18"/>
                      <w:szCs w:val="18"/>
                      <w:rtl/>
                    </w:rPr>
                    <w:t>שא התביעה</w:t>
                  </w:r>
                </w:p>
              </w:txbxContent>
            </v:textbox>
            <w10:anchorlock/>
          </v:rect>
        </w:pict>
      </w:r>
      <w:r>
        <w:rPr>
          <w:rStyle w:val="big-number"/>
          <w:rFonts w:cs="Miriam"/>
          <w:rtl/>
        </w:rPr>
        <w:t>6.</w:t>
      </w:r>
      <w:r>
        <w:rPr>
          <w:rStyle w:val="big-number"/>
          <w:rFonts w:cs="Miriam"/>
          <w:rtl/>
        </w:rPr>
        <w:tab/>
      </w:r>
      <w:r>
        <w:rPr>
          <w:rStyle w:val="default"/>
          <w:rFonts w:cs="FrankRuehl"/>
          <w:rtl/>
        </w:rPr>
        <w:t>מק</w:t>
      </w:r>
      <w:r>
        <w:rPr>
          <w:rStyle w:val="default"/>
          <w:rFonts w:cs="FrankRuehl" w:hint="cs"/>
          <w:rtl/>
        </w:rPr>
        <w:t>ום ששיעור האגרה המשתלמת בעד תובענה תלוי בשו</w:t>
      </w:r>
      <w:r>
        <w:rPr>
          <w:rStyle w:val="default"/>
          <w:rFonts w:cs="FrankRuehl"/>
          <w:rtl/>
        </w:rPr>
        <w:t>וי</w:t>
      </w:r>
      <w:r>
        <w:rPr>
          <w:rStyle w:val="default"/>
          <w:rFonts w:cs="FrankRuehl" w:hint="cs"/>
          <w:rtl/>
        </w:rPr>
        <w:t xml:space="preserve"> נושא התביעה ולא ציין התובע בכתב התביעה את שוויו של הנושא, רשאי משרד הרישום של בית הדין לסרב לקבלת התובענה ולהזמנת יתר בעלי הדין; אך אם נתקבלה התובענה על אף השמטת השווי לא תשמש ההש</w:t>
      </w:r>
      <w:r>
        <w:rPr>
          <w:rStyle w:val="default"/>
          <w:rFonts w:cs="FrankRuehl"/>
          <w:rtl/>
        </w:rPr>
        <w:t>מ</w:t>
      </w:r>
      <w:r>
        <w:rPr>
          <w:rStyle w:val="default"/>
          <w:rFonts w:cs="FrankRuehl" w:hint="cs"/>
          <w:rtl/>
        </w:rPr>
        <w:t xml:space="preserve">טה טענה בפי בעל דין אחר לעיכוב הדיון. </w:t>
      </w:r>
    </w:p>
    <w:p w14:paraId="2670FA47" w14:textId="77777777" w:rsidR="00AC07F5" w:rsidRDefault="00AC07F5">
      <w:pPr>
        <w:pStyle w:val="P00"/>
        <w:spacing w:before="72"/>
        <w:ind w:left="0" w:right="1134"/>
        <w:rPr>
          <w:rStyle w:val="default"/>
          <w:rFonts w:cs="FrankRuehl" w:hint="cs"/>
          <w:rtl/>
        </w:rPr>
      </w:pPr>
      <w:bookmarkStart w:id="7" w:name="Seif6"/>
      <w:bookmarkEnd w:id="7"/>
      <w:r>
        <w:rPr>
          <w:lang w:val="he-IL"/>
        </w:rPr>
        <w:pict w14:anchorId="601C659A">
          <v:rect id="_x0000_s1032" style="position:absolute;left:0;text-align:left;margin-left:464.5pt;margin-top:8.05pt;width:75.05pt;height:26pt;z-index:251651072" o:allowincell="f" filled="f" stroked="f" strokecolor="lime" strokeweight=".25pt">
            <v:textbox inset="0,0,0,0">
              <w:txbxContent>
                <w:p w14:paraId="39ABA29B" w14:textId="77777777" w:rsidR="00AC07F5" w:rsidRDefault="00AC07F5" w:rsidP="001B2917">
                  <w:pPr>
                    <w:spacing w:line="160" w:lineRule="exact"/>
                    <w:jc w:val="left"/>
                    <w:rPr>
                      <w:rFonts w:cs="Miriam"/>
                      <w:noProof/>
                      <w:sz w:val="18"/>
                      <w:szCs w:val="18"/>
                      <w:rtl/>
                    </w:rPr>
                  </w:pPr>
                  <w:r>
                    <w:rPr>
                      <w:rFonts w:cs="Miriam"/>
                      <w:sz w:val="18"/>
                      <w:szCs w:val="18"/>
                      <w:rtl/>
                    </w:rPr>
                    <w:t>אי</w:t>
                  </w:r>
                  <w:r>
                    <w:rPr>
                      <w:rFonts w:cs="Miriam" w:hint="cs"/>
                      <w:sz w:val="18"/>
                      <w:szCs w:val="18"/>
                      <w:rtl/>
                    </w:rPr>
                    <w:t>ן צורך</w:t>
                  </w:r>
                  <w:r w:rsidR="001B2917">
                    <w:rPr>
                      <w:rFonts w:cs="Miriam" w:hint="cs"/>
                      <w:sz w:val="18"/>
                      <w:szCs w:val="18"/>
                      <w:rtl/>
                    </w:rPr>
                    <w:t xml:space="preserve"> </w:t>
                  </w:r>
                  <w:r>
                    <w:rPr>
                      <w:rFonts w:cs="Miriam"/>
                      <w:sz w:val="18"/>
                      <w:szCs w:val="18"/>
                      <w:rtl/>
                    </w:rPr>
                    <w:t>בה</w:t>
                  </w:r>
                  <w:r>
                    <w:rPr>
                      <w:rFonts w:cs="Miriam" w:hint="cs"/>
                      <w:sz w:val="18"/>
                      <w:szCs w:val="18"/>
                      <w:rtl/>
                    </w:rPr>
                    <w:t>גנה שבכתב</w:t>
                  </w:r>
                </w:p>
                <w:p w14:paraId="0889DA85" w14:textId="77777777" w:rsidR="00AC07F5" w:rsidRDefault="00AC07F5" w:rsidP="001B291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"ל</w:t>
                  </w:r>
                  <w:r w:rsidR="001B2917">
                    <w:rPr>
                      <w:rFonts w:cs="Miriam" w:hint="cs"/>
                      <w:sz w:val="18"/>
                      <w:szCs w:val="18"/>
                      <w:rtl/>
                    </w:rPr>
                    <w:t>-</w:t>
                  </w:r>
                  <w:r>
                    <w:rPr>
                      <w:rFonts w:cs="Miriam"/>
                      <w:sz w:val="18"/>
                      <w:szCs w:val="18"/>
                      <w:rtl/>
                    </w:rPr>
                    <w:t>1970</w:t>
                  </w:r>
                </w:p>
              </w:txbxContent>
            </v:textbox>
            <w10:anchorlock/>
          </v:rect>
        </w:pict>
      </w:r>
      <w:r>
        <w:rPr>
          <w:rStyle w:val="big-number"/>
          <w:rFonts w:cs="Miriam"/>
          <w:rtl/>
        </w:rPr>
        <w:t>7.</w:t>
      </w:r>
      <w:r>
        <w:rPr>
          <w:rStyle w:val="big-number"/>
          <w:rFonts w:cs="Miriam"/>
          <w:rtl/>
        </w:rPr>
        <w:tab/>
      </w:r>
      <w:r>
        <w:rPr>
          <w:rStyle w:val="default"/>
          <w:rFonts w:cs="FrankRuehl"/>
          <w:rtl/>
        </w:rPr>
        <w:t>נת</w:t>
      </w:r>
      <w:r>
        <w:rPr>
          <w:rStyle w:val="default"/>
          <w:rFonts w:cs="FrankRuehl" w:hint="cs"/>
          <w:rtl/>
        </w:rPr>
        <w:t xml:space="preserve">בע אינו חייב להגיש את הגנתו </w:t>
      </w:r>
      <w:r>
        <w:rPr>
          <w:rStyle w:val="default"/>
          <w:rFonts w:cs="FrankRuehl"/>
          <w:rtl/>
        </w:rPr>
        <w:t>בכ</w:t>
      </w:r>
      <w:r>
        <w:rPr>
          <w:rStyle w:val="default"/>
          <w:rFonts w:cs="FrankRuehl" w:hint="cs"/>
          <w:rtl/>
        </w:rPr>
        <w:t xml:space="preserve">תב, והוראות התקנות הכלליות בדבר תביעות שאין בהן חובה להגיש הגנה בכתב יחולו על כל תובענה בבית הדין, יהיה שוויה אשר יהיה. </w:t>
      </w:r>
    </w:p>
    <w:p w14:paraId="573E45AA" w14:textId="77777777" w:rsidR="00686876" w:rsidRPr="002D63DB" w:rsidRDefault="00686876" w:rsidP="00686876">
      <w:pPr>
        <w:pStyle w:val="P00"/>
        <w:tabs>
          <w:tab w:val="clear" w:pos="6259"/>
        </w:tabs>
        <w:spacing w:before="0"/>
        <w:ind w:left="0" w:right="1134"/>
        <w:rPr>
          <w:rFonts w:cs="FrankRuehl" w:hint="cs"/>
          <w:vanish/>
          <w:szCs w:val="20"/>
          <w:shd w:val="clear" w:color="auto" w:fill="FFFF99"/>
          <w:rtl/>
        </w:rPr>
      </w:pPr>
      <w:bookmarkStart w:id="8" w:name="Rov29"/>
      <w:r w:rsidRPr="002D63DB">
        <w:rPr>
          <w:rFonts w:cs="FrankRuehl" w:hint="cs"/>
          <w:vanish/>
          <w:color w:val="FF0000"/>
          <w:szCs w:val="20"/>
          <w:shd w:val="clear" w:color="auto" w:fill="FFFF99"/>
          <w:rtl/>
        </w:rPr>
        <w:t>מיום 5.2.1970</w:t>
      </w:r>
    </w:p>
    <w:p w14:paraId="0B037CBA" w14:textId="77777777" w:rsidR="00686876" w:rsidRPr="002D63DB" w:rsidRDefault="00686876" w:rsidP="00686876">
      <w:pPr>
        <w:pStyle w:val="P00"/>
        <w:spacing w:before="0"/>
        <w:ind w:left="0" w:right="1134"/>
        <w:rPr>
          <w:rFonts w:cs="FrankRuehl" w:hint="cs"/>
          <w:b/>
          <w:bCs/>
          <w:vanish/>
          <w:szCs w:val="20"/>
          <w:shd w:val="clear" w:color="auto" w:fill="FFFF99"/>
          <w:rtl/>
        </w:rPr>
      </w:pPr>
      <w:r w:rsidRPr="002D63DB">
        <w:rPr>
          <w:rFonts w:cs="FrankRuehl" w:hint="cs"/>
          <w:b/>
          <w:bCs/>
          <w:vanish/>
          <w:szCs w:val="20"/>
          <w:shd w:val="clear" w:color="auto" w:fill="FFFF99"/>
          <w:rtl/>
        </w:rPr>
        <w:t>תק' תש"ל-1970</w:t>
      </w:r>
    </w:p>
    <w:p w14:paraId="1FD4A99D" w14:textId="77777777" w:rsidR="00686876" w:rsidRPr="002D63DB" w:rsidRDefault="00686876" w:rsidP="00686876">
      <w:pPr>
        <w:pStyle w:val="P00"/>
        <w:spacing w:before="0"/>
        <w:ind w:left="0" w:right="1134"/>
        <w:rPr>
          <w:rFonts w:cs="FrankRuehl" w:hint="cs"/>
          <w:vanish/>
          <w:szCs w:val="20"/>
          <w:shd w:val="clear" w:color="auto" w:fill="FFFF99"/>
          <w:rtl/>
        </w:rPr>
      </w:pPr>
      <w:hyperlink r:id="rId7" w:history="1">
        <w:r w:rsidRPr="002D63DB">
          <w:rPr>
            <w:rStyle w:val="Hyperlink"/>
            <w:rFonts w:cs="FrankRuehl" w:hint="cs"/>
            <w:vanish/>
            <w:szCs w:val="20"/>
            <w:shd w:val="clear" w:color="auto" w:fill="FFFF99"/>
            <w:rtl/>
          </w:rPr>
          <w:t>ק"ת תש"ל מס' 2518</w:t>
        </w:r>
      </w:hyperlink>
      <w:r w:rsidRPr="002D63DB">
        <w:rPr>
          <w:rFonts w:cs="FrankRuehl" w:hint="cs"/>
          <w:vanish/>
          <w:szCs w:val="20"/>
          <w:shd w:val="clear" w:color="auto" w:fill="FFFF99"/>
          <w:rtl/>
        </w:rPr>
        <w:t xml:space="preserve"> מיום 5.2.1970 עמ' 994</w:t>
      </w:r>
    </w:p>
    <w:p w14:paraId="3C7BAECC" w14:textId="77777777" w:rsidR="00686876" w:rsidRPr="002D63DB" w:rsidRDefault="00686876" w:rsidP="00686876">
      <w:pPr>
        <w:pStyle w:val="P00"/>
        <w:spacing w:before="0"/>
        <w:ind w:left="0" w:right="1134"/>
        <w:rPr>
          <w:rFonts w:cs="FrankRuehl" w:hint="cs"/>
          <w:b/>
          <w:bCs/>
          <w:vanish/>
          <w:szCs w:val="20"/>
          <w:shd w:val="clear" w:color="auto" w:fill="FFFF99"/>
          <w:rtl/>
        </w:rPr>
      </w:pPr>
      <w:r w:rsidRPr="002D63DB">
        <w:rPr>
          <w:rFonts w:cs="FrankRuehl" w:hint="cs"/>
          <w:b/>
          <w:bCs/>
          <w:vanish/>
          <w:szCs w:val="20"/>
          <w:shd w:val="clear" w:color="auto" w:fill="FFFF99"/>
          <w:rtl/>
        </w:rPr>
        <w:t>החלפת תקנה 7</w:t>
      </w:r>
    </w:p>
    <w:p w14:paraId="6FED9BE0" w14:textId="77777777" w:rsidR="00686876" w:rsidRPr="002D63DB" w:rsidRDefault="00686876" w:rsidP="00686876">
      <w:pPr>
        <w:pStyle w:val="P00"/>
        <w:ind w:left="0" w:right="1134"/>
        <w:rPr>
          <w:rFonts w:cs="FrankRuehl" w:hint="cs"/>
          <w:vanish/>
          <w:szCs w:val="20"/>
          <w:shd w:val="clear" w:color="auto" w:fill="FFFF99"/>
          <w:rtl/>
        </w:rPr>
      </w:pPr>
      <w:r w:rsidRPr="002D63DB">
        <w:rPr>
          <w:rFonts w:cs="FrankRuehl" w:hint="cs"/>
          <w:vanish/>
          <w:szCs w:val="20"/>
          <w:shd w:val="clear" w:color="auto" w:fill="FFFF99"/>
          <w:rtl/>
        </w:rPr>
        <w:t>הנוסח הקודם:</w:t>
      </w:r>
    </w:p>
    <w:p w14:paraId="0981E36E" w14:textId="77777777" w:rsidR="00686876" w:rsidRPr="00A53E2F" w:rsidRDefault="00686876" w:rsidP="00A53E2F">
      <w:pPr>
        <w:pStyle w:val="P00"/>
        <w:spacing w:before="0"/>
        <w:ind w:left="0" w:right="1134"/>
        <w:rPr>
          <w:rStyle w:val="default"/>
          <w:rFonts w:cs="FrankRuehl" w:hint="cs"/>
          <w:strike/>
          <w:sz w:val="2"/>
          <w:szCs w:val="2"/>
          <w:rtl/>
        </w:rPr>
      </w:pPr>
      <w:r w:rsidRPr="002D63DB">
        <w:rPr>
          <w:rFonts w:cs="FrankRuehl" w:hint="cs"/>
          <w:strike/>
          <w:vanish/>
          <w:sz w:val="22"/>
          <w:szCs w:val="22"/>
          <w:shd w:val="clear" w:color="auto" w:fill="FFFF99"/>
          <w:rtl/>
        </w:rPr>
        <w:t>7.</w:t>
      </w:r>
      <w:r w:rsidRPr="002D63DB">
        <w:rPr>
          <w:rFonts w:cs="FrankRuehl" w:hint="cs"/>
          <w:strike/>
          <w:vanish/>
          <w:sz w:val="22"/>
          <w:szCs w:val="22"/>
          <w:shd w:val="clear" w:color="auto" w:fill="FFFF99"/>
          <w:rtl/>
        </w:rPr>
        <w:tab/>
        <w:t>נתבע אינו חייב להגיש את הגנתו בכתב, והוראות תקנות הפרוצידורה בבתי משפט שלום, 1940, בדבר תביעות שאין בהם חובה להגיש הגנה בכתב, יחולו על כל תובענה בבית הדין, יהיה שוויה אשר יהיה.</w:t>
      </w:r>
      <w:bookmarkEnd w:id="8"/>
    </w:p>
    <w:p w14:paraId="56FE9A99" w14:textId="77777777" w:rsidR="00AC07F5" w:rsidRDefault="00AC07F5">
      <w:pPr>
        <w:pStyle w:val="P00"/>
        <w:spacing w:before="72"/>
        <w:ind w:left="0" w:right="1134"/>
        <w:rPr>
          <w:rStyle w:val="default"/>
          <w:rFonts w:cs="FrankRuehl"/>
          <w:rtl/>
        </w:rPr>
      </w:pPr>
      <w:bookmarkStart w:id="9" w:name="Seif7"/>
      <w:bookmarkEnd w:id="9"/>
      <w:r>
        <w:rPr>
          <w:lang w:val="he-IL"/>
        </w:rPr>
        <w:pict w14:anchorId="3C72A860">
          <v:rect id="_x0000_s1033" style="position:absolute;left:0;text-align:left;margin-left:464.5pt;margin-top:8.05pt;width:75.05pt;height:24.5pt;z-index:251652096" o:allowincell="f" filled="f" stroked="f" strokecolor="lime" strokeweight=".25pt">
            <v:textbox inset="0,0,0,0">
              <w:txbxContent>
                <w:p w14:paraId="6F3C375A" w14:textId="77777777" w:rsidR="00AC07F5" w:rsidRDefault="00AC07F5" w:rsidP="001B2917">
                  <w:pPr>
                    <w:spacing w:line="160" w:lineRule="exact"/>
                    <w:jc w:val="left"/>
                    <w:rPr>
                      <w:rFonts w:cs="Miriam"/>
                      <w:noProof/>
                      <w:sz w:val="18"/>
                      <w:szCs w:val="18"/>
                      <w:rtl/>
                    </w:rPr>
                  </w:pPr>
                  <w:r>
                    <w:rPr>
                      <w:rFonts w:cs="Miriam"/>
                      <w:sz w:val="18"/>
                      <w:szCs w:val="18"/>
                      <w:rtl/>
                    </w:rPr>
                    <w:t>הב</w:t>
                  </w:r>
                  <w:r>
                    <w:rPr>
                      <w:rFonts w:cs="Miriam" w:hint="cs"/>
                      <w:sz w:val="18"/>
                      <w:szCs w:val="18"/>
                      <w:rtl/>
                    </w:rPr>
                    <w:t>רירה למסור</w:t>
                  </w:r>
                  <w:r w:rsidR="001B2917">
                    <w:rPr>
                      <w:rFonts w:cs="Miriam" w:hint="cs"/>
                      <w:sz w:val="18"/>
                      <w:szCs w:val="18"/>
                      <w:rtl/>
                    </w:rPr>
                    <w:t xml:space="preserve"> </w:t>
                  </w:r>
                  <w:r>
                    <w:rPr>
                      <w:rFonts w:cs="Miriam"/>
                      <w:sz w:val="18"/>
                      <w:szCs w:val="18"/>
                      <w:rtl/>
                    </w:rPr>
                    <w:t>בד</w:t>
                  </w:r>
                  <w:r>
                    <w:rPr>
                      <w:rFonts w:cs="Miriam" w:hint="cs"/>
                      <w:sz w:val="18"/>
                      <w:szCs w:val="18"/>
                      <w:rtl/>
                    </w:rPr>
                    <w:t>ואר רשום</w:t>
                  </w:r>
                </w:p>
              </w:txbxContent>
            </v:textbox>
            <w10:anchorlock/>
          </v:rect>
        </w:pict>
      </w:r>
      <w:r>
        <w:rPr>
          <w:rStyle w:val="big-number"/>
          <w:rFonts w:cs="Miriam"/>
          <w:rtl/>
        </w:rPr>
        <w:t>8.</w:t>
      </w:r>
      <w:r>
        <w:rPr>
          <w:rStyle w:val="big-number"/>
          <w:rFonts w:cs="Miriam"/>
          <w:rtl/>
        </w:rPr>
        <w:tab/>
      </w:r>
      <w:r>
        <w:rPr>
          <w:rStyle w:val="default"/>
          <w:rFonts w:cs="FrankRuehl"/>
          <w:rtl/>
        </w:rPr>
        <w:t>הז</w:t>
      </w:r>
      <w:r>
        <w:rPr>
          <w:rStyle w:val="default"/>
          <w:rFonts w:cs="FrankRuehl" w:hint="cs"/>
          <w:rtl/>
        </w:rPr>
        <w:t>מנה או מסמך אחר שבית הדין רשאי או חייב למסור לבעל דין או לבא כוחו, רשאי הוא לשלוח לו בדואר רשום עם אישור המסירה ולראות באישור ה</w:t>
      </w:r>
      <w:r>
        <w:rPr>
          <w:rStyle w:val="default"/>
          <w:rFonts w:cs="FrankRuehl"/>
          <w:rtl/>
        </w:rPr>
        <w:t>מס</w:t>
      </w:r>
      <w:r>
        <w:rPr>
          <w:rStyle w:val="default"/>
          <w:rFonts w:cs="FrankRuehl" w:hint="cs"/>
          <w:rtl/>
        </w:rPr>
        <w:t xml:space="preserve">ירה כאמור ראיה למסירת ההזמנה או המסמך; הוראה זו לא תחול על הודעה בדבר פסק דין או צו שניתנו שלא בפני בעל הדין או על מסירת העתק מאושר של פסק דין או של צו כאמור לבעל דין. </w:t>
      </w:r>
    </w:p>
    <w:p w14:paraId="007DBCCC" w14:textId="77777777" w:rsidR="00AC07F5" w:rsidRDefault="00AC07F5">
      <w:pPr>
        <w:pStyle w:val="P00"/>
        <w:spacing w:before="72"/>
        <w:ind w:left="0" w:right="1134"/>
        <w:rPr>
          <w:rStyle w:val="default"/>
          <w:rFonts w:cs="FrankRuehl" w:hint="cs"/>
          <w:rtl/>
        </w:rPr>
      </w:pPr>
      <w:bookmarkStart w:id="10" w:name="Seif8"/>
      <w:bookmarkEnd w:id="10"/>
      <w:r>
        <w:rPr>
          <w:lang w:val="he-IL"/>
        </w:rPr>
        <w:pict w14:anchorId="15B24624">
          <v:rect id="_x0000_s1034" style="position:absolute;left:0;text-align:left;margin-left:464.5pt;margin-top:8.05pt;width:75.05pt;height:21.55pt;z-index:251653120" o:allowincell="f" filled="f" stroked="f" strokecolor="lime" strokeweight=".25pt">
            <v:textbox inset="0,0,0,0">
              <w:txbxContent>
                <w:p w14:paraId="36E49B32" w14:textId="77777777" w:rsidR="00AC07F5" w:rsidRDefault="00AC07F5">
                  <w:pPr>
                    <w:spacing w:line="160" w:lineRule="exact"/>
                    <w:jc w:val="left"/>
                    <w:rPr>
                      <w:rFonts w:cs="Miriam"/>
                      <w:noProof/>
                      <w:sz w:val="18"/>
                      <w:szCs w:val="18"/>
                      <w:rtl/>
                    </w:rPr>
                  </w:pPr>
                  <w:r>
                    <w:rPr>
                      <w:rFonts w:cs="Miriam"/>
                      <w:sz w:val="18"/>
                      <w:szCs w:val="18"/>
                      <w:rtl/>
                    </w:rPr>
                    <w:t>תב</w:t>
                  </w:r>
                  <w:r>
                    <w:rPr>
                      <w:rFonts w:cs="Miriam" w:hint="cs"/>
                      <w:sz w:val="18"/>
                      <w:szCs w:val="18"/>
                      <w:rtl/>
                    </w:rPr>
                    <w:t>יעה שכנגד</w:t>
                  </w:r>
                </w:p>
                <w:p w14:paraId="7B229C83" w14:textId="77777777" w:rsidR="00AC07F5" w:rsidRDefault="00AC07F5">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sidR="001B2917">
                    <w:rPr>
                      <w:rFonts w:cs="Miriam" w:hint="cs"/>
                      <w:sz w:val="18"/>
                      <w:szCs w:val="18"/>
                      <w:rtl/>
                    </w:rPr>
                    <w:t>-</w:t>
                  </w:r>
                  <w:r>
                    <w:rPr>
                      <w:rFonts w:cs="Miriam"/>
                      <w:sz w:val="18"/>
                      <w:szCs w:val="18"/>
                      <w:rtl/>
                    </w:rPr>
                    <w:t>1970</w:t>
                  </w:r>
                </w:p>
              </w:txbxContent>
            </v:textbox>
            <w10:anchorlock/>
          </v:rect>
        </w:pict>
      </w:r>
      <w:r>
        <w:rPr>
          <w:rStyle w:val="big-number"/>
          <w:rFonts w:cs="Miriam"/>
          <w:rtl/>
        </w:rPr>
        <w:t>9.</w:t>
      </w:r>
      <w:r>
        <w:rPr>
          <w:rStyle w:val="big-number"/>
          <w:rFonts w:cs="Miriam"/>
          <w:rtl/>
        </w:rPr>
        <w:tab/>
      </w:r>
      <w:r>
        <w:rPr>
          <w:rStyle w:val="default"/>
          <w:rFonts w:cs="FrankRuehl"/>
          <w:rtl/>
        </w:rPr>
        <w:t>נת</w:t>
      </w:r>
      <w:r>
        <w:rPr>
          <w:rStyle w:val="default"/>
          <w:rFonts w:cs="FrankRuehl" w:hint="cs"/>
          <w:rtl/>
        </w:rPr>
        <w:t>בע או משיב רשאי לתבוע, בדרך של תביעה שכנגד, או בקשה שכנגד, כל סעד בקשר לדירה או</w:t>
      </w:r>
      <w:r>
        <w:rPr>
          <w:rStyle w:val="default"/>
          <w:rFonts w:cs="FrankRuehl"/>
          <w:rtl/>
        </w:rPr>
        <w:t xml:space="preserve"> ל</w:t>
      </w:r>
      <w:r>
        <w:rPr>
          <w:rStyle w:val="default"/>
          <w:rFonts w:cs="FrankRuehl" w:hint="cs"/>
          <w:rtl/>
        </w:rPr>
        <w:t>בית העסק שהם נושא התביעה או הבקשה המקוריות, אולם בית הדין רשאי להורות על דיון נפרד בתביעה</w:t>
      </w:r>
      <w:r>
        <w:rPr>
          <w:rStyle w:val="default"/>
          <w:rFonts w:cs="FrankRuehl"/>
          <w:rtl/>
        </w:rPr>
        <w:t xml:space="preserve"> </w:t>
      </w:r>
      <w:r>
        <w:rPr>
          <w:rStyle w:val="default"/>
          <w:rFonts w:cs="FrankRuehl" w:hint="cs"/>
          <w:rtl/>
        </w:rPr>
        <w:t>שכנגד, אם ראה שיש לעשות כן כדי למנוע סיבוך והשהייה; אין בהוראה זו כדי לגרוע מזכויות הנתבע על פי תקנה 59 לתקנות הכלליות.</w:t>
      </w:r>
    </w:p>
    <w:p w14:paraId="72C09015" w14:textId="77777777" w:rsidR="00686876" w:rsidRPr="002D63DB" w:rsidRDefault="00686876" w:rsidP="00686876">
      <w:pPr>
        <w:pStyle w:val="P00"/>
        <w:tabs>
          <w:tab w:val="clear" w:pos="6259"/>
        </w:tabs>
        <w:spacing w:before="0"/>
        <w:ind w:left="0" w:right="1134"/>
        <w:rPr>
          <w:rFonts w:cs="FrankRuehl" w:hint="cs"/>
          <w:vanish/>
          <w:szCs w:val="20"/>
          <w:shd w:val="clear" w:color="auto" w:fill="FFFF99"/>
          <w:rtl/>
        </w:rPr>
      </w:pPr>
      <w:bookmarkStart w:id="11" w:name="Rov30"/>
      <w:r w:rsidRPr="002D63DB">
        <w:rPr>
          <w:rFonts w:cs="FrankRuehl" w:hint="cs"/>
          <w:vanish/>
          <w:color w:val="FF0000"/>
          <w:szCs w:val="20"/>
          <w:shd w:val="clear" w:color="auto" w:fill="FFFF99"/>
          <w:rtl/>
        </w:rPr>
        <w:lastRenderedPageBreak/>
        <w:t>מיום 5.2.1970</w:t>
      </w:r>
    </w:p>
    <w:p w14:paraId="60647BC0" w14:textId="77777777" w:rsidR="00686876" w:rsidRPr="002D63DB" w:rsidRDefault="00686876" w:rsidP="00686876">
      <w:pPr>
        <w:pStyle w:val="P00"/>
        <w:spacing w:before="0"/>
        <w:ind w:left="0" w:right="1134"/>
        <w:rPr>
          <w:rFonts w:cs="FrankRuehl" w:hint="cs"/>
          <w:b/>
          <w:bCs/>
          <w:vanish/>
          <w:szCs w:val="20"/>
          <w:shd w:val="clear" w:color="auto" w:fill="FFFF99"/>
          <w:rtl/>
        </w:rPr>
      </w:pPr>
      <w:r w:rsidRPr="002D63DB">
        <w:rPr>
          <w:rFonts w:cs="FrankRuehl" w:hint="cs"/>
          <w:b/>
          <w:bCs/>
          <w:vanish/>
          <w:szCs w:val="20"/>
          <w:shd w:val="clear" w:color="auto" w:fill="FFFF99"/>
          <w:rtl/>
        </w:rPr>
        <w:t>תק' תש"ל-1970</w:t>
      </w:r>
    </w:p>
    <w:p w14:paraId="09EC5F60" w14:textId="77777777" w:rsidR="00686876" w:rsidRPr="002D63DB" w:rsidRDefault="00686876" w:rsidP="00686876">
      <w:pPr>
        <w:pStyle w:val="P00"/>
        <w:spacing w:before="0"/>
        <w:ind w:left="0" w:right="1134"/>
        <w:rPr>
          <w:rFonts w:cs="FrankRuehl" w:hint="cs"/>
          <w:vanish/>
          <w:szCs w:val="20"/>
          <w:shd w:val="clear" w:color="auto" w:fill="FFFF99"/>
          <w:rtl/>
        </w:rPr>
      </w:pPr>
      <w:hyperlink r:id="rId8" w:history="1">
        <w:r w:rsidRPr="002D63DB">
          <w:rPr>
            <w:rStyle w:val="Hyperlink"/>
            <w:rFonts w:cs="FrankRuehl" w:hint="cs"/>
            <w:vanish/>
            <w:szCs w:val="20"/>
            <w:shd w:val="clear" w:color="auto" w:fill="FFFF99"/>
            <w:rtl/>
          </w:rPr>
          <w:t>ק"ת תש"ל מס' 2518</w:t>
        </w:r>
      </w:hyperlink>
      <w:r w:rsidRPr="002D63DB">
        <w:rPr>
          <w:rFonts w:cs="FrankRuehl" w:hint="cs"/>
          <w:vanish/>
          <w:szCs w:val="20"/>
          <w:shd w:val="clear" w:color="auto" w:fill="FFFF99"/>
          <w:rtl/>
        </w:rPr>
        <w:t xml:space="preserve"> מיום 5.2.1970 עמ' 994</w:t>
      </w:r>
    </w:p>
    <w:p w14:paraId="4C13AB8F" w14:textId="77777777" w:rsidR="00686876" w:rsidRPr="00A53E2F" w:rsidRDefault="00686876" w:rsidP="00A53E2F">
      <w:pPr>
        <w:pStyle w:val="P00"/>
        <w:ind w:left="0" w:right="1134"/>
        <w:rPr>
          <w:rStyle w:val="default"/>
          <w:rFonts w:cs="FrankRuehl" w:hint="cs"/>
          <w:sz w:val="2"/>
          <w:szCs w:val="2"/>
          <w:rtl/>
        </w:rPr>
      </w:pPr>
      <w:r w:rsidRPr="002D63DB">
        <w:rPr>
          <w:rStyle w:val="big-number"/>
          <w:rFonts w:cs="FrankRuehl"/>
          <w:vanish/>
          <w:sz w:val="22"/>
          <w:szCs w:val="22"/>
          <w:shd w:val="clear" w:color="auto" w:fill="FFFF99"/>
          <w:rtl/>
        </w:rPr>
        <w:t>9.</w:t>
      </w:r>
      <w:r w:rsidRPr="002D63DB">
        <w:rPr>
          <w:rStyle w:val="big-number"/>
          <w:rFonts w:cs="FrankRuehl"/>
          <w:vanish/>
          <w:sz w:val="22"/>
          <w:szCs w:val="22"/>
          <w:shd w:val="clear" w:color="auto" w:fill="FFFF99"/>
          <w:rtl/>
        </w:rPr>
        <w:tab/>
      </w:r>
      <w:r w:rsidRPr="002D63DB">
        <w:rPr>
          <w:rStyle w:val="default"/>
          <w:rFonts w:cs="FrankRuehl"/>
          <w:vanish/>
          <w:sz w:val="22"/>
          <w:szCs w:val="22"/>
          <w:shd w:val="clear" w:color="auto" w:fill="FFFF99"/>
          <w:rtl/>
        </w:rPr>
        <w:t>נת</w:t>
      </w:r>
      <w:r w:rsidRPr="002D63DB">
        <w:rPr>
          <w:rStyle w:val="default"/>
          <w:rFonts w:cs="FrankRuehl" w:hint="cs"/>
          <w:vanish/>
          <w:sz w:val="22"/>
          <w:szCs w:val="22"/>
          <w:shd w:val="clear" w:color="auto" w:fill="FFFF99"/>
          <w:rtl/>
        </w:rPr>
        <w:t>בע או משיב רשאי לתבוע, בדרך של תביעה שכנגד, או בקשה שכנגד, כל סעד בקשר לדירה או</w:t>
      </w:r>
      <w:r w:rsidRPr="002D63DB">
        <w:rPr>
          <w:rStyle w:val="default"/>
          <w:rFonts w:cs="FrankRuehl"/>
          <w:vanish/>
          <w:sz w:val="22"/>
          <w:szCs w:val="22"/>
          <w:shd w:val="clear" w:color="auto" w:fill="FFFF99"/>
          <w:rtl/>
        </w:rPr>
        <w:t xml:space="preserve"> ל</w:t>
      </w:r>
      <w:r w:rsidRPr="002D63DB">
        <w:rPr>
          <w:rStyle w:val="default"/>
          <w:rFonts w:cs="FrankRuehl" w:hint="cs"/>
          <w:vanish/>
          <w:sz w:val="22"/>
          <w:szCs w:val="22"/>
          <w:shd w:val="clear" w:color="auto" w:fill="FFFF99"/>
          <w:rtl/>
        </w:rPr>
        <w:t>בית העסק שהם נושא התביעה או הבקשה המקוריות, אולם בית הדין רשאי להורות על דיון נפרד בתביעה</w:t>
      </w:r>
      <w:r w:rsidRPr="002D63DB">
        <w:rPr>
          <w:rStyle w:val="default"/>
          <w:rFonts w:cs="FrankRuehl"/>
          <w:vanish/>
          <w:sz w:val="22"/>
          <w:szCs w:val="22"/>
          <w:shd w:val="clear" w:color="auto" w:fill="FFFF99"/>
          <w:rtl/>
        </w:rPr>
        <w:t xml:space="preserve"> </w:t>
      </w:r>
      <w:r w:rsidRPr="002D63DB">
        <w:rPr>
          <w:rStyle w:val="default"/>
          <w:rFonts w:cs="FrankRuehl" w:hint="cs"/>
          <w:vanish/>
          <w:sz w:val="22"/>
          <w:szCs w:val="22"/>
          <w:shd w:val="clear" w:color="auto" w:fill="FFFF99"/>
          <w:rtl/>
        </w:rPr>
        <w:t xml:space="preserve">שכנגד, אם ראה שיש לעשות כן כדי למנוע סיבוך והשהייה; </w:t>
      </w:r>
      <w:r w:rsidRPr="002D63DB">
        <w:rPr>
          <w:rStyle w:val="default"/>
          <w:rFonts w:cs="FrankRuehl" w:hint="cs"/>
          <w:strike/>
          <w:vanish/>
          <w:sz w:val="22"/>
          <w:szCs w:val="22"/>
          <w:shd w:val="clear" w:color="auto" w:fill="FFFF99"/>
          <w:rtl/>
        </w:rPr>
        <w:t>אין בהוראה זו כדי לגרוע מזכויות הנתבע על פי תקנה 72 לתקנות הפרוצידורה בבתי משפט שלום, 1940</w:t>
      </w:r>
      <w:r w:rsidRPr="002D63DB">
        <w:rPr>
          <w:rStyle w:val="default"/>
          <w:rFonts w:cs="FrankRuehl" w:hint="cs"/>
          <w:vanish/>
          <w:sz w:val="22"/>
          <w:szCs w:val="22"/>
          <w:shd w:val="clear" w:color="auto" w:fill="FFFF99"/>
          <w:rtl/>
        </w:rPr>
        <w:t xml:space="preserve"> </w:t>
      </w:r>
      <w:r w:rsidRPr="002D63DB">
        <w:rPr>
          <w:rStyle w:val="default"/>
          <w:rFonts w:cs="FrankRuehl" w:hint="cs"/>
          <w:vanish/>
          <w:sz w:val="22"/>
          <w:szCs w:val="22"/>
          <w:u w:val="single"/>
          <w:shd w:val="clear" w:color="auto" w:fill="FFFF99"/>
          <w:rtl/>
        </w:rPr>
        <w:t>אין בהוראה זו כדי לגרוע מזכויות הנתבע על פי תקנה 59 לתקנות הכלליות.</w:t>
      </w:r>
      <w:bookmarkEnd w:id="11"/>
    </w:p>
    <w:p w14:paraId="29A963F1" w14:textId="77777777" w:rsidR="00AC07F5" w:rsidRDefault="00AC07F5">
      <w:pPr>
        <w:pStyle w:val="P00"/>
        <w:spacing w:before="72"/>
        <w:ind w:left="0" w:right="1134"/>
        <w:rPr>
          <w:rStyle w:val="default"/>
          <w:rFonts w:cs="FrankRuehl"/>
          <w:rtl/>
        </w:rPr>
      </w:pPr>
      <w:bookmarkStart w:id="12" w:name="Seif9"/>
      <w:bookmarkEnd w:id="12"/>
      <w:r>
        <w:rPr>
          <w:lang w:val="he-IL"/>
        </w:rPr>
        <w:pict w14:anchorId="73398FB1">
          <v:rect id="_x0000_s1035" style="position:absolute;left:0;text-align:left;margin-left:464.5pt;margin-top:8.05pt;width:75.05pt;height:24pt;z-index:251654144" o:allowincell="f" filled="f" stroked="f" strokecolor="lime" strokeweight=".25pt">
            <v:textbox inset="0,0,0,0">
              <w:txbxContent>
                <w:p w14:paraId="6992811D" w14:textId="77777777" w:rsidR="00AC07F5" w:rsidRDefault="00AC07F5" w:rsidP="001B2917">
                  <w:pPr>
                    <w:spacing w:line="160" w:lineRule="exact"/>
                    <w:jc w:val="left"/>
                    <w:rPr>
                      <w:rFonts w:cs="Miriam"/>
                      <w:noProof/>
                      <w:sz w:val="18"/>
                      <w:szCs w:val="18"/>
                      <w:rtl/>
                    </w:rPr>
                  </w:pPr>
                  <w:r>
                    <w:rPr>
                      <w:rFonts w:cs="Miriam"/>
                      <w:sz w:val="18"/>
                      <w:szCs w:val="18"/>
                      <w:rtl/>
                    </w:rPr>
                    <w:t>אי</w:t>
                  </w:r>
                  <w:r>
                    <w:rPr>
                      <w:rFonts w:cs="Miriam" w:hint="cs"/>
                      <w:sz w:val="18"/>
                      <w:szCs w:val="18"/>
                      <w:rtl/>
                    </w:rPr>
                    <w:t>ן צורך</w:t>
                  </w:r>
                  <w:r w:rsidR="001B2917">
                    <w:rPr>
                      <w:rFonts w:cs="Miriam" w:hint="cs"/>
                      <w:sz w:val="18"/>
                      <w:szCs w:val="18"/>
                      <w:rtl/>
                    </w:rPr>
                    <w:t xml:space="preserve"> </w:t>
                  </w:r>
                  <w:r>
                    <w:rPr>
                      <w:rFonts w:cs="Miriam"/>
                      <w:sz w:val="18"/>
                      <w:szCs w:val="18"/>
                      <w:rtl/>
                    </w:rPr>
                    <w:t>בכ</w:t>
                  </w:r>
                  <w:r>
                    <w:rPr>
                      <w:rFonts w:cs="Miriam" w:hint="cs"/>
                      <w:sz w:val="18"/>
                      <w:szCs w:val="18"/>
                      <w:rtl/>
                    </w:rPr>
                    <w:t>פירה</w:t>
                  </w:r>
                  <w:r w:rsidR="001B2917">
                    <w:rPr>
                      <w:rFonts w:cs="Miriam" w:hint="cs"/>
                      <w:sz w:val="18"/>
                      <w:szCs w:val="18"/>
                      <w:rtl/>
                    </w:rPr>
                    <w:t xml:space="preserve"> </w:t>
                  </w:r>
                  <w:r>
                    <w:rPr>
                      <w:rFonts w:cs="Miriam"/>
                      <w:sz w:val="18"/>
                      <w:szCs w:val="18"/>
                      <w:rtl/>
                    </w:rPr>
                    <w:t>מפ</w:t>
                  </w:r>
                  <w:r>
                    <w:rPr>
                      <w:rFonts w:cs="Miriam" w:hint="cs"/>
                      <w:sz w:val="18"/>
                      <w:szCs w:val="18"/>
                      <w:rtl/>
                    </w:rPr>
                    <w:t>ורשת</w:t>
                  </w:r>
                </w:p>
              </w:txbxContent>
            </v:textbox>
            <w10:anchorlock/>
          </v:rect>
        </w:pict>
      </w:r>
      <w:r>
        <w:rPr>
          <w:rStyle w:val="big-number"/>
          <w:rFonts w:cs="Miriam"/>
          <w:rtl/>
        </w:rPr>
        <w:t>10.</w:t>
      </w:r>
      <w:r>
        <w:rPr>
          <w:rStyle w:val="big-number"/>
          <w:rFonts w:cs="Miriam"/>
          <w:rtl/>
        </w:rPr>
        <w:tab/>
      </w:r>
      <w:r>
        <w:rPr>
          <w:rStyle w:val="default"/>
          <w:rFonts w:cs="FrankRuehl"/>
          <w:rtl/>
        </w:rPr>
        <w:t>יר</w:t>
      </w:r>
      <w:r>
        <w:rPr>
          <w:rStyle w:val="default"/>
          <w:rFonts w:cs="FrankRuehl" w:hint="cs"/>
          <w:rtl/>
        </w:rPr>
        <w:t>או את גובה דמי השכירות כשנוי במחלוקת,</w:t>
      </w:r>
      <w:r>
        <w:rPr>
          <w:rStyle w:val="default"/>
          <w:rFonts w:cs="FrankRuehl"/>
          <w:rtl/>
        </w:rPr>
        <w:t xml:space="preserve"> כ</w:t>
      </w:r>
      <w:r>
        <w:rPr>
          <w:rStyle w:val="default"/>
          <w:rFonts w:cs="FrankRuehl" w:hint="cs"/>
          <w:rtl/>
        </w:rPr>
        <w:t>ל עוד לא הודו בו במפורש אף אם לא כפרו בו במפורש.</w:t>
      </w:r>
    </w:p>
    <w:p w14:paraId="626BE9F8" w14:textId="77777777" w:rsidR="00AC07F5" w:rsidRDefault="00AC07F5">
      <w:pPr>
        <w:pStyle w:val="P00"/>
        <w:spacing w:before="72"/>
        <w:ind w:left="0" w:right="1134"/>
        <w:rPr>
          <w:rStyle w:val="default"/>
          <w:rFonts w:cs="FrankRuehl"/>
          <w:rtl/>
        </w:rPr>
      </w:pPr>
      <w:bookmarkStart w:id="13" w:name="Seif10"/>
      <w:bookmarkEnd w:id="13"/>
      <w:r>
        <w:rPr>
          <w:lang w:val="he-IL"/>
        </w:rPr>
        <w:pict w14:anchorId="024A777C">
          <v:rect id="_x0000_s1036" style="position:absolute;left:0;text-align:left;margin-left:464.5pt;margin-top:8.05pt;width:75.05pt;height:15.3pt;z-index:251655168" o:allowincell="f" filled="f" stroked="f" strokecolor="lime" strokeweight=".25pt">
            <v:textbox inset="0,0,0,0">
              <w:txbxContent>
                <w:p w14:paraId="4E09F982" w14:textId="77777777" w:rsidR="00AC07F5" w:rsidRDefault="00AC07F5">
                  <w:pPr>
                    <w:spacing w:line="160" w:lineRule="exact"/>
                    <w:jc w:val="left"/>
                    <w:rPr>
                      <w:rFonts w:cs="Miriam"/>
                      <w:noProof/>
                      <w:sz w:val="18"/>
                      <w:szCs w:val="18"/>
                      <w:rtl/>
                    </w:rPr>
                  </w:pPr>
                  <w:r>
                    <w:rPr>
                      <w:rFonts w:cs="Miriam"/>
                      <w:sz w:val="18"/>
                      <w:szCs w:val="18"/>
                      <w:rtl/>
                    </w:rPr>
                    <w:t>הפ</w:t>
                  </w:r>
                  <w:r>
                    <w:rPr>
                      <w:rFonts w:cs="Miriam" w:hint="cs"/>
                      <w:sz w:val="18"/>
                      <w:szCs w:val="18"/>
                      <w:rtl/>
                    </w:rPr>
                    <w:t>רוטוקול</w:t>
                  </w:r>
                </w:p>
              </w:txbxContent>
            </v:textbox>
            <w10:anchorlock/>
          </v:rect>
        </w:pict>
      </w:r>
      <w:r>
        <w:rPr>
          <w:rStyle w:val="big-number"/>
          <w:rFonts w:cs="Miriam"/>
          <w:rtl/>
        </w:rPr>
        <w:t>11.</w:t>
      </w:r>
      <w:r>
        <w:rPr>
          <w:rStyle w:val="big-number"/>
          <w:rFonts w:cs="Miriam"/>
          <w:rtl/>
        </w:rPr>
        <w:tab/>
      </w:r>
      <w:r>
        <w:rPr>
          <w:rStyle w:val="default"/>
          <w:rFonts w:cs="FrankRuehl"/>
          <w:rtl/>
        </w:rPr>
        <w:t>אב</w:t>
      </w:r>
      <w:r>
        <w:rPr>
          <w:rStyle w:val="default"/>
          <w:rFonts w:cs="FrankRuehl" w:hint="cs"/>
          <w:rtl/>
        </w:rPr>
        <w:t xml:space="preserve"> בית הדין רשאי להורות, כי פרוטוקול הדיונים, לרבות גביית העדויות, יירשם על ידי מזכיר בית הדין או על ידי אדם אחר שמינוהו לכך, ובלבד שאב בית הדין יחתום עליו בתום כל ישיבה. </w:t>
      </w:r>
    </w:p>
    <w:p w14:paraId="60FBABA1" w14:textId="77777777" w:rsidR="00AC07F5" w:rsidRDefault="00AC07F5">
      <w:pPr>
        <w:pStyle w:val="P00"/>
        <w:spacing w:before="72"/>
        <w:ind w:left="0" w:right="1134"/>
        <w:rPr>
          <w:rStyle w:val="default"/>
          <w:rFonts w:cs="FrankRuehl"/>
          <w:rtl/>
        </w:rPr>
      </w:pPr>
      <w:bookmarkStart w:id="14" w:name="Seif11"/>
      <w:bookmarkEnd w:id="14"/>
      <w:r>
        <w:rPr>
          <w:lang w:val="he-IL"/>
        </w:rPr>
        <w:pict w14:anchorId="7DD67F06">
          <v:rect id="_x0000_s1037" style="position:absolute;left:0;text-align:left;margin-left:464.5pt;margin-top:8.05pt;width:75.05pt;height:24pt;z-index:251656192" o:allowincell="f" filled="f" stroked="f" strokecolor="lime" strokeweight=".25pt">
            <v:textbox inset="0,0,0,0">
              <w:txbxContent>
                <w:p w14:paraId="2AA010A9" w14:textId="77777777" w:rsidR="00AC07F5" w:rsidRDefault="00AC07F5" w:rsidP="001B2917">
                  <w:pPr>
                    <w:spacing w:line="160" w:lineRule="exact"/>
                    <w:jc w:val="left"/>
                    <w:rPr>
                      <w:rFonts w:cs="Miriam"/>
                      <w:noProof/>
                      <w:sz w:val="18"/>
                      <w:szCs w:val="18"/>
                      <w:rtl/>
                    </w:rPr>
                  </w:pPr>
                  <w:r>
                    <w:rPr>
                      <w:rFonts w:cs="Miriam"/>
                      <w:sz w:val="18"/>
                      <w:szCs w:val="18"/>
                      <w:rtl/>
                    </w:rPr>
                    <w:t>חי</w:t>
                  </w:r>
                  <w:r>
                    <w:rPr>
                      <w:rFonts w:cs="Miriam" w:hint="cs"/>
                      <w:sz w:val="18"/>
                      <w:szCs w:val="18"/>
                      <w:rtl/>
                    </w:rPr>
                    <w:t>לופים</w:t>
                  </w:r>
                  <w:r w:rsidR="001B2917">
                    <w:rPr>
                      <w:rFonts w:cs="Miriam" w:hint="cs"/>
                      <w:sz w:val="18"/>
                      <w:szCs w:val="18"/>
                      <w:rtl/>
                    </w:rPr>
                    <w:t xml:space="preserve"> </w:t>
                  </w:r>
                  <w:r>
                    <w:rPr>
                      <w:rFonts w:cs="Miriam"/>
                      <w:sz w:val="18"/>
                      <w:szCs w:val="18"/>
                      <w:rtl/>
                    </w:rPr>
                    <w:t>בה</w:t>
                  </w:r>
                  <w:r>
                    <w:rPr>
                      <w:rFonts w:cs="Miriam" w:hint="cs"/>
                      <w:sz w:val="18"/>
                      <w:szCs w:val="18"/>
                      <w:rtl/>
                    </w:rPr>
                    <w:t>רכב</w:t>
                  </w:r>
                  <w:r w:rsidR="001B2917">
                    <w:rPr>
                      <w:rFonts w:cs="Miriam" w:hint="cs"/>
                      <w:sz w:val="18"/>
                      <w:szCs w:val="18"/>
                      <w:rtl/>
                    </w:rPr>
                    <w:t xml:space="preserve"> </w:t>
                  </w:r>
                  <w:r>
                    <w:rPr>
                      <w:rFonts w:cs="Miriam"/>
                      <w:sz w:val="18"/>
                      <w:szCs w:val="18"/>
                      <w:rtl/>
                    </w:rPr>
                    <w:t>בי</w:t>
                  </w:r>
                  <w:r>
                    <w:rPr>
                      <w:rFonts w:cs="Miriam" w:hint="cs"/>
                      <w:sz w:val="18"/>
                      <w:szCs w:val="18"/>
                      <w:rtl/>
                    </w:rPr>
                    <w:t>ת הדין</w:t>
                  </w:r>
                </w:p>
              </w:txbxContent>
            </v:textbox>
            <w10:anchorlock/>
          </v:rect>
        </w:pict>
      </w:r>
      <w:r>
        <w:rPr>
          <w:rStyle w:val="big-number"/>
          <w:rFonts w:cs="Miriam"/>
          <w:rtl/>
        </w:rPr>
        <w:t>12.</w:t>
      </w:r>
      <w:r>
        <w:rPr>
          <w:rStyle w:val="big-number"/>
          <w:rFonts w:cs="Miriam"/>
          <w:rtl/>
        </w:rPr>
        <w:tab/>
      </w:r>
      <w:r>
        <w:rPr>
          <w:rStyle w:val="default"/>
          <w:rFonts w:cs="FrankRuehl"/>
          <w:rtl/>
        </w:rPr>
        <w:t>נב</w:t>
      </w:r>
      <w:r>
        <w:rPr>
          <w:rStyle w:val="default"/>
          <w:rFonts w:cs="FrankRuehl" w:hint="cs"/>
          <w:rtl/>
        </w:rPr>
        <w:t xml:space="preserve">צר מחבר בית דין לסיים את בירורם של תובענה או של הליך, רשאי חבר אחר של בית הדין להמשיך בבירור במקומו מהשלב שאליו הגיע הבירור, ורואים את הראיות שנגבו בפני החבר הקודם כאילו נגבו בפני הבא במקומו. </w:t>
      </w:r>
    </w:p>
    <w:p w14:paraId="31F425D7" w14:textId="77777777" w:rsidR="00AC07F5" w:rsidRDefault="00AC07F5">
      <w:pPr>
        <w:pStyle w:val="P00"/>
        <w:spacing w:before="72"/>
        <w:ind w:left="0" w:right="1134"/>
        <w:rPr>
          <w:rStyle w:val="default"/>
          <w:rFonts w:cs="FrankRuehl"/>
          <w:rtl/>
        </w:rPr>
      </w:pPr>
      <w:bookmarkStart w:id="15" w:name="Seif12"/>
      <w:bookmarkEnd w:id="15"/>
      <w:r>
        <w:rPr>
          <w:lang w:val="he-IL"/>
        </w:rPr>
        <w:pict w14:anchorId="28D4051D">
          <v:rect id="_x0000_s1038" style="position:absolute;left:0;text-align:left;margin-left:464.5pt;margin-top:8.05pt;width:75.05pt;height:24pt;z-index:251657216" o:allowincell="f" filled="f" stroked="f" strokecolor="lime" strokeweight=".25pt">
            <v:textbox inset="0,0,0,0">
              <w:txbxContent>
                <w:p w14:paraId="35D9BB93" w14:textId="77777777" w:rsidR="00AC07F5" w:rsidRDefault="00AC07F5" w:rsidP="001B2917">
                  <w:pPr>
                    <w:spacing w:line="160" w:lineRule="exact"/>
                    <w:jc w:val="left"/>
                    <w:rPr>
                      <w:rFonts w:cs="Miriam"/>
                      <w:noProof/>
                      <w:sz w:val="18"/>
                      <w:szCs w:val="18"/>
                      <w:rtl/>
                    </w:rPr>
                  </w:pPr>
                  <w:r>
                    <w:rPr>
                      <w:rFonts w:cs="Miriam"/>
                      <w:sz w:val="18"/>
                      <w:szCs w:val="18"/>
                      <w:rtl/>
                    </w:rPr>
                    <w:t>המ</w:t>
                  </w:r>
                  <w:r>
                    <w:rPr>
                      <w:rFonts w:cs="Miriam" w:hint="cs"/>
                      <w:sz w:val="18"/>
                      <w:szCs w:val="18"/>
                      <w:rtl/>
                    </w:rPr>
                    <w:t>ועד להגשת</w:t>
                  </w:r>
                  <w:r w:rsidR="001B2917">
                    <w:rPr>
                      <w:rFonts w:cs="Miriam" w:hint="cs"/>
                      <w:sz w:val="18"/>
                      <w:szCs w:val="18"/>
                      <w:rtl/>
                    </w:rPr>
                    <w:t xml:space="preserve"> </w:t>
                  </w:r>
                  <w:r>
                    <w:rPr>
                      <w:rFonts w:cs="Miriam"/>
                      <w:sz w:val="18"/>
                      <w:szCs w:val="18"/>
                      <w:rtl/>
                    </w:rPr>
                    <w:t>בק</w:t>
                  </w:r>
                  <w:r>
                    <w:rPr>
                      <w:rFonts w:cs="Miriam" w:hint="cs"/>
                      <w:sz w:val="18"/>
                      <w:szCs w:val="18"/>
                      <w:rtl/>
                    </w:rPr>
                    <w:t>שה בדבר</w:t>
                  </w:r>
                  <w:r w:rsidR="001B2917">
                    <w:rPr>
                      <w:rFonts w:cs="Miriam" w:hint="cs"/>
                      <w:noProof/>
                      <w:sz w:val="18"/>
                      <w:szCs w:val="18"/>
                      <w:rtl/>
                    </w:rPr>
                    <w:t xml:space="preserve"> </w:t>
                  </w:r>
                  <w:r>
                    <w:rPr>
                      <w:rFonts w:cs="Miriam"/>
                      <w:sz w:val="18"/>
                      <w:szCs w:val="18"/>
                      <w:rtl/>
                    </w:rPr>
                    <w:t>בי</w:t>
                  </w:r>
                  <w:r>
                    <w:rPr>
                      <w:rFonts w:cs="Miriam" w:hint="cs"/>
                      <w:sz w:val="18"/>
                      <w:szCs w:val="18"/>
                      <w:rtl/>
                    </w:rPr>
                    <w:t>טול פסק דין</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 xml:space="preserve">ועד להגשת בקשה בדבר ביטול פסק דין או צו שניתנו שלא </w:t>
      </w:r>
      <w:r>
        <w:rPr>
          <w:rStyle w:val="default"/>
          <w:rFonts w:cs="FrankRuehl"/>
          <w:rtl/>
        </w:rPr>
        <w:t>בפ</w:t>
      </w:r>
      <w:r>
        <w:rPr>
          <w:rStyle w:val="default"/>
          <w:rFonts w:cs="FrankRuehl" w:hint="cs"/>
          <w:rtl/>
        </w:rPr>
        <w:t xml:space="preserve">ני בעל דין הוא שלושים יום מיום שנמסר לו פסק הדין או הצו. </w:t>
      </w:r>
    </w:p>
    <w:p w14:paraId="7E5C8796" w14:textId="77777777" w:rsidR="00AC07F5" w:rsidRDefault="00AC07F5" w:rsidP="001B2917">
      <w:pPr>
        <w:pStyle w:val="P00"/>
        <w:spacing w:before="72"/>
        <w:ind w:left="0" w:right="1134"/>
        <w:rPr>
          <w:rStyle w:val="default"/>
          <w:rFonts w:cs="FrankRuehl"/>
          <w:rtl/>
        </w:rPr>
      </w:pPr>
      <w:bookmarkStart w:id="16" w:name="Seif13"/>
      <w:bookmarkEnd w:id="16"/>
      <w:r>
        <w:rPr>
          <w:lang w:val="he-IL"/>
        </w:rPr>
        <w:pict w14:anchorId="68D504B9">
          <v:rect id="_x0000_s1039" style="position:absolute;left:0;text-align:left;margin-left:464.5pt;margin-top:8.05pt;width:75.05pt;height:32pt;z-index:251658240" o:allowincell="f" filled="f" stroked="f" strokecolor="lime" strokeweight=".25pt">
            <v:textbox inset="0,0,0,0">
              <w:txbxContent>
                <w:p w14:paraId="2DAC88E8" w14:textId="77777777" w:rsidR="00AC07F5" w:rsidRDefault="00AC07F5" w:rsidP="001B2917">
                  <w:pPr>
                    <w:spacing w:line="160" w:lineRule="exact"/>
                    <w:jc w:val="left"/>
                    <w:rPr>
                      <w:rFonts w:cs="Miriam"/>
                      <w:noProof/>
                      <w:sz w:val="18"/>
                      <w:szCs w:val="18"/>
                      <w:rtl/>
                    </w:rPr>
                  </w:pPr>
                  <w:r>
                    <w:rPr>
                      <w:rFonts w:cs="Miriam"/>
                      <w:sz w:val="18"/>
                      <w:szCs w:val="18"/>
                      <w:rtl/>
                    </w:rPr>
                    <w:t>הצ</w:t>
                  </w:r>
                  <w:r>
                    <w:rPr>
                      <w:rFonts w:cs="Miriam" w:hint="cs"/>
                      <w:sz w:val="18"/>
                      <w:szCs w:val="18"/>
                      <w:rtl/>
                    </w:rPr>
                    <w:t>טרפות לדיון</w:t>
                  </w:r>
                  <w:r w:rsidR="001B2917">
                    <w:rPr>
                      <w:rFonts w:cs="Miriam" w:hint="cs"/>
                      <w:sz w:val="18"/>
                      <w:szCs w:val="18"/>
                      <w:rtl/>
                    </w:rPr>
                    <w:t xml:space="preserve"> </w:t>
                  </w:r>
                  <w:r>
                    <w:rPr>
                      <w:rFonts w:cs="Miriam"/>
                      <w:sz w:val="18"/>
                      <w:szCs w:val="18"/>
                      <w:rtl/>
                    </w:rPr>
                    <w:t>בד</w:t>
                  </w:r>
                  <w:r>
                    <w:rPr>
                      <w:rFonts w:cs="Miriam" w:hint="cs"/>
                      <w:sz w:val="18"/>
                      <w:szCs w:val="18"/>
                      <w:rtl/>
                    </w:rPr>
                    <w:t>בר התקנת</w:t>
                  </w:r>
                  <w:r w:rsidR="001B2917">
                    <w:rPr>
                      <w:rFonts w:cs="Miriam" w:hint="cs"/>
                      <w:noProof/>
                      <w:sz w:val="18"/>
                      <w:szCs w:val="18"/>
                      <w:rtl/>
                    </w:rPr>
                    <w:t xml:space="preserve"> </w:t>
                  </w:r>
                  <w:r>
                    <w:rPr>
                      <w:rFonts w:cs="Miriam"/>
                      <w:sz w:val="18"/>
                      <w:szCs w:val="18"/>
                      <w:rtl/>
                    </w:rPr>
                    <w:t>אנ</w:t>
                  </w:r>
                  <w:r>
                    <w:rPr>
                      <w:rFonts w:cs="Miriam" w:hint="cs"/>
                      <w:sz w:val="18"/>
                      <w:szCs w:val="18"/>
                      <w:rtl/>
                    </w:rPr>
                    <w:t>טנה או דוד</w:t>
                  </w:r>
                </w:p>
                <w:p w14:paraId="4F0CFFD3" w14:textId="77777777" w:rsidR="00AC07F5" w:rsidRDefault="00AC07F5" w:rsidP="001B2917">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sidR="001B2917">
                    <w:rPr>
                      <w:rFonts w:cs="Miriam" w:hint="cs"/>
                      <w:sz w:val="18"/>
                      <w:szCs w:val="18"/>
                      <w:rtl/>
                    </w:rPr>
                    <w:t>-</w:t>
                  </w:r>
                  <w:r>
                    <w:rPr>
                      <w:rFonts w:cs="Miriam"/>
                      <w:sz w:val="18"/>
                      <w:szCs w:val="18"/>
                      <w:rtl/>
                    </w:rPr>
                    <w:t>1968</w:t>
                  </w:r>
                </w:p>
              </w:txbxContent>
            </v:textbox>
            <w10:anchorlock/>
          </v:rect>
        </w:pict>
      </w:r>
      <w:r>
        <w:rPr>
          <w:rStyle w:val="big-number"/>
          <w:rFonts w:cs="Miriam"/>
          <w:rtl/>
        </w:rPr>
        <w:t>13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מועד להצטרפות לדיון בבקשה להרשות התקנת תורן לאנטנה של טלוויזיה או רדיו או דוד שמש, כאמור בסעיפים 33(6) ו-33א(א) לחוק הגנת</w:t>
      </w:r>
      <w:r>
        <w:rPr>
          <w:rStyle w:val="default"/>
          <w:rFonts w:cs="FrankRuehl"/>
          <w:rtl/>
        </w:rPr>
        <w:t xml:space="preserve"> </w:t>
      </w:r>
      <w:r>
        <w:rPr>
          <w:rStyle w:val="default"/>
          <w:rFonts w:cs="FrankRuehl" w:hint="cs"/>
          <w:rtl/>
        </w:rPr>
        <w:t>הדייר, תשט"ו</w:t>
      </w:r>
      <w:r w:rsidR="001B2917">
        <w:rPr>
          <w:rStyle w:val="default"/>
          <w:rFonts w:cs="FrankRuehl" w:hint="cs"/>
          <w:rtl/>
        </w:rPr>
        <w:t>-</w:t>
      </w:r>
      <w:r>
        <w:rPr>
          <w:rStyle w:val="default"/>
          <w:rFonts w:cs="FrankRuehl"/>
          <w:rtl/>
        </w:rPr>
        <w:t xml:space="preserve">1955, </w:t>
      </w:r>
      <w:r>
        <w:rPr>
          <w:rStyle w:val="default"/>
          <w:rFonts w:cs="FrankRuehl" w:hint="cs"/>
          <w:rtl/>
        </w:rPr>
        <w:t xml:space="preserve">הוא חמישה עשר יום מהיום שנמסרה למצטרף הודעה </w:t>
      </w:r>
      <w:r>
        <w:rPr>
          <w:rStyle w:val="default"/>
          <w:rFonts w:cs="FrankRuehl"/>
          <w:rtl/>
        </w:rPr>
        <w:t>על</w:t>
      </w:r>
      <w:r>
        <w:rPr>
          <w:rStyle w:val="default"/>
          <w:rFonts w:cs="FrankRuehl" w:hint="cs"/>
          <w:rtl/>
        </w:rPr>
        <w:t xml:space="preserve"> הבקשה כאמור. </w:t>
      </w:r>
    </w:p>
    <w:p w14:paraId="3ECA8791" w14:textId="77777777" w:rsidR="00AC07F5" w:rsidRDefault="00AC07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הצטרפות תיעשה על ידי הגשת הודעה בכתב למשרד בית הדין. </w:t>
      </w:r>
    </w:p>
    <w:p w14:paraId="7ABFAC19" w14:textId="77777777" w:rsidR="00AC07F5" w:rsidRDefault="00AC07F5" w:rsidP="001B291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הודעה תוגש בשלושה עותקים ויצורף אליה תצהיר, בשלושה עותקים, המפרט את נימוקי ההצטרפות; בית הדין ימציא עותק אחד של ההודעה והתצהיר לדייר שביקש להרשות את ההתקנה, ועותק אחד </w:t>
      </w:r>
      <w:r w:rsidR="002D63DB">
        <w:rPr>
          <w:rStyle w:val="default"/>
          <w:rFonts w:cs="FrankRuehl"/>
          <w:rtl/>
        </w:rPr>
        <w:t>–</w:t>
      </w:r>
      <w:r>
        <w:rPr>
          <w:rStyle w:val="default"/>
          <w:rFonts w:cs="FrankRuehl"/>
          <w:rtl/>
        </w:rPr>
        <w:t xml:space="preserve"> ל</w:t>
      </w:r>
      <w:r>
        <w:rPr>
          <w:rStyle w:val="default"/>
          <w:rFonts w:cs="FrankRuehl" w:hint="cs"/>
          <w:rtl/>
        </w:rPr>
        <w:t>בע</w:t>
      </w:r>
      <w:r>
        <w:rPr>
          <w:rStyle w:val="default"/>
          <w:rFonts w:cs="FrankRuehl"/>
          <w:rtl/>
        </w:rPr>
        <w:t xml:space="preserve">ל </w:t>
      </w:r>
      <w:r>
        <w:rPr>
          <w:rStyle w:val="default"/>
          <w:rFonts w:cs="FrankRuehl" w:hint="cs"/>
          <w:rtl/>
        </w:rPr>
        <w:t xml:space="preserve">הבית המשיב. </w:t>
      </w:r>
    </w:p>
    <w:p w14:paraId="263A46E6" w14:textId="77777777" w:rsidR="00AC07F5" w:rsidRDefault="00AC07F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 xml:space="preserve">ית הדין יזמין לדיון בבקשת הדייר כל מי שהצטרף לבקשה כאמור בתקנה זו. </w:t>
      </w:r>
    </w:p>
    <w:p w14:paraId="24BEBD4C" w14:textId="77777777" w:rsidR="00686876" w:rsidRPr="002D63DB" w:rsidRDefault="00686876" w:rsidP="00686876">
      <w:pPr>
        <w:pStyle w:val="P00"/>
        <w:tabs>
          <w:tab w:val="clear" w:pos="6259"/>
        </w:tabs>
        <w:spacing w:before="0"/>
        <w:ind w:left="0" w:right="1134"/>
        <w:rPr>
          <w:rFonts w:cs="FrankRuehl" w:hint="cs"/>
          <w:vanish/>
          <w:szCs w:val="20"/>
          <w:shd w:val="clear" w:color="auto" w:fill="FFFF99"/>
          <w:rtl/>
        </w:rPr>
      </w:pPr>
      <w:bookmarkStart w:id="17" w:name="Rov31"/>
      <w:r w:rsidRPr="002D63DB">
        <w:rPr>
          <w:rFonts w:cs="FrankRuehl" w:hint="cs"/>
          <w:vanish/>
          <w:color w:val="FF0000"/>
          <w:szCs w:val="20"/>
          <w:shd w:val="clear" w:color="auto" w:fill="FFFF99"/>
          <w:rtl/>
        </w:rPr>
        <w:t>מיום 4.10.1968</w:t>
      </w:r>
    </w:p>
    <w:p w14:paraId="4470DAFC" w14:textId="77777777" w:rsidR="00686876" w:rsidRPr="002D63DB" w:rsidRDefault="00686876" w:rsidP="00686876">
      <w:pPr>
        <w:pStyle w:val="P00"/>
        <w:spacing w:before="0"/>
        <w:ind w:left="0" w:right="1134"/>
        <w:rPr>
          <w:rFonts w:cs="FrankRuehl" w:hint="cs"/>
          <w:b/>
          <w:bCs/>
          <w:vanish/>
          <w:szCs w:val="20"/>
          <w:shd w:val="clear" w:color="auto" w:fill="FFFF99"/>
          <w:rtl/>
        </w:rPr>
      </w:pPr>
      <w:r w:rsidRPr="002D63DB">
        <w:rPr>
          <w:rFonts w:cs="FrankRuehl" w:hint="cs"/>
          <w:b/>
          <w:bCs/>
          <w:vanish/>
          <w:szCs w:val="20"/>
          <w:shd w:val="clear" w:color="auto" w:fill="FFFF99"/>
          <w:rtl/>
        </w:rPr>
        <w:t>תק' תשכ"ט-1968</w:t>
      </w:r>
    </w:p>
    <w:p w14:paraId="388DCF3D" w14:textId="77777777" w:rsidR="00686876" w:rsidRPr="002D63DB" w:rsidRDefault="00686876" w:rsidP="00686876">
      <w:pPr>
        <w:pStyle w:val="P00"/>
        <w:spacing w:before="0"/>
        <w:ind w:left="0" w:right="1134"/>
        <w:rPr>
          <w:rFonts w:cs="FrankRuehl" w:hint="cs"/>
          <w:vanish/>
          <w:szCs w:val="20"/>
          <w:shd w:val="clear" w:color="auto" w:fill="FFFF99"/>
          <w:rtl/>
        </w:rPr>
      </w:pPr>
      <w:hyperlink r:id="rId9" w:history="1">
        <w:r w:rsidRPr="002D63DB">
          <w:rPr>
            <w:rStyle w:val="Hyperlink"/>
            <w:rFonts w:cs="FrankRuehl" w:hint="cs"/>
            <w:vanish/>
            <w:szCs w:val="20"/>
            <w:shd w:val="clear" w:color="auto" w:fill="FFFF99"/>
            <w:rtl/>
          </w:rPr>
          <w:t>ק"ת תשכ"ט מס' 2292</w:t>
        </w:r>
      </w:hyperlink>
      <w:r w:rsidRPr="002D63DB">
        <w:rPr>
          <w:rFonts w:cs="FrankRuehl" w:hint="cs"/>
          <w:vanish/>
          <w:szCs w:val="20"/>
          <w:shd w:val="clear" w:color="auto" w:fill="FFFF99"/>
          <w:rtl/>
        </w:rPr>
        <w:t xml:space="preserve"> מיום 4.10.1968 עמ' 40</w:t>
      </w:r>
    </w:p>
    <w:p w14:paraId="33541AE5" w14:textId="77777777" w:rsidR="00686876" w:rsidRPr="00A53E2F" w:rsidRDefault="00686876" w:rsidP="00A53E2F">
      <w:pPr>
        <w:pStyle w:val="P00"/>
        <w:spacing w:before="0"/>
        <w:ind w:left="0" w:right="1134"/>
        <w:rPr>
          <w:rFonts w:cs="FrankRuehl" w:hint="cs"/>
          <w:b/>
          <w:bCs/>
          <w:sz w:val="2"/>
          <w:szCs w:val="2"/>
          <w:rtl/>
        </w:rPr>
      </w:pPr>
      <w:r w:rsidRPr="002D63DB">
        <w:rPr>
          <w:rFonts w:cs="FrankRuehl" w:hint="cs"/>
          <w:b/>
          <w:bCs/>
          <w:vanish/>
          <w:szCs w:val="20"/>
          <w:shd w:val="clear" w:color="auto" w:fill="FFFF99"/>
          <w:rtl/>
        </w:rPr>
        <w:t>הוספת תקנה 13א</w:t>
      </w:r>
      <w:bookmarkEnd w:id="17"/>
    </w:p>
    <w:p w14:paraId="3C98A4D3" w14:textId="77777777" w:rsidR="00AC07F5" w:rsidRDefault="00AC07F5">
      <w:pPr>
        <w:pStyle w:val="P00"/>
        <w:spacing w:before="72"/>
        <w:ind w:left="0" w:right="1134"/>
        <w:rPr>
          <w:rStyle w:val="default"/>
          <w:rFonts w:cs="FrankRuehl"/>
          <w:rtl/>
        </w:rPr>
      </w:pPr>
      <w:bookmarkStart w:id="18" w:name="Seif14"/>
      <w:bookmarkEnd w:id="18"/>
      <w:r>
        <w:rPr>
          <w:lang w:val="he-IL"/>
        </w:rPr>
        <w:pict w14:anchorId="4F230938">
          <v:rect id="_x0000_s1040" style="position:absolute;left:0;text-align:left;margin-left:464.5pt;margin-top:8.05pt;width:75.05pt;height:24pt;z-index:251659264" o:allowincell="f" filled="f" stroked="f" strokecolor="lime" strokeweight=".25pt">
            <v:textbox style="mso-next-textbox:#_x0000_s1040" inset="0,0,0,0">
              <w:txbxContent>
                <w:p w14:paraId="01997F67" w14:textId="77777777" w:rsidR="00AC07F5" w:rsidRDefault="00AC07F5" w:rsidP="001B2917">
                  <w:pPr>
                    <w:spacing w:line="160" w:lineRule="exact"/>
                    <w:jc w:val="left"/>
                    <w:rPr>
                      <w:rFonts w:cs="Miriam"/>
                      <w:noProof/>
                      <w:sz w:val="18"/>
                      <w:szCs w:val="18"/>
                      <w:rtl/>
                    </w:rPr>
                  </w:pPr>
                  <w:r>
                    <w:rPr>
                      <w:rFonts w:cs="Miriam"/>
                      <w:sz w:val="18"/>
                      <w:szCs w:val="18"/>
                      <w:rtl/>
                    </w:rPr>
                    <w:t>הו</w:t>
                  </w:r>
                  <w:r>
                    <w:rPr>
                      <w:rFonts w:cs="Miriam" w:hint="cs"/>
                      <w:sz w:val="18"/>
                      <w:szCs w:val="18"/>
                      <w:rtl/>
                    </w:rPr>
                    <w:t>דעת צד</w:t>
                  </w:r>
                  <w:r w:rsidR="001B2917">
                    <w:rPr>
                      <w:rFonts w:cs="Miriam" w:hint="cs"/>
                      <w:sz w:val="18"/>
                      <w:szCs w:val="18"/>
                      <w:rtl/>
                    </w:rPr>
                    <w:t xml:space="preserve"> </w:t>
                  </w:r>
                  <w:r>
                    <w:rPr>
                      <w:rFonts w:cs="Miriam"/>
                      <w:sz w:val="18"/>
                      <w:szCs w:val="18"/>
                      <w:rtl/>
                    </w:rPr>
                    <w:t>של</w:t>
                  </w:r>
                  <w:r>
                    <w:rPr>
                      <w:rFonts w:cs="Miriam" w:hint="cs"/>
                      <w:sz w:val="18"/>
                      <w:szCs w:val="18"/>
                      <w:rtl/>
                    </w:rPr>
                    <w:t>ישי</w:t>
                  </w:r>
                </w:p>
                <w:p w14:paraId="78B9412C" w14:textId="77777777" w:rsidR="00AC07F5" w:rsidRDefault="00AC07F5" w:rsidP="001B2917">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sidR="001B2917">
                    <w:rPr>
                      <w:rFonts w:cs="Miriam" w:hint="cs"/>
                      <w:sz w:val="18"/>
                      <w:szCs w:val="18"/>
                      <w:rtl/>
                    </w:rPr>
                    <w:t>-</w:t>
                  </w:r>
                  <w:r>
                    <w:rPr>
                      <w:rFonts w:cs="Miriam"/>
                      <w:sz w:val="18"/>
                      <w:szCs w:val="18"/>
                      <w:rtl/>
                    </w:rPr>
                    <w:t>1970</w:t>
                  </w:r>
                </w:p>
              </w:txbxContent>
            </v:textbox>
            <w10:anchorlock/>
          </v:rect>
        </w:pict>
      </w:r>
      <w:r>
        <w:rPr>
          <w:rStyle w:val="big-number"/>
          <w:rFonts w:cs="Miriam"/>
          <w:rtl/>
        </w:rPr>
        <w:t>14.</w:t>
      </w:r>
      <w:r>
        <w:rPr>
          <w:rStyle w:val="big-number"/>
          <w:rFonts w:cs="Miriam"/>
          <w:rtl/>
        </w:rPr>
        <w:tab/>
      </w:r>
      <w:r>
        <w:rPr>
          <w:rStyle w:val="default"/>
          <w:rFonts w:cs="FrankRuehl"/>
          <w:rtl/>
        </w:rPr>
        <w:t>הו</w:t>
      </w:r>
      <w:r>
        <w:rPr>
          <w:rStyle w:val="default"/>
          <w:rFonts w:cs="FrankRuehl" w:hint="cs"/>
          <w:rtl/>
        </w:rPr>
        <w:t xml:space="preserve">ראות חלק י"ז לתקנות הכלליות יחולו בשינויים אלה: </w:t>
      </w:r>
    </w:p>
    <w:p w14:paraId="46F80021" w14:textId="77777777" w:rsidR="00AC07F5" w:rsidRDefault="001B2917" w:rsidP="002D63DB">
      <w:pPr>
        <w:pStyle w:val="P22"/>
        <w:tabs>
          <w:tab w:val="left" w:pos="624"/>
          <w:tab w:val="left" w:pos="1021"/>
        </w:tabs>
        <w:spacing w:before="72"/>
        <w:ind w:left="624" w:right="1134"/>
        <w:rPr>
          <w:rStyle w:val="default"/>
          <w:rFonts w:cs="FrankRuehl"/>
          <w:rtl/>
        </w:rPr>
      </w:pPr>
      <w:r>
        <w:rPr>
          <w:rFonts w:cs="FrankRuehl"/>
          <w:sz w:val="26"/>
          <w:rtl/>
          <w:lang w:eastAsia="en-US"/>
        </w:rPr>
        <w:pict w14:anchorId="0E258549">
          <v:shapetype id="_x0000_t202" coordsize="21600,21600" o:spt="202" path="m,l,21600r21600,l21600,xe">
            <v:stroke joinstyle="miter"/>
            <v:path gradientshapeok="t" o:connecttype="rect"/>
          </v:shapetype>
          <v:shape id="_x0000_s1056" type="#_x0000_t202" style="position:absolute;left:0;text-align:left;margin-left:470.25pt;margin-top:7.1pt;width:1in;height:12.05pt;z-index:251670528" filled="f" stroked="f">
            <v:textbox inset="1mm,0,1mm,0">
              <w:txbxContent>
                <w:p w14:paraId="5E94666B" w14:textId="77777777" w:rsidR="001B2917" w:rsidRDefault="001B2917" w:rsidP="001B2917">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1970</w:t>
                  </w:r>
                </w:p>
              </w:txbxContent>
            </v:textbox>
          </v:shape>
        </w:pict>
      </w:r>
      <w:r w:rsidR="00AC07F5">
        <w:rPr>
          <w:rStyle w:val="default"/>
          <w:rFonts w:cs="FrankRuehl"/>
          <w:rtl/>
        </w:rPr>
        <w:t>(1)</w:t>
      </w:r>
      <w:r w:rsidR="00AC07F5">
        <w:rPr>
          <w:rStyle w:val="default"/>
          <w:rFonts w:cs="FrankRuehl"/>
          <w:rtl/>
        </w:rPr>
        <w:tab/>
        <w:t>(</w:t>
      </w:r>
      <w:r w:rsidR="00AC07F5">
        <w:rPr>
          <w:rStyle w:val="default"/>
          <w:rFonts w:cs="FrankRuehl" w:hint="cs"/>
          <w:rtl/>
        </w:rPr>
        <w:t>בוטלה);</w:t>
      </w:r>
    </w:p>
    <w:p w14:paraId="3329C4C9" w14:textId="77777777" w:rsidR="00AC07F5" w:rsidRDefault="00AC07F5" w:rsidP="002D63D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ית הדין רשאי להרשות מסירת הודעה לצד שלישי בכל עת שלפני גמר הדיון, אם הדבר עשוי לחסוך הוצאות ו</w:t>
      </w:r>
      <w:r>
        <w:rPr>
          <w:rStyle w:val="default"/>
          <w:rFonts w:cs="FrankRuehl"/>
          <w:rtl/>
        </w:rPr>
        <w:t>אי</w:t>
      </w:r>
      <w:r>
        <w:rPr>
          <w:rStyle w:val="default"/>
          <w:rFonts w:cs="FrankRuehl" w:hint="cs"/>
          <w:rtl/>
        </w:rPr>
        <w:t>נו עלול להשהות את הדיון השהייה יתירה;</w:t>
      </w:r>
    </w:p>
    <w:p w14:paraId="646F21D8" w14:textId="77777777" w:rsidR="00AC07F5" w:rsidRDefault="00AC07F5" w:rsidP="002D63DB">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ית הדין רשאי להתיר לצד השלישי למסור את הגנתו בעל פה במועד שנקבע בהודעה, ולא להגישה בכתב; לא התייצב הצד השלישי, או הת</w:t>
      </w:r>
      <w:r>
        <w:rPr>
          <w:rStyle w:val="default"/>
          <w:rFonts w:cs="FrankRuehl"/>
          <w:rtl/>
        </w:rPr>
        <w:t>י</w:t>
      </w:r>
      <w:r>
        <w:rPr>
          <w:rStyle w:val="default"/>
          <w:rFonts w:cs="FrankRuehl" w:hint="cs"/>
          <w:rtl/>
        </w:rPr>
        <w:t xml:space="preserve">יצב ולא מסר כל הגנה, דינו כדין צד שלישי שלא הגיש הגנה בכתב. </w:t>
      </w:r>
    </w:p>
    <w:p w14:paraId="1672389C" w14:textId="77777777" w:rsidR="00686876" w:rsidRPr="002D63DB" w:rsidRDefault="00686876" w:rsidP="00686876">
      <w:pPr>
        <w:pStyle w:val="P00"/>
        <w:tabs>
          <w:tab w:val="clear" w:pos="6259"/>
        </w:tabs>
        <w:spacing w:before="0"/>
        <w:ind w:left="0" w:right="1134"/>
        <w:rPr>
          <w:rFonts w:cs="FrankRuehl" w:hint="cs"/>
          <w:vanish/>
          <w:szCs w:val="20"/>
          <w:shd w:val="clear" w:color="auto" w:fill="FFFF99"/>
          <w:rtl/>
        </w:rPr>
      </w:pPr>
      <w:bookmarkStart w:id="19" w:name="Rov32"/>
      <w:r w:rsidRPr="002D63DB">
        <w:rPr>
          <w:rFonts w:cs="FrankRuehl" w:hint="cs"/>
          <w:vanish/>
          <w:color w:val="FF0000"/>
          <w:szCs w:val="20"/>
          <w:shd w:val="clear" w:color="auto" w:fill="FFFF99"/>
          <w:rtl/>
        </w:rPr>
        <w:t>מיום 5.2.1970</w:t>
      </w:r>
    </w:p>
    <w:p w14:paraId="36F263AE" w14:textId="77777777" w:rsidR="00686876" w:rsidRPr="002D63DB" w:rsidRDefault="00686876" w:rsidP="00686876">
      <w:pPr>
        <w:pStyle w:val="P00"/>
        <w:spacing w:before="0"/>
        <w:ind w:left="0" w:right="1134"/>
        <w:rPr>
          <w:rFonts w:cs="FrankRuehl" w:hint="cs"/>
          <w:b/>
          <w:bCs/>
          <w:vanish/>
          <w:szCs w:val="20"/>
          <w:shd w:val="clear" w:color="auto" w:fill="FFFF99"/>
          <w:rtl/>
        </w:rPr>
      </w:pPr>
      <w:r w:rsidRPr="002D63DB">
        <w:rPr>
          <w:rFonts w:cs="FrankRuehl" w:hint="cs"/>
          <w:b/>
          <w:bCs/>
          <w:vanish/>
          <w:szCs w:val="20"/>
          <w:shd w:val="clear" w:color="auto" w:fill="FFFF99"/>
          <w:rtl/>
        </w:rPr>
        <w:t>תק' תש"ל-1970</w:t>
      </w:r>
    </w:p>
    <w:p w14:paraId="0BE6EE18" w14:textId="77777777" w:rsidR="00686876" w:rsidRPr="002D63DB" w:rsidRDefault="00686876" w:rsidP="00686876">
      <w:pPr>
        <w:pStyle w:val="P00"/>
        <w:spacing w:before="0"/>
        <w:ind w:left="0" w:right="1134"/>
        <w:rPr>
          <w:rFonts w:cs="FrankRuehl" w:hint="cs"/>
          <w:vanish/>
          <w:szCs w:val="20"/>
          <w:shd w:val="clear" w:color="auto" w:fill="FFFF99"/>
          <w:rtl/>
        </w:rPr>
      </w:pPr>
      <w:hyperlink r:id="rId10" w:history="1">
        <w:r w:rsidRPr="002D63DB">
          <w:rPr>
            <w:rStyle w:val="Hyperlink"/>
            <w:rFonts w:cs="FrankRuehl" w:hint="cs"/>
            <w:vanish/>
            <w:szCs w:val="20"/>
            <w:shd w:val="clear" w:color="auto" w:fill="FFFF99"/>
            <w:rtl/>
          </w:rPr>
          <w:t>ק"ת תש"ל מס' 2518</w:t>
        </w:r>
      </w:hyperlink>
      <w:r w:rsidRPr="002D63DB">
        <w:rPr>
          <w:rFonts w:cs="FrankRuehl" w:hint="cs"/>
          <w:vanish/>
          <w:szCs w:val="20"/>
          <w:shd w:val="clear" w:color="auto" w:fill="FFFF99"/>
          <w:rtl/>
        </w:rPr>
        <w:t xml:space="preserve"> מיום 5.2.1970 עמ' 994</w:t>
      </w:r>
    </w:p>
    <w:p w14:paraId="3548C711" w14:textId="77777777" w:rsidR="00686876" w:rsidRPr="002D63DB" w:rsidRDefault="00686876" w:rsidP="00686876">
      <w:pPr>
        <w:pStyle w:val="P00"/>
        <w:ind w:left="0" w:right="1134"/>
        <w:rPr>
          <w:rStyle w:val="default"/>
          <w:rFonts w:cs="FrankRuehl"/>
          <w:vanish/>
          <w:sz w:val="22"/>
          <w:szCs w:val="22"/>
          <w:shd w:val="clear" w:color="auto" w:fill="FFFF99"/>
          <w:rtl/>
        </w:rPr>
      </w:pPr>
      <w:r w:rsidRPr="002D63DB">
        <w:rPr>
          <w:rStyle w:val="big-number"/>
          <w:rFonts w:cs="FrankRuehl"/>
          <w:vanish/>
          <w:sz w:val="22"/>
          <w:szCs w:val="22"/>
          <w:shd w:val="clear" w:color="auto" w:fill="FFFF99"/>
          <w:rtl/>
        </w:rPr>
        <w:t>14.</w:t>
      </w:r>
      <w:r w:rsidRPr="002D63DB">
        <w:rPr>
          <w:rStyle w:val="big-number"/>
          <w:rFonts w:cs="FrankRuehl"/>
          <w:vanish/>
          <w:sz w:val="22"/>
          <w:szCs w:val="22"/>
          <w:shd w:val="clear" w:color="auto" w:fill="FFFF99"/>
          <w:rtl/>
        </w:rPr>
        <w:tab/>
      </w:r>
      <w:r w:rsidRPr="002D63DB">
        <w:rPr>
          <w:rStyle w:val="default"/>
          <w:rFonts w:cs="FrankRuehl" w:hint="cs"/>
          <w:strike/>
          <w:vanish/>
          <w:sz w:val="22"/>
          <w:szCs w:val="22"/>
          <w:shd w:val="clear" w:color="auto" w:fill="FFFF99"/>
          <w:rtl/>
        </w:rPr>
        <w:t>הוראות חלק ט"ז לתקנות הפרוצידורה בבתי משפט שלום, 1940, יחולו בשינויים אלה:</w:t>
      </w:r>
      <w:r w:rsidRPr="002D63DB">
        <w:rPr>
          <w:rStyle w:val="default"/>
          <w:rFonts w:cs="FrankRuehl" w:hint="cs"/>
          <w:vanish/>
          <w:sz w:val="22"/>
          <w:szCs w:val="22"/>
          <w:shd w:val="clear" w:color="auto" w:fill="FFFF99"/>
          <w:rtl/>
        </w:rPr>
        <w:t xml:space="preserve"> </w:t>
      </w:r>
      <w:r w:rsidRPr="002D63DB">
        <w:rPr>
          <w:rStyle w:val="default"/>
          <w:rFonts w:cs="FrankRuehl"/>
          <w:vanish/>
          <w:sz w:val="22"/>
          <w:szCs w:val="22"/>
          <w:u w:val="single"/>
          <w:shd w:val="clear" w:color="auto" w:fill="FFFF99"/>
          <w:rtl/>
        </w:rPr>
        <w:t>הו</w:t>
      </w:r>
      <w:r w:rsidRPr="002D63DB">
        <w:rPr>
          <w:rStyle w:val="default"/>
          <w:rFonts w:cs="FrankRuehl" w:hint="cs"/>
          <w:vanish/>
          <w:sz w:val="22"/>
          <w:szCs w:val="22"/>
          <w:u w:val="single"/>
          <w:shd w:val="clear" w:color="auto" w:fill="FFFF99"/>
          <w:rtl/>
        </w:rPr>
        <w:t xml:space="preserve">ראות חלק י"ז לתקנות הכלליות יחולו בשינויים אלה: </w:t>
      </w:r>
    </w:p>
    <w:p w14:paraId="4409A16E" w14:textId="77777777" w:rsidR="00686876" w:rsidRPr="002D63DB" w:rsidRDefault="00686876" w:rsidP="002D63DB">
      <w:pPr>
        <w:pStyle w:val="P22"/>
        <w:tabs>
          <w:tab w:val="left" w:pos="624"/>
          <w:tab w:val="left" w:pos="1021"/>
        </w:tabs>
        <w:spacing w:before="0"/>
        <w:ind w:left="624" w:right="1134"/>
        <w:rPr>
          <w:rStyle w:val="default"/>
          <w:rFonts w:cs="FrankRuehl"/>
          <w:strike/>
          <w:vanish/>
          <w:sz w:val="22"/>
          <w:szCs w:val="22"/>
          <w:shd w:val="clear" w:color="auto" w:fill="FFFF99"/>
          <w:rtl/>
        </w:rPr>
      </w:pPr>
      <w:r w:rsidRPr="002D63DB">
        <w:rPr>
          <w:rStyle w:val="default"/>
          <w:rFonts w:cs="FrankRuehl"/>
          <w:strike/>
          <w:vanish/>
          <w:sz w:val="22"/>
          <w:szCs w:val="22"/>
          <w:shd w:val="clear" w:color="auto" w:fill="FFFF99"/>
          <w:rtl/>
        </w:rPr>
        <w:t>(1)</w:t>
      </w:r>
      <w:r w:rsidRPr="002D63DB">
        <w:rPr>
          <w:rStyle w:val="default"/>
          <w:rFonts w:cs="FrankRuehl"/>
          <w:strike/>
          <w:vanish/>
          <w:sz w:val="22"/>
          <w:szCs w:val="22"/>
          <w:shd w:val="clear" w:color="auto" w:fill="FFFF99"/>
          <w:rtl/>
        </w:rPr>
        <w:tab/>
      </w:r>
      <w:r w:rsidRPr="002D63DB">
        <w:rPr>
          <w:rStyle w:val="default"/>
          <w:rFonts w:cs="FrankRuehl" w:hint="cs"/>
          <w:strike/>
          <w:vanish/>
          <w:sz w:val="22"/>
          <w:szCs w:val="22"/>
          <w:shd w:val="clear" w:color="auto" w:fill="FFFF99"/>
          <w:rtl/>
        </w:rPr>
        <w:t>ההוראות יחולו על תביעת פיצויים מאת צד שלישי, יהיה שוויו של נושא התביעה המקורית אשר יהיה;</w:t>
      </w:r>
    </w:p>
    <w:p w14:paraId="4082D306" w14:textId="77777777" w:rsidR="00686876" w:rsidRPr="002D63DB" w:rsidRDefault="00686876" w:rsidP="002D63DB">
      <w:pPr>
        <w:pStyle w:val="P22"/>
        <w:tabs>
          <w:tab w:val="left" w:pos="624"/>
          <w:tab w:val="left" w:pos="1021"/>
        </w:tabs>
        <w:spacing w:before="0"/>
        <w:ind w:left="624" w:right="1134"/>
        <w:rPr>
          <w:rStyle w:val="default"/>
          <w:rFonts w:cs="FrankRuehl"/>
          <w:vanish/>
          <w:sz w:val="22"/>
          <w:szCs w:val="22"/>
          <w:shd w:val="clear" w:color="auto" w:fill="FFFF99"/>
          <w:rtl/>
        </w:rPr>
      </w:pPr>
      <w:r w:rsidRPr="002D63DB">
        <w:rPr>
          <w:rStyle w:val="default"/>
          <w:rFonts w:cs="FrankRuehl" w:hint="cs"/>
          <w:vanish/>
          <w:sz w:val="22"/>
          <w:szCs w:val="22"/>
          <w:shd w:val="clear" w:color="auto" w:fill="FFFF99"/>
          <w:rtl/>
        </w:rPr>
        <w:t>(2)</w:t>
      </w:r>
      <w:r w:rsidRPr="002D63DB">
        <w:rPr>
          <w:rStyle w:val="default"/>
          <w:rFonts w:cs="FrankRuehl"/>
          <w:vanish/>
          <w:sz w:val="22"/>
          <w:szCs w:val="22"/>
          <w:shd w:val="clear" w:color="auto" w:fill="FFFF99"/>
          <w:rtl/>
        </w:rPr>
        <w:tab/>
        <w:t>ב</w:t>
      </w:r>
      <w:r w:rsidRPr="002D63DB">
        <w:rPr>
          <w:rStyle w:val="default"/>
          <w:rFonts w:cs="FrankRuehl" w:hint="cs"/>
          <w:vanish/>
          <w:sz w:val="22"/>
          <w:szCs w:val="22"/>
          <w:shd w:val="clear" w:color="auto" w:fill="FFFF99"/>
          <w:rtl/>
        </w:rPr>
        <w:t>ית הדין רשאי להרשות מסירת הודעה לצד שלישי בכל עת שלפני גמר הדיון, אם הדבר עשוי לחסוך הוצאות ו</w:t>
      </w:r>
      <w:r w:rsidRPr="002D63DB">
        <w:rPr>
          <w:rStyle w:val="default"/>
          <w:rFonts w:cs="FrankRuehl"/>
          <w:vanish/>
          <w:sz w:val="22"/>
          <w:szCs w:val="22"/>
          <w:shd w:val="clear" w:color="auto" w:fill="FFFF99"/>
          <w:rtl/>
        </w:rPr>
        <w:t>אי</w:t>
      </w:r>
      <w:r w:rsidRPr="002D63DB">
        <w:rPr>
          <w:rStyle w:val="default"/>
          <w:rFonts w:cs="FrankRuehl" w:hint="cs"/>
          <w:vanish/>
          <w:sz w:val="22"/>
          <w:szCs w:val="22"/>
          <w:shd w:val="clear" w:color="auto" w:fill="FFFF99"/>
          <w:rtl/>
        </w:rPr>
        <w:t>נו עלול להשהות את הדיון השהייה יתירה;</w:t>
      </w:r>
    </w:p>
    <w:p w14:paraId="75E673C1" w14:textId="77777777" w:rsidR="00686876" w:rsidRPr="00A53E2F" w:rsidRDefault="00686876" w:rsidP="002D63DB">
      <w:pPr>
        <w:pStyle w:val="P22"/>
        <w:tabs>
          <w:tab w:val="left" w:pos="624"/>
          <w:tab w:val="left" w:pos="1021"/>
        </w:tabs>
        <w:spacing w:before="0"/>
        <w:ind w:left="624" w:right="1134"/>
        <w:rPr>
          <w:rStyle w:val="default"/>
          <w:rFonts w:cs="FrankRuehl" w:hint="cs"/>
          <w:sz w:val="2"/>
          <w:szCs w:val="2"/>
          <w:rtl/>
        </w:rPr>
      </w:pPr>
      <w:r w:rsidRPr="002D63DB">
        <w:rPr>
          <w:rStyle w:val="default"/>
          <w:rFonts w:cs="FrankRuehl" w:hint="cs"/>
          <w:vanish/>
          <w:sz w:val="22"/>
          <w:szCs w:val="22"/>
          <w:shd w:val="clear" w:color="auto" w:fill="FFFF99"/>
          <w:rtl/>
        </w:rPr>
        <w:t>(3)</w:t>
      </w:r>
      <w:r w:rsidRPr="002D63DB">
        <w:rPr>
          <w:rStyle w:val="default"/>
          <w:rFonts w:cs="FrankRuehl"/>
          <w:vanish/>
          <w:sz w:val="22"/>
          <w:szCs w:val="22"/>
          <w:shd w:val="clear" w:color="auto" w:fill="FFFF99"/>
          <w:rtl/>
        </w:rPr>
        <w:tab/>
        <w:t>ב</w:t>
      </w:r>
      <w:r w:rsidRPr="002D63DB">
        <w:rPr>
          <w:rStyle w:val="default"/>
          <w:rFonts w:cs="FrankRuehl" w:hint="cs"/>
          <w:vanish/>
          <w:sz w:val="22"/>
          <w:szCs w:val="22"/>
          <w:shd w:val="clear" w:color="auto" w:fill="FFFF99"/>
          <w:rtl/>
        </w:rPr>
        <w:t>ית הדין רשאי להתיר לצד השלישי למסור את הגנתו בעל פה במועד שנקבע בהודעה, ולא להגישה בכתב; לא התייצב הצד השלישי, או הת</w:t>
      </w:r>
      <w:r w:rsidRPr="002D63DB">
        <w:rPr>
          <w:rStyle w:val="default"/>
          <w:rFonts w:cs="FrankRuehl"/>
          <w:vanish/>
          <w:sz w:val="22"/>
          <w:szCs w:val="22"/>
          <w:shd w:val="clear" w:color="auto" w:fill="FFFF99"/>
          <w:rtl/>
        </w:rPr>
        <w:t>י</w:t>
      </w:r>
      <w:r w:rsidRPr="002D63DB">
        <w:rPr>
          <w:rStyle w:val="default"/>
          <w:rFonts w:cs="FrankRuehl" w:hint="cs"/>
          <w:vanish/>
          <w:sz w:val="22"/>
          <w:szCs w:val="22"/>
          <w:shd w:val="clear" w:color="auto" w:fill="FFFF99"/>
          <w:rtl/>
        </w:rPr>
        <w:t xml:space="preserve">יצב ולא מסר כל הגנה, דינו כדין צד שלישי שלא הגיש הגנה בכתב. </w:t>
      </w:r>
      <w:bookmarkEnd w:id="19"/>
    </w:p>
    <w:p w14:paraId="24F3A681" w14:textId="77777777" w:rsidR="00AC07F5" w:rsidRDefault="00AC07F5">
      <w:pPr>
        <w:pStyle w:val="P00"/>
        <w:spacing w:before="72"/>
        <w:ind w:left="0" w:right="1134"/>
        <w:rPr>
          <w:rStyle w:val="default"/>
          <w:rFonts w:cs="FrankRuehl" w:hint="cs"/>
          <w:rtl/>
        </w:rPr>
      </w:pPr>
      <w:bookmarkStart w:id="20" w:name="Seif15"/>
      <w:bookmarkEnd w:id="20"/>
      <w:r>
        <w:rPr>
          <w:lang w:val="he-IL"/>
        </w:rPr>
        <w:pict w14:anchorId="5076F020">
          <v:rect id="_x0000_s1041" style="position:absolute;left:0;text-align:left;margin-left:464.5pt;margin-top:8.05pt;width:75.05pt;height:24pt;z-index:251660288" o:allowincell="f" filled="f" stroked="f" strokecolor="lime" strokeweight=".25pt">
            <v:textbox inset="0,0,0,0">
              <w:txbxContent>
                <w:p w14:paraId="636D7B2D" w14:textId="77777777" w:rsidR="00AC07F5" w:rsidRDefault="00AC07F5" w:rsidP="001B2917">
                  <w:pPr>
                    <w:spacing w:line="160" w:lineRule="exact"/>
                    <w:jc w:val="left"/>
                    <w:rPr>
                      <w:rFonts w:cs="Miriam"/>
                      <w:noProof/>
                      <w:sz w:val="18"/>
                      <w:szCs w:val="18"/>
                      <w:rtl/>
                    </w:rPr>
                  </w:pPr>
                  <w:r>
                    <w:rPr>
                      <w:rFonts w:cs="Miriam"/>
                      <w:sz w:val="18"/>
                      <w:szCs w:val="18"/>
                      <w:rtl/>
                    </w:rPr>
                    <w:t>סע</w:t>
                  </w:r>
                  <w:r>
                    <w:rPr>
                      <w:rFonts w:cs="Miriam" w:hint="cs"/>
                      <w:sz w:val="18"/>
                      <w:szCs w:val="18"/>
                      <w:rtl/>
                    </w:rPr>
                    <w:t>ד בדרך</w:t>
                  </w:r>
                  <w:r w:rsidR="001B2917">
                    <w:rPr>
                      <w:rFonts w:cs="Miriam" w:hint="cs"/>
                      <w:sz w:val="18"/>
                      <w:szCs w:val="18"/>
                      <w:rtl/>
                    </w:rPr>
                    <w:t xml:space="preserve"> </w:t>
                  </w:r>
                  <w:r>
                    <w:rPr>
                      <w:rFonts w:cs="Miriam"/>
                      <w:sz w:val="18"/>
                      <w:szCs w:val="18"/>
                      <w:rtl/>
                    </w:rPr>
                    <w:t>טע</w:t>
                  </w:r>
                  <w:r>
                    <w:rPr>
                      <w:rFonts w:cs="Miriam" w:hint="cs"/>
                      <w:sz w:val="18"/>
                      <w:szCs w:val="18"/>
                      <w:rtl/>
                    </w:rPr>
                    <w:t xml:space="preserve">ן </w:t>
                  </w:r>
                  <w:r>
                    <w:rPr>
                      <w:rFonts w:cs="Miriam"/>
                      <w:sz w:val="18"/>
                      <w:szCs w:val="18"/>
                      <w:rtl/>
                    </w:rPr>
                    <w:t>בי</w:t>
                  </w:r>
                  <w:r>
                    <w:rPr>
                      <w:rFonts w:cs="Miriam" w:hint="cs"/>
                      <w:sz w:val="18"/>
                      <w:szCs w:val="18"/>
                      <w:rtl/>
                    </w:rPr>
                    <w:t>ניים</w:t>
                  </w:r>
                </w:p>
                <w:p w14:paraId="7A1B5053" w14:textId="77777777" w:rsidR="00AC07F5" w:rsidRDefault="00AC07F5" w:rsidP="001B2917">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sidR="001B2917">
                    <w:rPr>
                      <w:rFonts w:cs="Miriam" w:hint="cs"/>
                      <w:sz w:val="18"/>
                      <w:szCs w:val="18"/>
                      <w:rtl/>
                    </w:rPr>
                    <w:t>-</w:t>
                  </w:r>
                  <w:r>
                    <w:rPr>
                      <w:rFonts w:cs="Miriam"/>
                      <w:sz w:val="18"/>
                      <w:szCs w:val="18"/>
                      <w:rtl/>
                    </w:rPr>
                    <w:t>1970</w:t>
                  </w:r>
                </w:p>
              </w:txbxContent>
            </v:textbox>
            <w10:anchorlock/>
          </v:rect>
        </w:pict>
      </w:r>
      <w:r>
        <w:rPr>
          <w:rStyle w:val="big-number"/>
          <w:rFonts w:cs="Miriam"/>
          <w:rtl/>
        </w:rPr>
        <w:t>15.</w:t>
      </w:r>
      <w:r>
        <w:rPr>
          <w:rStyle w:val="big-number"/>
          <w:rFonts w:cs="Miriam"/>
          <w:rtl/>
        </w:rPr>
        <w:tab/>
      </w:r>
      <w:r>
        <w:rPr>
          <w:rStyle w:val="default"/>
          <w:rFonts w:cs="FrankRuehl"/>
          <w:rtl/>
        </w:rPr>
        <w:t>לעני</w:t>
      </w:r>
      <w:r>
        <w:rPr>
          <w:rStyle w:val="default"/>
          <w:rFonts w:cs="FrankRuehl" w:hint="cs"/>
          <w:rtl/>
        </w:rPr>
        <w:t xml:space="preserve">ן בקשת סעד בדרך טען ביניים יחולו הוראות פרק י"ח לתקנות הכלליות. </w:t>
      </w:r>
    </w:p>
    <w:p w14:paraId="32477237" w14:textId="77777777" w:rsidR="00A53E2F" w:rsidRPr="002D63DB" w:rsidRDefault="00A53E2F" w:rsidP="00A53E2F">
      <w:pPr>
        <w:pStyle w:val="P00"/>
        <w:tabs>
          <w:tab w:val="clear" w:pos="6259"/>
        </w:tabs>
        <w:spacing w:before="0"/>
        <w:ind w:left="0" w:right="1134"/>
        <w:rPr>
          <w:rFonts w:cs="FrankRuehl" w:hint="cs"/>
          <w:vanish/>
          <w:szCs w:val="20"/>
          <w:shd w:val="clear" w:color="auto" w:fill="FFFF99"/>
          <w:rtl/>
        </w:rPr>
      </w:pPr>
      <w:bookmarkStart w:id="21" w:name="Rov33"/>
      <w:r w:rsidRPr="002D63DB">
        <w:rPr>
          <w:rFonts w:cs="FrankRuehl" w:hint="cs"/>
          <w:vanish/>
          <w:color w:val="FF0000"/>
          <w:szCs w:val="20"/>
          <w:shd w:val="clear" w:color="auto" w:fill="FFFF99"/>
          <w:rtl/>
        </w:rPr>
        <w:t>מיום 5.2.1970</w:t>
      </w:r>
    </w:p>
    <w:p w14:paraId="79F5692A" w14:textId="77777777" w:rsidR="00A53E2F" w:rsidRPr="002D63DB" w:rsidRDefault="00A53E2F" w:rsidP="00A53E2F">
      <w:pPr>
        <w:pStyle w:val="P00"/>
        <w:spacing w:before="0"/>
        <w:ind w:left="0" w:right="1134"/>
        <w:rPr>
          <w:rFonts w:cs="FrankRuehl" w:hint="cs"/>
          <w:b/>
          <w:bCs/>
          <w:vanish/>
          <w:szCs w:val="20"/>
          <w:shd w:val="clear" w:color="auto" w:fill="FFFF99"/>
          <w:rtl/>
        </w:rPr>
      </w:pPr>
      <w:r w:rsidRPr="002D63DB">
        <w:rPr>
          <w:rFonts w:cs="FrankRuehl" w:hint="cs"/>
          <w:b/>
          <w:bCs/>
          <w:vanish/>
          <w:szCs w:val="20"/>
          <w:shd w:val="clear" w:color="auto" w:fill="FFFF99"/>
          <w:rtl/>
        </w:rPr>
        <w:t>תק' תש"ל-1970</w:t>
      </w:r>
    </w:p>
    <w:p w14:paraId="56D07182" w14:textId="77777777" w:rsidR="00A53E2F" w:rsidRPr="002D63DB" w:rsidRDefault="00A53E2F" w:rsidP="00A53E2F">
      <w:pPr>
        <w:pStyle w:val="P00"/>
        <w:spacing w:before="0"/>
        <w:ind w:left="0" w:right="1134"/>
        <w:rPr>
          <w:rFonts w:cs="FrankRuehl" w:hint="cs"/>
          <w:vanish/>
          <w:szCs w:val="20"/>
          <w:shd w:val="clear" w:color="auto" w:fill="FFFF99"/>
          <w:rtl/>
        </w:rPr>
      </w:pPr>
      <w:hyperlink r:id="rId11" w:history="1">
        <w:r w:rsidRPr="002D63DB">
          <w:rPr>
            <w:rStyle w:val="Hyperlink"/>
            <w:rFonts w:cs="FrankRuehl" w:hint="cs"/>
            <w:vanish/>
            <w:szCs w:val="20"/>
            <w:shd w:val="clear" w:color="auto" w:fill="FFFF99"/>
            <w:rtl/>
          </w:rPr>
          <w:t>ק"ת תש"ל מס' 2518</w:t>
        </w:r>
      </w:hyperlink>
      <w:r w:rsidRPr="002D63DB">
        <w:rPr>
          <w:rFonts w:cs="FrankRuehl" w:hint="cs"/>
          <w:vanish/>
          <w:szCs w:val="20"/>
          <w:shd w:val="clear" w:color="auto" w:fill="FFFF99"/>
          <w:rtl/>
        </w:rPr>
        <w:t xml:space="preserve"> מיום 5.2.1970 עמ' 994</w:t>
      </w:r>
    </w:p>
    <w:p w14:paraId="159F6ECE" w14:textId="77777777" w:rsidR="00A53E2F" w:rsidRPr="002D63DB" w:rsidRDefault="00A53E2F" w:rsidP="00A53E2F">
      <w:pPr>
        <w:pStyle w:val="P00"/>
        <w:spacing w:before="0"/>
        <w:ind w:left="0" w:right="1134"/>
        <w:rPr>
          <w:rFonts w:cs="FrankRuehl" w:hint="cs"/>
          <w:b/>
          <w:bCs/>
          <w:vanish/>
          <w:szCs w:val="20"/>
          <w:shd w:val="clear" w:color="auto" w:fill="FFFF99"/>
          <w:rtl/>
        </w:rPr>
      </w:pPr>
      <w:r w:rsidRPr="002D63DB">
        <w:rPr>
          <w:rFonts w:cs="FrankRuehl" w:hint="cs"/>
          <w:b/>
          <w:bCs/>
          <w:vanish/>
          <w:szCs w:val="20"/>
          <w:shd w:val="clear" w:color="auto" w:fill="FFFF99"/>
          <w:rtl/>
        </w:rPr>
        <w:t>החלפת תקנה 15</w:t>
      </w:r>
    </w:p>
    <w:p w14:paraId="206AA1DD" w14:textId="77777777" w:rsidR="00A53E2F" w:rsidRPr="002D63DB" w:rsidRDefault="00A53E2F" w:rsidP="00A53E2F">
      <w:pPr>
        <w:pStyle w:val="P00"/>
        <w:ind w:left="0" w:right="1134"/>
        <w:rPr>
          <w:rFonts w:cs="FrankRuehl" w:hint="cs"/>
          <w:vanish/>
          <w:szCs w:val="20"/>
          <w:shd w:val="clear" w:color="auto" w:fill="FFFF99"/>
          <w:rtl/>
        </w:rPr>
      </w:pPr>
      <w:r w:rsidRPr="002D63DB">
        <w:rPr>
          <w:rFonts w:cs="FrankRuehl" w:hint="cs"/>
          <w:vanish/>
          <w:szCs w:val="20"/>
          <w:shd w:val="clear" w:color="auto" w:fill="FFFF99"/>
          <w:rtl/>
        </w:rPr>
        <w:t>הנוסח הקודם:</w:t>
      </w:r>
    </w:p>
    <w:p w14:paraId="35D06AA3" w14:textId="77777777" w:rsidR="00A53E2F" w:rsidRPr="002D63DB" w:rsidRDefault="00A53E2F" w:rsidP="00A53E2F">
      <w:pPr>
        <w:pStyle w:val="P00"/>
        <w:spacing w:before="20"/>
        <w:ind w:left="0" w:right="1134"/>
        <w:rPr>
          <w:rFonts w:cs="Miriam" w:hint="cs"/>
          <w:strike/>
          <w:vanish/>
          <w:sz w:val="16"/>
          <w:szCs w:val="16"/>
          <w:shd w:val="clear" w:color="auto" w:fill="FFFF99"/>
          <w:rtl/>
        </w:rPr>
      </w:pPr>
      <w:r w:rsidRPr="002D63DB">
        <w:rPr>
          <w:rFonts w:cs="Miriam" w:hint="cs"/>
          <w:strike/>
          <w:vanish/>
          <w:sz w:val="16"/>
          <w:szCs w:val="16"/>
          <w:shd w:val="clear" w:color="auto" w:fill="FFFF99"/>
          <w:rtl/>
        </w:rPr>
        <w:t>סעד בדרך ביניים</w:t>
      </w:r>
    </w:p>
    <w:p w14:paraId="1797B068" w14:textId="77777777" w:rsidR="00A53E2F" w:rsidRPr="00A53E2F" w:rsidRDefault="00A53E2F" w:rsidP="00A53E2F">
      <w:pPr>
        <w:pStyle w:val="P00"/>
        <w:spacing w:before="0"/>
        <w:ind w:left="0" w:right="1134"/>
        <w:rPr>
          <w:rStyle w:val="default"/>
          <w:rFonts w:cs="FrankRuehl" w:hint="cs"/>
          <w:strike/>
          <w:sz w:val="2"/>
          <w:szCs w:val="2"/>
          <w:rtl/>
        </w:rPr>
      </w:pPr>
      <w:r w:rsidRPr="002D63DB">
        <w:rPr>
          <w:rFonts w:cs="FrankRuehl" w:hint="cs"/>
          <w:strike/>
          <w:vanish/>
          <w:sz w:val="22"/>
          <w:szCs w:val="22"/>
          <w:shd w:val="clear" w:color="auto" w:fill="FFFF99"/>
          <w:rtl/>
        </w:rPr>
        <w:t>15.</w:t>
      </w:r>
      <w:r w:rsidRPr="002D63DB">
        <w:rPr>
          <w:rFonts w:cs="FrankRuehl" w:hint="cs"/>
          <w:strike/>
          <w:vanish/>
          <w:sz w:val="22"/>
          <w:szCs w:val="22"/>
          <w:shd w:val="clear" w:color="auto" w:fill="FFFF99"/>
          <w:rtl/>
        </w:rPr>
        <w:tab/>
      </w:r>
      <w:r w:rsidRPr="002D63DB">
        <w:rPr>
          <w:rStyle w:val="default"/>
          <w:rFonts w:cs="FrankRuehl" w:hint="cs"/>
          <w:strike/>
          <w:vanish/>
          <w:sz w:val="22"/>
          <w:szCs w:val="22"/>
          <w:shd w:val="clear" w:color="auto" w:fill="FFFF99"/>
          <w:rtl/>
        </w:rPr>
        <w:t>הוראות חלק י"ח לתקנות הפרוצידורה בבתי משפט שלום, 1940, יחולו, יהיה שוויו של הענין אשר יהיה.</w:t>
      </w:r>
      <w:bookmarkEnd w:id="21"/>
    </w:p>
    <w:p w14:paraId="31573A4F" w14:textId="77777777" w:rsidR="00AC07F5" w:rsidRDefault="00AC07F5">
      <w:pPr>
        <w:pStyle w:val="P00"/>
        <w:spacing w:before="72"/>
        <w:ind w:left="0" w:right="1134"/>
        <w:rPr>
          <w:rStyle w:val="default"/>
          <w:rFonts w:cs="FrankRuehl" w:hint="cs"/>
          <w:rtl/>
        </w:rPr>
      </w:pPr>
      <w:bookmarkStart w:id="22" w:name="Seif16"/>
      <w:bookmarkEnd w:id="22"/>
      <w:r>
        <w:rPr>
          <w:lang w:val="he-IL"/>
        </w:rPr>
        <w:pict w14:anchorId="7DE6D4B6">
          <v:rect id="_x0000_s1042" style="position:absolute;left:0;text-align:left;margin-left:464.5pt;margin-top:8.05pt;width:75.05pt;height:19.9pt;z-index:251661312" o:allowincell="f" filled="f" stroked="f" strokecolor="lime" strokeweight=".25pt">
            <v:textbox inset="0,0,0,0">
              <w:txbxContent>
                <w:p w14:paraId="732C5838" w14:textId="77777777" w:rsidR="00AC07F5" w:rsidRDefault="00AC07F5">
                  <w:pPr>
                    <w:spacing w:line="160" w:lineRule="exact"/>
                    <w:jc w:val="left"/>
                    <w:rPr>
                      <w:rFonts w:cs="Miriam"/>
                      <w:noProof/>
                      <w:sz w:val="18"/>
                      <w:szCs w:val="18"/>
                      <w:rtl/>
                    </w:rPr>
                  </w:pPr>
                  <w:r>
                    <w:rPr>
                      <w:rFonts w:cs="Miriam"/>
                      <w:sz w:val="18"/>
                      <w:szCs w:val="18"/>
                      <w:rtl/>
                    </w:rPr>
                    <w:t>בק</w:t>
                  </w:r>
                  <w:r>
                    <w:rPr>
                      <w:rFonts w:cs="Miriam" w:hint="cs"/>
                      <w:sz w:val="18"/>
                      <w:szCs w:val="18"/>
                      <w:rtl/>
                    </w:rPr>
                    <w:t>שות בעל פה</w:t>
                  </w:r>
                </w:p>
                <w:p w14:paraId="07415847" w14:textId="77777777" w:rsidR="00AC07F5" w:rsidRDefault="00AC07F5" w:rsidP="001B2917">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sidR="001B2917">
                    <w:rPr>
                      <w:rFonts w:cs="Miriam" w:hint="cs"/>
                      <w:sz w:val="18"/>
                      <w:szCs w:val="18"/>
                      <w:rtl/>
                    </w:rPr>
                    <w:t>-</w:t>
                  </w:r>
                  <w:r>
                    <w:rPr>
                      <w:rFonts w:cs="Miriam"/>
                      <w:sz w:val="18"/>
                      <w:szCs w:val="18"/>
                      <w:rtl/>
                    </w:rPr>
                    <w:t>1970</w:t>
                  </w:r>
                </w:p>
              </w:txbxContent>
            </v:textbox>
            <w10:anchorlock/>
          </v:rect>
        </w:pict>
      </w:r>
      <w:r>
        <w:rPr>
          <w:rStyle w:val="big-number"/>
          <w:rFonts w:cs="Miriam"/>
          <w:rtl/>
        </w:rPr>
        <w:t>16.</w:t>
      </w:r>
      <w:r>
        <w:rPr>
          <w:rStyle w:val="big-number"/>
          <w:rFonts w:cs="Miriam"/>
          <w:rtl/>
        </w:rPr>
        <w:tab/>
      </w:r>
      <w:r>
        <w:rPr>
          <w:rStyle w:val="default"/>
          <w:rFonts w:cs="FrankRuehl"/>
          <w:rtl/>
        </w:rPr>
        <w:t>על</w:t>
      </w:r>
      <w:r>
        <w:rPr>
          <w:rStyle w:val="default"/>
          <w:rFonts w:cs="FrankRuehl" w:hint="cs"/>
          <w:rtl/>
        </w:rPr>
        <w:t xml:space="preserve"> אף האמור בפרק י"ט, סימן א' לתקנות הכלליות רשאי בית הדין לברר בקשת ביניים גם אם הוגשה לו בעל פה בשעת הדיון בתובענה או בבקשה, אם ראה שהבירור יחיש את הדיון, יחסוך הוצאות וגם יאפשר למשי</w:t>
      </w:r>
      <w:r>
        <w:rPr>
          <w:rStyle w:val="default"/>
          <w:rFonts w:cs="FrankRuehl"/>
          <w:rtl/>
        </w:rPr>
        <w:t xml:space="preserve">ב </w:t>
      </w:r>
      <w:r>
        <w:rPr>
          <w:rStyle w:val="default"/>
          <w:rFonts w:cs="FrankRuehl" w:hint="cs"/>
          <w:rtl/>
        </w:rPr>
        <w:t xml:space="preserve">להתגונן בדרך נאותה. </w:t>
      </w:r>
    </w:p>
    <w:p w14:paraId="7A64A8D6" w14:textId="77777777" w:rsidR="00A53E2F" w:rsidRPr="002D63DB" w:rsidRDefault="00A53E2F" w:rsidP="00A53E2F">
      <w:pPr>
        <w:pStyle w:val="P00"/>
        <w:tabs>
          <w:tab w:val="clear" w:pos="6259"/>
        </w:tabs>
        <w:spacing w:before="0"/>
        <w:ind w:left="0" w:right="1134"/>
        <w:rPr>
          <w:rFonts w:cs="FrankRuehl" w:hint="cs"/>
          <w:vanish/>
          <w:szCs w:val="20"/>
          <w:shd w:val="clear" w:color="auto" w:fill="FFFF99"/>
          <w:rtl/>
        </w:rPr>
      </w:pPr>
      <w:bookmarkStart w:id="23" w:name="Rov34"/>
      <w:r w:rsidRPr="002D63DB">
        <w:rPr>
          <w:rFonts w:cs="FrankRuehl" w:hint="cs"/>
          <w:vanish/>
          <w:color w:val="FF0000"/>
          <w:szCs w:val="20"/>
          <w:shd w:val="clear" w:color="auto" w:fill="FFFF99"/>
          <w:rtl/>
        </w:rPr>
        <w:t>מיום 5.2.1970</w:t>
      </w:r>
    </w:p>
    <w:p w14:paraId="02AE062B" w14:textId="77777777" w:rsidR="00A53E2F" w:rsidRPr="002D63DB" w:rsidRDefault="00A53E2F" w:rsidP="00A53E2F">
      <w:pPr>
        <w:pStyle w:val="P00"/>
        <w:spacing w:before="0"/>
        <w:ind w:left="0" w:right="1134"/>
        <w:rPr>
          <w:rFonts w:cs="FrankRuehl" w:hint="cs"/>
          <w:b/>
          <w:bCs/>
          <w:vanish/>
          <w:szCs w:val="20"/>
          <w:shd w:val="clear" w:color="auto" w:fill="FFFF99"/>
          <w:rtl/>
        </w:rPr>
      </w:pPr>
      <w:r w:rsidRPr="002D63DB">
        <w:rPr>
          <w:rFonts w:cs="FrankRuehl" w:hint="cs"/>
          <w:b/>
          <w:bCs/>
          <w:vanish/>
          <w:szCs w:val="20"/>
          <w:shd w:val="clear" w:color="auto" w:fill="FFFF99"/>
          <w:rtl/>
        </w:rPr>
        <w:t>תק' תש"ל-1970</w:t>
      </w:r>
    </w:p>
    <w:p w14:paraId="692F4CCD" w14:textId="77777777" w:rsidR="00A53E2F" w:rsidRPr="002D63DB" w:rsidRDefault="00A53E2F" w:rsidP="00A53E2F">
      <w:pPr>
        <w:pStyle w:val="P00"/>
        <w:spacing w:before="0"/>
        <w:ind w:left="0" w:right="1134"/>
        <w:rPr>
          <w:rFonts w:cs="FrankRuehl" w:hint="cs"/>
          <w:vanish/>
          <w:szCs w:val="20"/>
          <w:shd w:val="clear" w:color="auto" w:fill="FFFF99"/>
          <w:rtl/>
        </w:rPr>
      </w:pPr>
      <w:hyperlink r:id="rId12" w:history="1">
        <w:r w:rsidRPr="002D63DB">
          <w:rPr>
            <w:rStyle w:val="Hyperlink"/>
            <w:rFonts w:cs="FrankRuehl" w:hint="cs"/>
            <w:vanish/>
            <w:szCs w:val="20"/>
            <w:shd w:val="clear" w:color="auto" w:fill="FFFF99"/>
            <w:rtl/>
          </w:rPr>
          <w:t>ק"ת תש"ל מס' 2518</w:t>
        </w:r>
      </w:hyperlink>
      <w:r w:rsidRPr="002D63DB">
        <w:rPr>
          <w:rFonts w:cs="FrankRuehl" w:hint="cs"/>
          <w:vanish/>
          <w:szCs w:val="20"/>
          <w:shd w:val="clear" w:color="auto" w:fill="FFFF99"/>
          <w:rtl/>
        </w:rPr>
        <w:t xml:space="preserve"> מיום 5.2.1970 עמ' 994</w:t>
      </w:r>
    </w:p>
    <w:p w14:paraId="56A2429E" w14:textId="77777777" w:rsidR="00A53E2F" w:rsidRPr="00A53E2F" w:rsidRDefault="00A53E2F" w:rsidP="00A53E2F">
      <w:pPr>
        <w:pStyle w:val="P00"/>
        <w:ind w:left="0" w:right="1134"/>
        <w:rPr>
          <w:rStyle w:val="default"/>
          <w:rFonts w:cs="FrankRuehl" w:hint="cs"/>
          <w:sz w:val="2"/>
          <w:szCs w:val="2"/>
          <w:rtl/>
        </w:rPr>
      </w:pPr>
      <w:r w:rsidRPr="002D63DB">
        <w:rPr>
          <w:rStyle w:val="big-number"/>
          <w:rFonts w:cs="FrankRuehl"/>
          <w:vanish/>
          <w:sz w:val="22"/>
          <w:szCs w:val="22"/>
          <w:shd w:val="clear" w:color="auto" w:fill="FFFF99"/>
          <w:rtl/>
        </w:rPr>
        <w:t>16.</w:t>
      </w:r>
      <w:r w:rsidRPr="002D63DB">
        <w:rPr>
          <w:rStyle w:val="big-number"/>
          <w:rFonts w:cs="FrankRuehl"/>
          <w:vanish/>
          <w:sz w:val="22"/>
          <w:szCs w:val="22"/>
          <w:shd w:val="clear" w:color="auto" w:fill="FFFF99"/>
          <w:rtl/>
        </w:rPr>
        <w:tab/>
      </w:r>
      <w:r w:rsidRPr="002D63DB">
        <w:rPr>
          <w:rStyle w:val="default"/>
          <w:rFonts w:cs="FrankRuehl" w:hint="cs"/>
          <w:strike/>
          <w:vanish/>
          <w:sz w:val="22"/>
          <w:szCs w:val="22"/>
          <w:shd w:val="clear" w:color="auto" w:fill="FFFF99"/>
          <w:rtl/>
        </w:rPr>
        <w:t>על אף האמור בחלק כ"ד לתקנות הפרוצידורה בבתי משפט השלום, 1940</w:t>
      </w:r>
      <w:r w:rsidRPr="002D63DB">
        <w:rPr>
          <w:rStyle w:val="default"/>
          <w:rFonts w:cs="FrankRuehl" w:hint="cs"/>
          <w:vanish/>
          <w:sz w:val="22"/>
          <w:szCs w:val="22"/>
          <w:shd w:val="clear" w:color="auto" w:fill="FFFF99"/>
          <w:rtl/>
        </w:rPr>
        <w:t xml:space="preserve"> </w:t>
      </w:r>
      <w:r w:rsidRPr="002D63DB">
        <w:rPr>
          <w:rStyle w:val="default"/>
          <w:rFonts w:cs="FrankRuehl"/>
          <w:vanish/>
          <w:sz w:val="22"/>
          <w:szCs w:val="22"/>
          <w:u w:val="single"/>
          <w:shd w:val="clear" w:color="auto" w:fill="FFFF99"/>
          <w:rtl/>
        </w:rPr>
        <w:t>על</w:t>
      </w:r>
      <w:r w:rsidRPr="002D63DB">
        <w:rPr>
          <w:rStyle w:val="default"/>
          <w:rFonts w:cs="FrankRuehl" w:hint="cs"/>
          <w:vanish/>
          <w:sz w:val="22"/>
          <w:szCs w:val="22"/>
          <w:u w:val="single"/>
          <w:shd w:val="clear" w:color="auto" w:fill="FFFF99"/>
          <w:rtl/>
        </w:rPr>
        <w:t xml:space="preserve"> אף האמור בפרק י"ט, סימן א' לתקנות הכלליות</w:t>
      </w:r>
      <w:r w:rsidRPr="002D63DB">
        <w:rPr>
          <w:rStyle w:val="default"/>
          <w:rFonts w:cs="FrankRuehl" w:hint="cs"/>
          <w:vanish/>
          <w:sz w:val="22"/>
          <w:szCs w:val="22"/>
          <w:shd w:val="clear" w:color="auto" w:fill="FFFF99"/>
          <w:rtl/>
        </w:rPr>
        <w:t xml:space="preserve"> רשאי בית הדין לברר בקשת ביניים גם אם הוגשה לו בעל פה בשעת הדיון בתובענה או בבקשה, אם ראה שהבירור יחיש את הדיון, יחסוך הוצאות וגם יאפשר למשי</w:t>
      </w:r>
      <w:r w:rsidRPr="002D63DB">
        <w:rPr>
          <w:rStyle w:val="default"/>
          <w:rFonts w:cs="FrankRuehl"/>
          <w:vanish/>
          <w:sz w:val="22"/>
          <w:szCs w:val="22"/>
          <w:shd w:val="clear" w:color="auto" w:fill="FFFF99"/>
          <w:rtl/>
        </w:rPr>
        <w:t xml:space="preserve">ב </w:t>
      </w:r>
      <w:r w:rsidRPr="002D63DB">
        <w:rPr>
          <w:rStyle w:val="default"/>
          <w:rFonts w:cs="FrankRuehl" w:hint="cs"/>
          <w:vanish/>
          <w:sz w:val="22"/>
          <w:szCs w:val="22"/>
          <w:shd w:val="clear" w:color="auto" w:fill="FFFF99"/>
          <w:rtl/>
        </w:rPr>
        <w:t xml:space="preserve">להתגונן בדרך נאותה. </w:t>
      </w:r>
      <w:bookmarkEnd w:id="23"/>
    </w:p>
    <w:p w14:paraId="29E298B1" w14:textId="77777777" w:rsidR="00AC07F5" w:rsidRDefault="00AC07F5">
      <w:pPr>
        <w:pStyle w:val="P00"/>
        <w:spacing w:before="72"/>
        <w:ind w:left="0" w:right="1134"/>
        <w:rPr>
          <w:rStyle w:val="default"/>
          <w:rFonts w:cs="FrankRuehl"/>
          <w:rtl/>
        </w:rPr>
      </w:pPr>
      <w:bookmarkStart w:id="24" w:name="Seif17"/>
      <w:bookmarkEnd w:id="24"/>
      <w:r>
        <w:rPr>
          <w:lang w:val="he-IL"/>
        </w:rPr>
        <w:pict w14:anchorId="1B7B4933">
          <v:rect id="_x0000_s1043" style="position:absolute;left:0;text-align:left;margin-left:464.5pt;margin-top:8.05pt;width:75.05pt;height:16pt;z-index:251662336" o:allowincell="f" filled="f" stroked="f" strokecolor="lime" strokeweight=".25pt">
            <v:textbox inset="0,0,0,0">
              <w:txbxContent>
                <w:p w14:paraId="0445BEC6" w14:textId="77777777" w:rsidR="00AC07F5" w:rsidRDefault="00AC07F5" w:rsidP="001B2917">
                  <w:pPr>
                    <w:spacing w:line="160" w:lineRule="exact"/>
                    <w:jc w:val="left"/>
                    <w:rPr>
                      <w:rFonts w:cs="Miriam"/>
                      <w:noProof/>
                      <w:sz w:val="18"/>
                      <w:szCs w:val="18"/>
                      <w:rtl/>
                    </w:rPr>
                  </w:pPr>
                  <w:r>
                    <w:rPr>
                      <w:rFonts w:cs="Miriam"/>
                      <w:sz w:val="18"/>
                      <w:szCs w:val="18"/>
                      <w:rtl/>
                    </w:rPr>
                    <w:t>סמ</w:t>
                  </w:r>
                  <w:r>
                    <w:rPr>
                      <w:rFonts w:cs="Miriam" w:hint="cs"/>
                      <w:sz w:val="18"/>
                      <w:szCs w:val="18"/>
                      <w:rtl/>
                    </w:rPr>
                    <w:t>כויות אב</w:t>
                  </w:r>
                  <w:r w:rsidR="001B2917">
                    <w:rPr>
                      <w:rFonts w:cs="Miriam" w:hint="cs"/>
                      <w:sz w:val="18"/>
                      <w:szCs w:val="18"/>
                      <w:rtl/>
                    </w:rPr>
                    <w:t xml:space="preserve"> </w:t>
                  </w:r>
                  <w:r>
                    <w:rPr>
                      <w:rFonts w:cs="Miriam"/>
                      <w:sz w:val="18"/>
                      <w:szCs w:val="18"/>
                      <w:rtl/>
                    </w:rPr>
                    <w:t>בי</w:t>
                  </w:r>
                  <w:r>
                    <w:rPr>
                      <w:rFonts w:cs="Miriam" w:hint="cs"/>
                      <w:sz w:val="18"/>
                      <w:szCs w:val="18"/>
                      <w:rtl/>
                    </w:rPr>
                    <w:t>ת דין</w:t>
                  </w:r>
                </w:p>
              </w:txbxContent>
            </v:textbox>
            <w10:anchorlock/>
          </v:rect>
        </w:pict>
      </w:r>
      <w:r>
        <w:rPr>
          <w:rStyle w:val="big-number"/>
          <w:rFonts w:cs="Miriam"/>
          <w:rtl/>
        </w:rPr>
        <w:t>17.</w:t>
      </w:r>
      <w:r>
        <w:rPr>
          <w:rStyle w:val="big-number"/>
          <w:rFonts w:cs="Miriam"/>
          <w:rtl/>
        </w:rPr>
        <w:tab/>
      </w:r>
      <w:r>
        <w:rPr>
          <w:rStyle w:val="default"/>
          <w:rFonts w:cs="FrankRuehl"/>
          <w:rtl/>
        </w:rPr>
        <w:t>אב</w:t>
      </w:r>
      <w:r>
        <w:rPr>
          <w:rStyle w:val="default"/>
          <w:rFonts w:cs="FrankRuehl" w:hint="cs"/>
          <w:rtl/>
        </w:rPr>
        <w:t xml:space="preserve"> בית הדין יקבע את פרטי ניהול הדיון והוא רשאי </w:t>
      </w:r>
      <w:r>
        <w:rPr>
          <w:rStyle w:val="default"/>
          <w:rFonts w:cs="FrankRuehl"/>
          <w:rtl/>
        </w:rPr>
        <w:t>ל</w:t>
      </w:r>
      <w:r>
        <w:rPr>
          <w:rStyle w:val="default"/>
          <w:rFonts w:cs="FrankRuehl" w:hint="cs"/>
          <w:rtl/>
        </w:rPr>
        <w:t xml:space="preserve">החליט בכל בקשת ביניים שהוגשה בבית הדין במהלך הדיון שלא בפני הרכב מלא. </w:t>
      </w:r>
    </w:p>
    <w:p w14:paraId="75088A5A" w14:textId="77777777" w:rsidR="00AC07F5" w:rsidRDefault="00AC07F5">
      <w:pPr>
        <w:pStyle w:val="P00"/>
        <w:spacing w:before="72"/>
        <w:ind w:left="0" w:right="1134"/>
        <w:rPr>
          <w:rStyle w:val="default"/>
          <w:rFonts w:cs="FrankRuehl" w:hint="cs"/>
          <w:rtl/>
        </w:rPr>
      </w:pPr>
      <w:bookmarkStart w:id="25" w:name="Seif18"/>
      <w:bookmarkEnd w:id="25"/>
      <w:r>
        <w:rPr>
          <w:lang w:val="he-IL"/>
        </w:rPr>
        <w:pict w14:anchorId="63B3DF66">
          <v:rect id="_x0000_s1044" style="position:absolute;left:0;text-align:left;margin-left:464.5pt;margin-top:8.05pt;width:75.05pt;height:24pt;z-index:251663360" o:allowincell="f" filled="f" stroked="f" strokecolor="lime" strokeweight=".25pt">
            <v:textbox inset="0,0,0,0">
              <w:txbxContent>
                <w:p w14:paraId="5D3B9D1B" w14:textId="77777777" w:rsidR="00AC07F5" w:rsidRDefault="00AC07F5" w:rsidP="001B2917">
                  <w:pPr>
                    <w:spacing w:line="160" w:lineRule="exact"/>
                    <w:jc w:val="left"/>
                    <w:rPr>
                      <w:rFonts w:cs="Miriam"/>
                      <w:noProof/>
                      <w:sz w:val="18"/>
                      <w:szCs w:val="18"/>
                      <w:rtl/>
                    </w:rPr>
                  </w:pPr>
                  <w:r>
                    <w:rPr>
                      <w:rFonts w:cs="Miriam"/>
                      <w:sz w:val="18"/>
                      <w:szCs w:val="18"/>
                      <w:rtl/>
                    </w:rPr>
                    <w:t>הח</w:t>
                  </w:r>
                  <w:r>
                    <w:rPr>
                      <w:rFonts w:cs="Miriam" w:hint="cs"/>
                      <w:sz w:val="18"/>
                      <w:szCs w:val="18"/>
                      <w:rtl/>
                    </w:rPr>
                    <w:t>לטות</w:t>
                  </w:r>
                  <w:r w:rsidR="001B2917">
                    <w:rPr>
                      <w:rFonts w:cs="Miriam" w:hint="cs"/>
                      <w:sz w:val="18"/>
                      <w:szCs w:val="18"/>
                      <w:rtl/>
                    </w:rPr>
                    <w:t xml:space="preserve"> </w:t>
                  </w:r>
                  <w:r>
                    <w:rPr>
                      <w:rFonts w:cs="Miriam"/>
                      <w:sz w:val="18"/>
                      <w:szCs w:val="18"/>
                      <w:rtl/>
                    </w:rPr>
                    <w:t>בי</w:t>
                  </w:r>
                  <w:r>
                    <w:rPr>
                      <w:rFonts w:cs="Miriam" w:hint="cs"/>
                      <w:sz w:val="18"/>
                      <w:szCs w:val="18"/>
                      <w:rtl/>
                    </w:rPr>
                    <w:t>ת דין</w:t>
                  </w:r>
                </w:p>
                <w:p w14:paraId="53070F78" w14:textId="77777777" w:rsidR="00AC07F5" w:rsidRDefault="00AC07F5" w:rsidP="001B2917">
                  <w:pPr>
                    <w:spacing w:line="160" w:lineRule="exact"/>
                    <w:jc w:val="left"/>
                    <w:rPr>
                      <w:rFonts w:cs="Miriam"/>
                      <w:noProof/>
                      <w:sz w:val="18"/>
                      <w:szCs w:val="18"/>
                      <w:rtl/>
                    </w:rPr>
                  </w:pPr>
                  <w:r>
                    <w:rPr>
                      <w:rFonts w:cs="Miriam"/>
                      <w:sz w:val="18"/>
                      <w:szCs w:val="18"/>
                      <w:rtl/>
                    </w:rPr>
                    <w:t>תק</w:t>
                  </w:r>
                  <w:r>
                    <w:rPr>
                      <w:rFonts w:cs="Miriam" w:hint="cs"/>
                      <w:sz w:val="18"/>
                      <w:szCs w:val="18"/>
                      <w:rtl/>
                    </w:rPr>
                    <w:t>' תשט"ו</w:t>
                  </w:r>
                  <w:r w:rsidR="001B2917">
                    <w:rPr>
                      <w:rFonts w:cs="Miriam" w:hint="cs"/>
                      <w:sz w:val="18"/>
                      <w:szCs w:val="18"/>
                      <w:rtl/>
                    </w:rPr>
                    <w:t>-</w:t>
                  </w:r>
                  <w:r>
                    <w:rPr>
                      <w:rFonts w:cs="Miriam"/>
                      <w:sz w:val="18"/>
                      <w:szCs w:val="18"/>
                      <w:rtl/>
                    </w:rPr>
                    <w:t>1954</w:t>
                  </w:r>
                </w:p>
              </w:txbxContent>
            </v:textbox>
            <w10:anchorlock/>
          </v:rect>
        </w:pict>
      </w:r>
      <w:r>
        <w:rPr>
          <w:rStyle w:val="big-number"/>
          <w:rFonts w:cs="Miriam"/>
          <w:rtl/>
        </w:rPr>
        <w:t>17</w:t>
      </w:r>
      <w:r>
        <w:rPr>
          <w:rStyle w:val="default"/>
          <w:rFonts w:cs="FrankRuehl"/>
          <w:rtl/>
        </w:rPr>
        <w:t>א.</w:t>
      </w:r>
      <w:r>
        <w:rPr>
          <w:rStyle w:val="default"/>
          <w:rFonts w:cs="FrankRuehl"/>
          <w:rtl/>
        </w:rPr>
        <w:tab/>
        <w:t>ב</w:t>
      </w:r>
      <w:r>
        <w:rPr>
          <w:rStyle w:val="default"/>
          <w:rFonts w:cs="FrankRuehl" w:hint="cs"/>
          <w:rtl/>
        </w:rPr>
        <w:t xml:space="preserve">ית הדין יחליט פה אחד או ברוב דעות: באין רוב כזה תכריע דעתו של אב בית הדין. </w:t>
      </w:r>
    </w:p>
    <w:p w14:paraId="63B0868B" w14:textId="77777777" w:rsidR="00686876" w:rsidRPr="002D63DB" w:rsidRDefault="00686876" w:rsidP="00686876">
      <w:pPr>
        <w:pStyle w:val="P00"/>
        <w:tabs>
          <w:tab w:val="clear" w:pos="6259"/>
        </w:tabs>
        <w:spacing w:before="0"/>
        <w:ind w:left="0" w:right="1134"/>
        <w:rPr>
          <w:rFonts w:cs="FrankRuehl" w:hint="cs"/>
          <w:vanish/>
          <w:szCs w:val="20"/>
          <w:shd w:val="clear" w:color="auto" w:fill="FFFF99"/>
          <w:rtl/>
        </w:rPr>
      </w:pPr>
      <w:bookmarkStart w:id="26" w:name="Rov35"/>
      <w:r w:rsidRPr="002D63DB">
        <w:rPr>
          <w:rFonts w:cs="FrankRuehl" w:hint="cs"/>
          <w:vanish/>
          <w:color w:val="FF0000"/>
          <w:szCs w:val="20"/>
          <w:shd w:val="clear" w:color="auto" w:fill="FFFF99"/>
          <w:rtl/>
        </w:rPr>
        <w:t>מיום 28.10.1954</w:t>
      </w:r>
    </w:p>
    <w:p w14:paraId="06267969" w14:textId="77777777" w:rsidR="00686876" w:rsidRPr="002D63DB" w:rsidRDefault="00686876" w:rsidP="00686876">
      <w:pPr>
        <w:pStyle w:val="P00"/>
        <w:spacing w:before="0"/>
        <w:ind w:left="0" w:right="1134"/>
        <w:rPr>
          <w:rFonts w:cs="FrankRuehl" w:hint="cs"/>
          <w:b/>
          <w:bCs/>
          <w:vanish/>
          <w:szCs w:val="20"/>
          <w:shd w:val="clear" w:color="auto" w:fill="FFFF99"/>
          <w:rtl/>
        </w:rPr>
      </w:pPr>
      <w:r w:rsidRPr="002D63DB">
        <w:rPr>
          <w:rFonts w:cs="FrankRuehl" w:hint="cs"/>
          <w:b/>
          <w:bCs/>
          <w:vanish/>
          <w:szCs w:val="20"/>
          <w:shd w:val="clear" w:color="auto" w:fill="FFFF99"/>
          <w:rtl/>
        </w:rPr>
        <w:t>תק' תשט"ו-1954</w:t>
      </w:r>
    </w:p>
    <w:p w14:paraId="0D0C6EBD" w14:textId="77777777" w:rsidR="00686876" w:rsidRPr="002D63DB" w:rsidRDefault="00686876" w:rsidP="00686876">
      <w:pPr>
        <w:pStyle w:val="P00"/>
        <w:spacing w:before="0"/>
        <w:ind w:left="0" w:right="1134"/>
        <w:rPr>
          <w:rFonts w:cs="FrankRuehl" w:hint="cs"/>
          <w:vanish/>
          <w:szCs w:val="20"/>
          <w:shd w:val="clear" w:color="auto" w:fill="FFFF99"/>
          <w:rtl/>
        </w:rPr>
      </w:pPr>
      <w:hyperlink r:id="rId13" w:history="1">
        <w:r w:rsidRPr="002D63DB">
          <w:rPr>
            <w:rStyle w:val="Hyperlink"/>
            <w:rFonts w:cs="FrankRuehl" w:hint="cs"/>
            <w:vanish/>
            <w:szCs w:val="20"/>
            <w:shd w:val="clear" w:color="auto" w:fill="FFFF99"/>
            <w:rtl/>
          </w:rPr>
          <w:t>ק"ת תשט"ו מס' 479</w:t>
        </w:r>
      </w:hyperlink>
      <w:r w:rsidRPr="002D63DB">
        <w:rPr>
          <w:rFonts w:cs="FrankRuehl" w:hint="cs"/>
          <w:vanish/>
          <w:szCs w:val="20"/>
          <w:shd w:val="clear" w:color="auto" w:fill="FFFF99"/>
          <w:rtl/>
        </w:rPr>
        <w:t xml:space="preserve"> מיום 21.10.1954 עמ' 46</w:t>
      </w:r>
    </w:p>
    <w:p w14:paraId="310107FA" w14:textId="77777777" w:rsidR="00686876" w:rsidRPr="00A53E2F" w:rsidRDefault="00686876" w:rsidP="00A53E2F">
      <w:pPr>
        <w:pStyle w:val="P00"/>
        <w:spacing w:before="0"/>
        <w:ind w:left="0" w:right="1134"/>
        <w:rPr>
          <w:rFonts w:cs="FrankRuehl" w:hint="cs"/>
          <w:b/>
          <w:bCs/>
          <w:sz w:val="2"/>
          <w:szCs w:val="2"/>
          <w:rtl/>
        </w:rPr>
      </w:pPr>
      <w:r w:rsidRPr="002D63DB">
        <w:rPr>
          <w:rFonts w:cs="FrankRuehl" w:hint="cs"/>
          <w:b/>
          <w:bCs/>
          <w:vanish/>
          <w:szCs w:val="20"/>
          <w:shd w:val="clear" w:color="auto" w:fill="FFFF99"/>
          <w:rtl/>
        </w:rPr>
        <w:t>הוספת תקנה 17א</w:t>
      </w:r>
      <w:bookmarkEnd w:id="26"/>
    </w:p>
    <w:p w14:paraId="0F9BC7F5" w14:textId="77777777" w:rsidR="00AC07F5" w:rsidRDefault="00AC07F5">
      <w:pPr>
        <w:pStyle w:val="P00"/>
        <w:spacing w:before="72"/>
        <w:ind w:left="0" w:right="1134"/>
        <w:rPr>
          <w:rStyle w:val="default"/>
          <w:rFonts w:cs="FrankRuehl"/>
          <w:rtl/>
        </w:rPr>
      </w:pPr>
      <w:bookmarkStart w:id="27" w:name="Seif19"/>
      <w:bookmarkEnd w:id="27"/>
      <w:r>
        <w:rPr>
          <w:lang w:val="he-IL"/>
        </w:rPr>
        <w:pict w14:anchorId="068E3CE7">
          <v:rect id="_x0000_s1045" style="position:absolute;left:0;text-align:left;margin-left:464.5pt;margin-top:8.05pt;width:75.05pt;height:24pt;z-index:251664384" o:allowincell="f" filled="f" stroked="f" strokecolor="lime" strokeweight=".25pt">
            <v:textbox inset="0,0,0,0">
              <w:txbxContent>
                <w:p w14:paraId="203C1F9F" w14:textId="77777777" w:rsidR="00AC07F5" w:rsidRDefault="00AC07F5" w:rsidP="001B2917">
                  <w:pPr>
                    <w:spacing w:line="160" w:lineRule="exact"/>
                    <w:jc w:val="left"/>
                    <w:rPr>
                      <w:rFonts w:cs="Miriam"/>
                      <w:noProof/>
                      <w:sz w:val="18"/>
                      <w:szCs w:val="18"/>
                      <w:rtl/>
                    </w:rPr>
                  </w:pPr>
                  <w:r>
                    <w:rPr>
                      <w:rFonts w:cs="Miriam"/>
                      <w:sz w:val="18"/>
                      <w:szCs w:val="18"/>
                      <w:rtl/>
                    </w:rPr>
                    <w:t>שכ</w:t>
                  </w:r>
                  <w:r>
                    <w:rPr>
                      <w:rFonts w:cs="Miriam" w:hint="cs"/>
                      <w:sz w:val="18"/>
                      <w:szCs w:val="18"/>
                      <w:rtl/>
                    </w:rPr>
                    <w:t>ר מיוחד</w:t>
                  </w:r>
                  <w:r w:rsidR="001B2917">
                    <w:rPr>
                      <w:rFonts w:cs="Miriam" w:hint="cs"/>
                      <w:sz w:val="18"/>
                      <w:szCs w:val="18"/>
                      <w:rtl/>
                    </w:rPr>
                    <w:t xml:space="preserve"> </w:t>
                  </w:r>
                  <w:r>
                    <w:rPr>
                      <w:rFonts w:cs="Miriam"/>
                      <w:sz w:val="18"/>
                      <w:szCs w:val="18"/>
                      <w:rtl/>
                    </w:rPr>
                    <w:t>בע</w:t>
                  </w:r>
                  <w:r>
                    <w:rPr>
                      <w:rFonts w:cs="Miriam" w:hint="cs"/>
                      <w:sz w:val="18"/>
                      <w:szCs w:val="18"/>
                      <w:rtl/>
                    </w:rPr>
                    <w:t>ד ביקור</w:t>
                  </w:r>
                  <w:r w:rsidR="001B2917">
                    <w:rPr>
                      <w:rFonts w:cs="Miriam" w:hint="cs"/>
                      <w:noProof/>
                      <w:sz w:val="18"/>
                      <w:szCs w:val="18"/>
                      <w:rtl/>
                    </w:rPr>
                    <w:t xml:space="preserve"> </w:t>
                  </w:r>
                  <w:r>
                    <w:rPr>
                      <w:rFonts w:cs="Miriam"/>
                      <w:sz w:val="18"/>
                      <w:szCs w:val="18"/>
                      <w:rtl/>
                    </w:rPr>
                    <w:t>במ</w:t>
                  </w:r>
                  <w:r>
                    <w:rPr>
                      <w:rFonts w:cs="Miriam" w:hint="cs"/>
                      <w:sz w:val="18"/>
                      <w:szCs w:val="18"/>
                      <w:rtl/>
                    </w:rPr>
                    <w:t>קום</w:t>
                  </w:r>
                </w:p>
              </w:txbxContent>
            </v:textbox>
            <w10:anchorlock/>
          </v:rect>
        </w:pict>
      </w:r>
      <w:r>
        <w:rPr>
          <w:rStyle w:val="big-number"/>
          <w:rFonts w:cs="Miriam"/>
          <w:rtl/>
        </w:rPr>
        <w:t>18.</w:t>
      </w:r>
      <w:r>
        <w:rPr>
          <w:rStyle w:val="big-number"/>
          <w:rFonts w:cs="Miriam"/>
          <w:rtl/>
        </w:rPr>
        <w:tab/>
      </w:r>
      <w:r>
        <w:rPr>
          <w:rStyle w:val="default"/>
          <w:rFonts w:cs="FrankRuehl"/>
          <w:rtl/>
        </w:rPr>
        <w:t>הח</w:t>
      </w:r>
      <w:r>
        <w:rPr>
          <w:rStyle w:val="default"/>
          <w:rFonts w:cs="FrankRuehl" w:hint="cs"/>
          <w:rtl/>
        </w:rPr>
        <w:t>ליט בית הדין לבקר ב</w:t>
      </w:r>
      <w:r>
        <w:rPr>
          <w:rStyle w:val="default"/>
          <w:rFonts w:cs="FrankRuehl"/>
          <w:rtl/>
        </w:rPr>
        <w:t>די</w:t>
      </w:r>
      <w:r>
        <w:rPr>
          <w:rStyle w:val="default"/>
          <w:rFonts w:cs="FrankRuehl" w:hint="cs"/>
          <w:rtl/>
        </w:rPr>
        <w:t xml:space="preserve">רה או בבית העסק שלא בשעות הרגילות של ישיבות אותו בית דין, יפקיד התובע או המבקש בקופת בית הדין לפני הביקור את הסכום שיקבע אב בית הדין לכיסוי שכר מיוחד שישולם לנציגי הציבור המשתתפים בביקור, ובלבד שלא יעלה על 6 לירות לכל ביקור. </w:t>
      </w:r>
    </w:p>
    <w:p w14:paraId="6652B614" w14:textId="77777777" w:rsidR="00AC07F5" w:rsidRDefault="00AC07F5" w:rsidP="001B2917">
      <w:pPr>
        <w:pStyle w:val="P00"/>
        <w:spacing w:before="72"/>
        <w:ind w:left="0" w:right="1134"/>
        <w:rPr>
          <w:rStyle w:val="default"/>
          <w:rFonts w:cs="FrankRuehl"/>
          <w:rtl/>
        </w:rPr>
      </w:pPr>
      <w:bookmarkStart w:id="28" w:name="Seif20"/>
      <w:bookmarkEnd w:id="28"/>
      <w:r>
        <w:rPr>
          <w:lang w:val="he-IL"/>
        </w:rPr>
        <w:pict w14:anchorId="19C30C2A">
          <v:rect id="_x0000_s1046" style="position:absolute;left:0;text-align:left;margin-left:464.5pt;margin-top:8.05pt;width:75.05pt;height:16pt;z-index:251665408" o:allowincell="f" filled="f" stroked="f" strokecolor="lime" strokeweight=".25pt">
            <v:textbox inset="0,0,0,0">
              <w:txbxContent>
                <w:p w14:paraId="36769817" w14:textId="77777777" w:rsidR="00AC07F5" w:rsidRDefault="00AC07F5" w:rsidP="001B2917">
                  <w:pPr>
                    <w:spacing w:line="160" w:lineRule="exact"/>
                    <w:jc w:val="left"/>
                    <w:rPr>
                      <w:rFonts w:cs="Miriam"/>
                      <w:noProof/>
                      <w:sz w:val="18"/>
                      <w:szCs w:val="18"/>
                      <w:rtl/>
                    </w:rPr>
                  </w:pPr>
                  <w:r>
                    <w:rPr>
                      <w:rFonts w:cs="Miriam"/>
                      <w:sz w:val="18"/>
                      <w:szCs w:val="18"/>
                      <w:rtl/>
                    </w:rPr>
                    <w:t>הע</w:t>
                  </w:r>
                  <w:r>
                    <w:rPr>
                      <w:rFonts w:cs="Miriam" w:hint="cs"/>
                      <w:sz w:val="18"/>
                      <w:szCs w:val="18"/>
                      <w:rtl/>
                    </w:rPr>
                    <w:t>ברת</w:t>
                  </w:r>
                  <w:r w:rsidR="001B2917">
                    <w:rPr>
                      <w:rFonts w:cs="Miriam" w:hint="cs"/>
                      <w:sz w:val="18"/>
                      <w:szCs w:val="18"/>
                      <w:rtl/>
                    </w:rPr>
                    <w:t xml:space="preserve"> </w:t>
                  </w:r>
                  <w:r>
                    <w:rPr>
                      <w:rFonts w:cs="Miriam"/>
                      <w:sz w:val="18"/>
                      <w:szCs w:val="18"/>
                      <w:rtl/>
                    </w:rPr>
                    <w:t>הא</w:t>
                  </w:r>
                  <w:r>
                    <w:rPr>
                      <w:rFonts w:cs="Miriam" w:hint="cs"/>
                      <w:sz w:val="18"/>
                      <w:szCs w:val="18"/>
                      <w:rtl/>
                    </w:rPr>
                    <w:t>רכיונים</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ארכיונים של בתי</w:t>
      </w:r>
      <w:r>
        <w:rPr>
          <w:rStyle w:val="default"/>
          <w:rFonts w:cs="FrankRuehl"/>
          <w:rtl/>
        </w:rPr>
        <w:t xml:space="preserve"> </w:t>
      </w:r>
      <w:r>
        <w:rPr>
          <w:rStyle w:val="default"/>
          <w:rFonts w:cs="FrankRuehl" w:hint="cs"/>
          <w:rtl/>
        </w:rPr>
        <w:t>הד</w:t>
      </w:r>
      <w:r>
        <w:rPr>
          <w:rStyle w:val="default"/>
          <w:rFonts w:cs="FrankRuehl"/>
          <w:rtl/>
        </w:rPr>
        <w:t>ין</w:t>
      </w:r>
      <w:r>
        <w:rPr>
          <w:rStyle w:val="default"/>
          <w:rFonts w:cs="FrankRuehl" w:hint="cs"/>
          <w:rtl/>
        </w:rPr>
        <w:t xml:space="preserve"> לשכר דירה לפי פקודת הדירות ושל הממונה על דמי השכירות ושל בתי הדין לשכר דירה לפי פקודת בתי עסק (להלן </w:t>
      </w:r>
      <w:r w:rsidR="002D63DB">
        <w:rPr>
          <w:rStyle w:val="default"/>
          <w:rFonts w:cs="FrankRuehl"/>
          <w:rtl/>
        </w:rPr>
        <w:t>–</w:t>
      </w:r>
      <w:r>
        <w:rPr>
          <w:rStyle w:val="default"/>
          <w:rFonts w:cs="FrankRuehl"/>
          <w:rtl/>
        </w:rPr>
        <w:t xml:space="preserve"> </w:t>
      </w:r>
      <w:r>
        <w:rPr>
          <w:rStyle w:val="default"/>
          <w:rFonts w:cs="FrankRuehl" w:hint="cs"/>
          <w:rtl/>
        </w:rPr>
        <w:t>בתי הדין הישנים), פרט לארכיונים של בתי הדין הישנים בנצרת, ינהגו כך:</w:t>
      </w:r>
    </w:p>
    <w:p w14:paraId="0E200053" w14:textId="77777777" w:rsidR="00AC07F5" w:rsidRDefault="00AC07F5">
      <w:pPr>
        <w:pStyle w:val="P00"/>
        <w:spacing w:before="72"/>
        <w:ind w:left="0" w:right="1134"/>
        <w:rPr>
          <w:rStyle w:val="default"/>
          <w:rFonts w:cs="FrankRuehl"/>
          <w:rtl/>
        </w:rPr>
      </w:pPr>
      <w:r>
        <w:rPr>
          <w:rFonts w:cs="FrankRuehl"/>
          <w:sz w:val="26"/>
          <w:rtl/>
        </w:rPr>
        <w:tab/>
      </w:r>
      <w:r>
        <w:rPr>
          <w:rStyle w:val="default"/>
          <w:rFonts w:cs="FrankRuehl"/>
          <w:rtl/>
        </w:rPr>
        <w:t>הל</w:t>
      </w:r>
      <w:r>
        <w:rPr>
          <w:rStyle w:val="default"/>
          <w:rFonts w:cs="FrankRuehl" w:hint="cs"/>
          <w:rtl/>
        </w:rPr>
        <w:t>יכים הנוגעים לדירה או לבית עסק בתחום נפה שבטור הראשון להלן, בין שנסתיימו ובין</w:t>
      </w:r>
      <w:r>
        <w:rPr>
          <w:rStyle w:val="default"/>
          <w:rFonts w:cs="FrankRuehl"/>
          <w:rtl/>
        </w:rPr>
        <w:t xml:space="preserve"> </w:t>
      </w:r>
      <w:r>
        <w:rPr>
          <w:rStyle w:val="default"/>
          <w:rFonts w:cs="FrankRuehl" w:hint="cs"/>
          <w:rtl/>
        </w:rPr>
        <w:t>שה</w:t>
      </w:r>
      <w:r>
        <w:rPr>
          <w:rStyle w:val="default"/>
          <w:rFonts w:cs="FrankRuehl"/>
          <w:rtl/>
        </w:rPr>
        <w:t xml:space="preserve">ם </w:t>
      </w:r>
      <w:r>
        <w:rPr>
          <w:rStyle w:val="default"/>
          <w:rFonts w:cs="FrankRuehl" w:hint="cs"/>
          <w:rtl/>
        </w:rPr>
        <w:t>תלויים ועומדים ביום י"ג בניסן תשי"ד (16 באפריל 1954) יועברו לבית הדין הנקוב לצד אותה נפה בטור השני להלן:</w:t>
      </w:r>
    </w:p>
    <w:p w14:paraId="7CB92892" w14:textId="77777777" w:rsidR="00AC07F5" w:rsidRPr="001B2917" w:rsidRDefault="00AC07F5" w:rsidP="001B2917">
      <w:pPr>
        <w:pStyle w:val="P33"/>
        <w:tabs>
          <w:tab w:val="clear" w:pos="1928"/>
          <w:tab w:val="clear" w:pos="2381"/>
          <w:tab w:val="clear" w:pos="2835"/>
          <w:tab w:val="clear" w:pos="6259"/>
          <w:tab w:val="left" w:pos="3969"/>
        </w:tabs>
        <w:spacing w:before="72"/>
        <w:ind w:left="1701" w:right="1134"/>
        <w:rPr>
          <w:rFonts w:cs="FrankRuehl"/>
          <w:sz w:val="22"/>
          <w:szCs w:val="22"/>
          <w:rtl/>
        </w:rPr>
      </w:pPr>
      <w:r w:rsidRPr="001B2917">
        <w:rPr>
          <w:rFonts w:cs="FrankRuehl"/>
          <w:sz w:val="22"/>
          <w:szCs w:val="22"/>
          <w:u w:val="single"/>
          <w:rtl/>
        </w:rPr>
        <w:t>נ</w:t>
      </w:r>
      <w:r w:rsidR="001B2917" w:rsidRPr="001B2917">
        <w:rPr>
          <w:rFonts w:cs="FrankRuehl" w:hint="cs"/>
          <w:sz w:val="22"/>
          <w:szCs w:val="22"/>
          <w:u w:val="single"/>
          <w:rtl/>
        </w:rPr>
        <w:t>פה</w:t>
      </w:r>
      <w:r w:rsidR="001B2917">
        <w:rPr>
          <w:rFonts w:cs="FrankRuehl" w:hint="cs"/>
          <w:sz w:val="22"/>
          <w:szCs w:val="22"/>
          <w:rtl/>
        </w:rPr>
        <w:tab/>
      </w:r>
      <w:r w:rsidR="001B2917" w:rsidRPr="001B2917">
        <w:rPr>
          <w:rFonts w:cs="FrankRuehl" w:hint="cs"/>
          <w:sz w:val="22"/>
          <w:szCs w:val="22"/>
          <w:u w:val="single"/>
          <w:rtl/>
        </w:rPr>
        <w:t>בית-הדין</w:t>
      </w:r>
    </w:p>
    <w:p w14:paraId="6656609F"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sz w:val="26"/>
          <w:rtl/>
        </w:rPr>
        <w:t>יר</w:t>
      </w:r>
      <w:r>
        <w:rPr>
          <w:rFonts w:cs="FrankRuehl" w:hint="cs"/>
          <w:sz w:val="26"/>
          <w:rtl/>
        </w:rPr>
        <w:t>ושלים</w:t>
      </w:r>
      <w:r w:rsidR="001B2917">
        <w:rPr>
          <w:rFonts w:cs="FrankRuehl" w:hint="cs"/>
          <w:sz w:val="26"/>
          <w:rtl/>
        </w:rPr>
        <w:tab/>
      </w:r>
      <w:r>
        <w:rPr>
          <w:rFonts w:cs="FrankRuehl" w:hint="cs"/>
          <w:sz w:val="26"/>
          <w:rtl/>
        </w:rPr>
        <w:t>ירושלים</w:t>
      </w:r>
    </w:p>
    <w:p w14:paraId="1AC5B012"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hint="cs"/>
          <w:sz w:val="26"/>
          <w:rtl/>
        </w:rPr>
        <w:t>צ</w:t>
      </w:r>
      <w:r>
        <w:rPr>
          <w:rFonts w:cs="FrankRuehl"/>
          <w:sz w:val="26"/>
          <w:rtl/>
        </w:rPr>
        <w:t>פ</w:t>
      </w:r>
      <w:r>
        <w:rPr>
          <w:rFonts w:cs="FrankRuehl" w:hint="cs"/>
          <w:sz w:val="26"/>
          <w:rtl/>
        </w:rPr>
        <w:t>ת</w:t>
      </w:r>
      <w:r w:rsidR="001B2917">
        <w:rPr>
          <w:rFonts w:cs="FrankRuehl" w:hint="cs"/>
          <w:sz w:val="26"/>
          <w:rtl/>
        </w:rPr>
        <w:tab/>
      </w:r>
      <w:r>
        <w:rPr>
          <w:rFonts w:cs="FrankRuehl" w:hint="cs"/>
          <w:sz w:val="26"/>
          <w:rtl/>
        </w:rPr>
        <w:t>טבריה</w:t>
      </w:r>
    </w:p>
    <w:p w14:paraId="2D006321"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hint="cs"/>
          <w:sz w:val="26"/>
          <w:rtl/>
        </w:rPr>
        <w:t>כ</w:t>
      </w:r>
      <w:r>
        <w:rPr>
          <w:rFonts w:cs="FrankRuehl"/>
          <w:sz w:val="26"/>
          <w:rtl/>
        </w:rPr>
        <w:t>נ</w:t>
      </w:r>
      <w:r>
        <w:rPr>
          <w:rFonts w:cs="FrankRuehl" w:hint="cs"/>
          <w:sz w:val="26"/>
          <w:rtl/>
        </w:rPr>
        <w:t>רת</w:t>
      </w:r>
      <w:r w:rsidR="001B2917">
        <w:rPr>
          <w:rFonts w:cs="FrankRuehl" w:hint="cs"/>
          <w:sz w:val="26"/>
          <w:rtl/>
        </w:rPr>
        <w:tab/>
      </w:r>
      <w:r>
        <w:rPr>
          <w:rFonts w:cs="FrankRuehl" w:hint="cs"/>
          <w:sz w:val="26"/>
          <w:rtl/>
        </w:rPr>
        <w:t>טבריה</w:t>
      </w:r>
    </w:p>
    <w:p w14:paraId="02E7B27F"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hint="cs"/>
          <w:sz w:val="26"/>
          <w:rtl/>
        </w:rPr>
        <w:t>י</w:t>
      </w:r>
      <w:r>
        <w:rPr>
          <w:rFonts w:cs="FrankRuehl"/>
          <w:sz w:val="26"/>
          <w:rtl/>
        </w:rPr>
        <w:t>ז</w:t>
      </w:r>
      <w:r>
        <w:rPr>
          <w:rFonts w:cs="FrankRuehl" w:hint="cs"/>
          <w:sz w:val="26"/>
          <w:rtl/>
        </w:rPr>
        <w:t>רעאל</w:t>
      </w:r>
      <w:r w:rsidR="001B2917">
        <w:rPr>
          <w:rFonts w:cs="FrankRuehl" w:hint="cs"/>
          <w:sz w:val="26"/>
          <w:rtl/>
        </w:rPr>
        <w:tab/>
      </w:r>
      <w:r>
        <w:rPr>
          <w:rFonts w:cs="FrankRuehl" w:hint="cs"/>
          <w:sz w:val="26"/>
          <w:rtl/>
        </w:rPr>
        <w:t>חיפה</w:t>
      </w:r>
    </w:p>
    <w:p w14:paraId="0DB76CE2"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hint="cs"/>
          <w:sz w:val="26"/>
          <w:rtl/>
        </w:rPr>
        <w:t>ע</w:t>
      </w:r>
      <w:r>
        <w:rPr>
          <w:rFonts w:cs="FrankRuehl"/>
          <w:sz w:val="26"/>
          <w:rtl/>
        </w:rPr>
        <w:t>כ</w:t>
      </w:r>
      <w:r>
        <w:rPr>
          <w:rFonts w:cs="FrankRuehl" w:hint="cs"/>
          <w:sz w:val="26"/>
          <w:rtl/>
        </w:rPr>
        <w:t>ו</w:t>
      </w:r>
      <w:r w:rsidR="001B2917">
        <w:rPr>
          <w:rFonts w:cs="FrankRuehl" w:hint="cs"/>
          <w:sz w:val="26"/>
          <w:rtl/>
        </w:rPr>
        <w:tab/>
      </w:r>
      <w:r>
        <w:rPr>
          <w:rFonts w:cs="FrankRuehl" w:hint="cs"/>
          <w:sz w:val="26"/>
          <w:rtl/>
        </w:rPr>
        <w:t>חיפה</w:t>
      </w:r>
    </w:p>
    <w:p w14:paraId="50D8DD2A"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hint="cs"/>
          <w:sz w:val="26"/>
          <w:rtl/>
        </w:rPr>
        <w:t>ח</w:t>
      </w:r>
      <w:r>
        <w:rPr>
          <w:rFonts w:cs="FrankRuehl"/>
          <w:sz w:val="26"/>
          <w:rtl/>
        </w:rPr>
        <w:t>י</w:t>
      </w:r>
      <w:r>
        <w:rPr>
          <w:rFonts w:cs="FrankRuehl" w:hint="cs"/>
          <w:sz w:val="26"/>
          <w:rtl/>
        </w:rPr>
        <w:t>פה</w:t>
      </w:r>
      <w:r w:rsidR="001B2917">
        <w:rPr>
          <w:rFonts w:cs="FrankRuehl" w:hint="cs"/>
          <w:sz w:val="26"/>
          <w:rtl/>
        </w:rPr>
        <w:tab/>
      </w:r>
      <w:r>
        <w:rPr>
          <w:rFonts w:cs="FrankRuehl" w:hint="cs"/>
          <w:sz w:val="26"/>
          <w:rtl/>
        </w:rPr>
        <w:t>חיפה</w:t>
      </w:r>
    </w:p>
    <w:p w14:paraId="2AA9748B"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hint="cs"/>
          <w:sz w:val="26"/>
          <w:rtl/>
        </w:rPr>
        <w:t>ח</w:t>
      </w:r>
      <w:r>
        <w:rPr>
          <w:rFonts w:cs="FrankRuehl"/>
          <w:sz w:val="26"/>
          <w:rtl/>
        </w:rPr>
        <w:t>ד</w:t>
      </w:r>
      <w:r>
        <w:rPr>
          <w:rFonts w:cs="FrankRuehl" w:hint="cs"/>
          <w:sz w:val="26"/>
          <w:rtl/>
        </w:rPr>
        <w:t>רה</w:t>
      </w:r>
      <w:r w:rsidR="001B2917">
        <w:rPr>
          <w:rFonts w:cs="FrankRuehl" w:hint="cs"/>
          <w:sz w:val="26"/>
          <w:rtl/>
        </w:rPr>
        <w:tab/>
      </w:r>
      <w:r>
        <w:rPr>
          <w:rFonts w:cs="FrankRuehl" w:hint="cs"/>
          <w:sz w:val="26"/>
          <w:rtl/>
        </w:rPr>
        <w:t>חדרה</w:t>
      </w:r>
    </w:p>
    <w:p w14:paraId="41E8BBA2"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hint="cs"/>
          <w:sz w:val="26"/>
          <w:rtl/>
        </w:rPr>
        <w:t>ה</w:t>
      </w:r>
      <w:r>
        <w:rPr>
          <w:rFonts w:cs="FrankRuehl"/>
          <w:sz w:val="26"/>
          <w:rtl/>
        </w:rPr>
        <w:t>ש</w:t>
      </w:r>
      <w:r>
        <w:rPr>
          <w:rFonts w:cs="FrankRuehl" w:hint="cs"/>
          <w:sz w:val="26"/>
          <w:rtl/>
        </w:rPr>
        <w:t>רון</w:t>
      </w:r>
      <w:r w:rsidR="001B2917">
        <w:rPr>
          <w:rFonts w:cs="FrankRuehl" w:hint="cs"/>
          <w:sz w:val="26"/>
          <w:rtl/>
        </w:rPr>
        <w:tab/>
      </w:r>
      <w:r>
        <w:rPr>
          <w:rFonts w:cs="FrankRuehl" w:hint="cs"/>
          <w:sz w:val="26"/>
          <w:rtl/>
        </w:rPr>
        <w:t>נתניה</w:t>
      </w:r>
    </w:p>
    <w:p w14:paraId="1873061A"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sz w:val="26"/>
          <w:rtl/>
        </w:rPr>
        <w:t>פת</w:t>
      </w:r>
      <w:r>
        <w:rPr>
          <w:rFonts w:cs="FrankRuehl" w:hint="cs"/>
          <w:sz w:val="26"/>
          <w:rtl/>
        </w:rPr>
        <w:t>ח ת</w:t>
      </w:r>
      <w:r>
        <w:rPr>
          <w:rFonts w:cs="FrankRuehl"/>
          <w:sz w:val="26"/>
          <w:rtl/>
        </w:rPr>
        <w:t>קו</w:t>
      </w:r>
      <w:r>
        <w:rPr>
          <w:rFonts w:cs="FrankRuehl" w:hint="cs"/>
          <w:sz w:val="26"/>
          <w:rtl/>
        </w:rPr>
        <w:t>ה</w:t>
      </w:r>
      <w:r w:rsidR="001B2917">
        <w:rPr>
          <w:rFonts w:cs="FrankRuehl" w:hint="cs"/>
          <w:sz w:val="26"/>
          <w:rtl/>
        </w:rPr>
        <w:tab/>
      </w:r>
      <w:r>
        <w:rPr>
          <w:rFonts w:cs="FrankRuehl" w:hint="cs"/>
          <w:sz w:val="26"/>
          <w:rtl/>
        </w:rPr>
        <w:t>פתח תקוה</w:t>
      </w:r>
    </w:p>
    <w:p w14:paraId="0FBDDB88"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hint="cs"/>
          <w:sz w:val="26"/>
          <w:rtl/>
        </w:rPr>
        <w:t>ר</w:t>
      </w:r>
      <w:r>
        <w:rPr>
          <w:rFonts w:cs="FrankRuehl"/>
          <w:sz w:val="26"/>
          <w:rtl/>
        </w:rPr>
        <w:t>מ</w:t>
      </w:r>
      <w:r>
        <w:rPr>
          <w:rFonts w:cs="FrankRuehl" w:hint="cs"/>
          <w:sz w:val="26"/>
          <w:rtl/>
        </w:rPr>
        <w:t>לה</w:t>
      </w:r>
      <w:r w:rsidR="001B2917">
        <w:rPr>
          <w:rFonts w:cs="FrankRuehl" w:hint="cs"/>
          <w:sz w:val="26"/>
          <w:rtl/>
        </w:rPr>
        <w:tab/>
      </w:r>
      <w:r>
        <w:rPr>
          <w:rFonts w:cs="FrankRuehl" w:hint="cs"/>
          <w:sz w:val="26"/>
          <w:rtl/>
        </w:rPr>
        <w:t>רחובות</w:t>
      </w:r>
    </w:p>
    <w:p w14:paraId="019B99D9"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hint="cs"/>
          <w:sz w:val="26"/>
          <w:rtl/>
        </w:rPr>
        <w:t>ר</w:t>
      </w:r>
      <w:r>
        <w:rPr>
          <w:rFonts w:cs="FrankRuehl"/>
          <w:sz w:val="26"/>
          <w:rtl/>
        </w:rPr>
        <w:t>ח</w:t>
      </w:r>
      <w:r>
        <w:rPr>
          <w:rFonts w:cs="FrankRuehl" w:hint="cs"/>
          <w:sz w:val="26"/>
          <w:rtl/>
        </w:rPr>
        <w:t>ובות</w:t>
      </w:r>
      <w:r w:rsidR="001B2917">
        <w:rPr>
          <w:rFonts w:cs="FrankRuehl" w:hint="cs"/>
          <w:sz w:val="26"/>
          <w:rtl/>
        </w:rPr>
        <w:tab/>
      </w:r>
      <w:r>
        <w:rPr>
          <w:rFonts w:cs="FrankRuehl" w:hint="cs"/>
          <w:sz w:val="26"/>
          <w:rtl/>
        </w:rPr>
        <w:t>רחובות</w:t>
      </w:r>
    </w:p>
    <w:p w14:paraId="4969B81A"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hint="cs"/>
          <w:sz w:val="26"/>
          <w:rtl/>
        </w:rPr>
        <w:t>ת</w:t>
      </w:r>
      <w:r>
        <w:rPr>
          <w:rFonts w:cs="FrankRuehl"/>
          <w:sz w:val="26"/>
          <w:rtl/>
        </w:rPr>
        <w:t>ל</w:t>
      </w:r>
      <w:r>
        <w:rPr>
          <w:rFonts w:cs="FrankRuehl" w:hint="cs"/>
          <w:sz w:val="26"/>
          <w:rtl/>
        </w:rPr>
        <w:t xml:space="preserve"> אביב-יפו</w:t>
      </w:r>
      <w:r w:rsidR="001B2917">
        <w:rPr>
          <w:rFonts w:cs="FrankRuehl" w:hint="cs"/>
          <w:sz w:val="26"/>
          <w:rtl/>
        </w:rPr>
        <w:tab/>
      </w:r>
      <w:r>
        <w:rPr>
          <w:rFonts w:cs="FrankRuehl" w:hint="cs"/>
          <w:sz w:val="26"/>
          <w:rtl/>
        </w:rPr>
        <w:t>תל אביב-יפו</w:t>
      </w:r>
    </w:p>
    <w:p w14:paraId="77C8A5F8"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hint="cs"/>
          <w:sz w:val="26"/>
          <w:rtl/>
        </w:rPr>
        <w:t>א</w:t>
      </w:r>
      <w:r>
        <w:rPr>
          <w:rFonts w:cs="FrankRuehl"/>
          <w:sz w:val="26"/>
          <w:rtl/>
        </w:rPr>
        <w:t>ש</w:t>
      </w:r>
      <w:r>
        <w:rPr>
          <w:rFonts w:cs="FrankRuehl" w:hint="cs"/>
          <w:sz w:val="26"/>
          <w:rtl/>
        </w:rPr>
        <w:t>קלון</w:t>
      </w:r>
      <w:r w:rsidR="001B2917">
        <w:rPr>
          <w:rFonts w:cs="FrankRuehl" w:hint="cs"/>
          <w:sz w:val="26"/>
          <w:rtl/>
        </w:rPr>
        <w:tab/>
      </w:r>
      <w:r>
        <w:rPr>
          <w:rFonts w:cs="FrankRuehl" w:hint="cs"/>
          <w:sz w:val="26"/>
          <w:rtl/>
        </w:rPr>
        <w:t>מגדל אשקלון</w:t>
      </w:r>
    </w:p>
    <w:p w14:paraId="67940F4E" w14:textId="77777777" w:rsidR="00AC07F5" w:rsidRDefault="00AC07F5" w:rsidP="001B2917">
      <w:pPr>
        <w:pStyle w:val="P33"/>
        <w:tabs>
          <w:tab w:val="clear" w:pos="1928"/>
          <w:tab w:val="clear" w:pos="2381"/>
          <w:tab w:val="clear" w:pos="2835"/>
          <w:tab w:val="clear" w:pos="6259"/>
          <w:tab w:val="left" w:pos="3969"/>
        </w:tabs>
        <w:spacing w:before="72"/>
        <w:ind w:left="1701" w:right="1134"/>
        <w:rPr>
          <w:rFonts w:cs="FrankRuehl"/>
          <w:sz w:val="26"/>
          <w:rtl/>
        </w:rPr>
      </w:pPr>
      <w:r>
        <w:rPr>
          <w:rFonts w:cs="FrankRuehl" w:hint="cs"/>
          <w:sz w:val="26"/>
          <w:rtl/>
        </w:rPr>
        <w:t>ב</w:t>
      </w:r>
      <w:r>
        <w:rPr>
          <w:rFonts w:cs="FrankRuehl"/>
          <w:sz w:val="26"/>
          <w:rtl/>
        </w:rPr>
        <w:t>א</w:t>
      </w:r>
      <w:r>
        <w:rPr>
          <w:rFonts w:cs="FrankRuehl" w:hint="cs"/>
          <w:sz w:val="26"/>
          <w:rtl/>
        </w:rPr>
        <w:t>ר שבע</w:t>
      </w:r>
      <w:r w:rsidR="001B2917">
        <w:rPr>
          <w:rFonts w:cs="FrankRuehl" w:hint="cs"/>
          <w:sz w:val="26"/>
          <w:rtl/>
        </w:rPr>
        <w:tab/>
      </w:r>
      <w:r>
        <w:rPr>
          <w:rFonts w:cs="FrankRuehl" w:hint="cs"/>
          <w:sz w:val="26"/>
          <w:rtl/>
        </w:rPr>
        <w:t>באר שבע</w:t>
      </w:r>
    </w:p>
    <w:p w14:paraId="361C190D" w14:textId="77777777" w:rsidR="00AC07F5" w:rsidRDefault="00AC07F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רכיונים של בתי דין ישנים בנצרת יועברו לבית הדין בנצרת.</w:t>
      </w:r>
    </w:p>
    <w:p w14:paraId="6EF9C8E8" w14:textId="77777777" w:rsidR="00AC07F5" w:rsidRDefault="00AC07F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מידה שהליכים המועברים על פי תקנה זו היו תלויים ועומדים ביום י"ג בניסן תשי"ד (16 באפריל 1954) בבית</w:t>
      </w:r>
      <w:r>
        <w:rPr>
          <w:rStyle w:val="default"/>
          <w:rFonts w:cs="FrankRuehl"/>
          <w:rtl/>
        </w:rPr>
        <w:t xml:space="preserve"> ד</w:t>
      </w:r>
      <w:r>
        <w:rPr>
          <w:rStyle w:val="default"/>
          <w:rFonts w:cs="FrankRuehl" w:hint="cs"/>
          <w:rtl/>
        </w:rPr>
        <w:t xml:space="preserve">ין ישן, בית הדין שאליו הועברו ימשיך את הדיון בהם מהשלב שאליו הגיעו בבית הדין הישן. </w:t>
      </w:r>
    </w:p>
    <w:p w14:paraId="7F9D6D87" w14:textId="77777777" w:rsidR="00AC07F5" w:rsidRDefault="00AC07F5">
      <w:pPr>
        <w:pStyle w:val="P00"/>
        <w:spacing w:before="72"/>
        <w:ind w:left="0" w:right="1134"/>
        <w:rPr>
          <w:rStyle w:val="default"/>
          <w:rFonts w:cs="FrankRuehl" w:hint="cs"/>
          <w:rtl/>
        </w:rPr>
      </w:pPr>
      <w:bookmarkStart w:id="29" w:name="Seif21"/>
      <w:bookmarkEnd w:id="29"/>
      <w:r>
        <w:rPr>
          <w:lang w:val="he-IL"/>
        </w:rPr>
        <w:pict w14:anchorId="6AB65B1B">
          <v:rect id="_x0000_s1047" style="position:absolute;left:0;text-align:left;margin-left:464.5pt;margin-top:8.05pt;width:75.05pt;height:14.2pt;z-index:251666432" o:allowincell="f" filled="f" stroked="f" strokecolor="lime" strokeweight=".25pt">
            <v:textbox inset="0,0,0,0">
              <w:txbxContent>
                <w:p w14:paraId="15C83664" w14:textId="77777777" w:rsidR="00AC07F5" w:rsidRDefault="00AC07F5">
                  <w:pPr>
                    <w:spacing w:line="160" w:lineRule="exact"/>
                    <w:jc w:val="left"/>
                    <w:rPr>
                      <w:rFonts w:cs="Miriam"/>
                      <w:noProof/>
                      <w:sz w:val="18"/>
                      <w:szCs w:val="18"/>
                      <w:rtl/>
                    </w:rPr>
                  </w:pPr>
                  <w:r>
                    <w:rPr>
                      <w:rFonts w:cs="Miriam"/>
                      <w:sz w:val="18"/>
                      <w:szCs w:val="18"/>
                      <w:rtl/>
                    </w:rPr>
                    <w:t>בי</w:t>
                  </w:r>
                  <w:r>
                    <w:rPr>
                      <w:rFonts w:cs="Miriam" w:hint="cs"/>
                      <w:sz w:val="18"/>
                      <w:szCs w:val="18"/>
                      <w:rtl/>
                    </w:rPr>
                    <w:t>טולים</w:t>
                  </w:r>
                </w:p>
              </w:txbxContent>
            </v:textbox>
            <w10:anchorlock/>
          </v:rect>
        </w:pict>
      </w:r>
      <w:r>
        <w:rPr>
          <w:rStyle w:val="big-number"/>
          <w:rFonts w:cs="Miriam"/>
          <w:rtl/>
        </w:rPr>
        <w:t>20.</w:t>
      </w:r>
      <w:r>
        <w:rPr>
          <w:rStyle w:val="big-number"/>
          <w:rFonts w:cs="Miriam"/>
          <w:rtl/>
        </w:rPr>
        <w:tab/>
      </w:r>
      <w:r>
        <w:rPr>
          <w:rStyle w:val="default"/>
          <w:rFonts w:cs="FrankRuehl"/>
          <w:rtl/>
        </w:rPr>
        <w:t>בט</w:t>
      </w:r>
      <w:r>
        <w:rPr>
          <w:rStyle w:val="default"/>
          <w:rFonts w:cs="FrankRuehl" w:hint="cs"/>
          <w:rtl/>
        </w:rPr>
        <w:t xml:space="preserve">לות </w:t>
      </w:r>
      <w:r w:rsidR="001B2917">
        <w:rPr>
          <w:rStyle w:val="default"/>
          <w:rFonts w:cs="FrankRuehl"/>
          <w:rtl/>
        </w:rPr>
        <w:t>–</w:t>
      </w:r>
    </w:p>
    <w:p w14:paraId="557FE0FB" w14:textId="77777777" w:rsidR="00AC07F5" w:rsidRDefault="00AC07F5" w:rsidP="002D63D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 הגבלת שכר דירה (דירות) (פרוצידורה), 1940;</w:t>
      </w:r>
    </w:p>
    <w:p w14:paraId="25E6F0A6" w14:textId="77777777" w:rsidR="00AC07F5" w:rsidRDefault="00AC07F5" w:rsidP="002D63D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קנות הפרוצידורה בענין בעלי הבתים והדיירים (הוצאה מדירה והגבלת שכר דירה) (בתים), 1935; </w:t>
      </w:r>
    </w:p>
    <w:p w14:paraId="27AAE6A0" w14:textId="77777777" w:rsidR="00AC07F5" w:rsidRDefault="00AC07F5" w:rsidP="002D63DB">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קנות ערע</w:t>
      </w:r>
      <w:r>
        <w:rPr>
          <w:rStyle w:val="default"/>
          <w:rFonts w:cs="FrankRuehl"/>
          <w:rtl/>
        </w:rPr>
        <w:t>ור</w:t>
      </w:r>
      <w:r>
        <w:rPr>
          <w:rStyle w:val="default"/>
          <w:rFonts w:cs="FrankRuehl" w:hint="cs"/>
          <w:rtl/>
        </w:rPr>
        <w:t>ים על הגבלות שכר דירה (בתי עסק), 1941.</w:t>
      </w:r>
    </w:p>
    <w:p w14:paraId="625E4531" w14:textId="77777777" w:rsidR="00AC07F5" w:rsidRDefault="00AC07F5">
      <w:pPr>
        <w:pStyle w:val="P00"/>
        <w:spacing w:before="72"/>
        <w:ind w:left="0" w:right="1134"/>
        <w:rPr>
          <w:rStyle w:val="default"/>
          <w:rFonts w:cs="FrankRuehl"/>
          <w:rtl/>
        </w:rPr>
      </w:pPr>
      <w:bookmarkStart w:id="30" w:name="Seif22"/>
      <w:bookmarkEnd w:id="30"/>
      <w:r>
        <w:rPr>
          <w:lang w:val="he-IL"/>
        </w:rPr>
        <w:pict w14:anchorId="70D20F52">
          <v:rect id="_x0000_s1048" style="position:absolute;left:0;text-align:left;margin-left:464.5pt;margin-top:8.05pt;width:75.05pt;height:9.85pt;z-index:251667456" o:allowincell="f" filled="f" stroked="f" strokecolor="lime" strokeweight=".25pt">
            <v:textbox inset="0,0,0,0">
              <w:txbxContent>
                <w:p w14:paraId="433C3568" w14:textId="77777777" w:rsidR="00AC07F5" w:rsidRDefault="00AC07F5">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21.</w:t>
      </w:r>
      <w:r>
        <w:rPr>
          <w:rStyle w:val="big-number"/>
          <w:rFonts w:cs="Miriam"/>
          <w:rtl/>
        </w:rPr>
        <w:tab/>
      </w:r>
      <w:r>
        <w:rPr>
          <w:rStyle w:val="default"/>
          <w:rFonts w:cs="FrankRuehl"/>
          <w:rtl/>
        </w:rPr>
        <w:t>הל</w:t>
      </w:r>
      <w:r>
        <w:rPr>
          <w:rStyle w:val="default"/>
          <w:rFonts w:cs="FrankRuehl" w:hint="cs"/>
          <w:rtl/>
        </w:rPr>
        <w:t xml:space="preserve">יכים התלויים ועומדים לפני בית הדין ביום תחילת תקפן של תקנות אלה, ינהגו בהן בכל השלבים שמאותו יום ואילך, ככל האפשר, לפי תקנות אלה, אלא שבית הדין רשאי, לפי שיקול דעתו, לסטות מהן במידה שתהא נראית לו. </w:t>
      </w:r>
    </w:p>
    <w:p w14:paraId="55914410" w14:textId="77777777" w:rsidR="00AC07F5" w:rsidRDefault="00AC07F5">
      <w:pPr>
        <w:pStyle w:val="P00"/>
        <w:spacing w:before="72"/>
        <w:ind w:left="0" w:right="1134"/>
        <w:rPr>
          <w:rStyle w:val="default"/>
          <w:rFonts w:cs="FrankRuehl"/>
          <w:rtl/>
        </w:rPr>
      </w:pPr>
      <w:bookmarkStart w:id="31" w:name="Seif23"/>
      <w:bookmarkEnd w:id="31"/>
      <w:r>
        <w:rPr>
          <w:lang w:val="he-IL"/>
        </w:rPr>
        <w:pict w14:anchorId="45A2A7F0">
          <v:rect id="_x0000_s1049" style="position:absolute;left:0;text-align:left;margin-left:464.5pt;margin-top:8.05pt;width:75.05pt;height:14.35pt;z-index:251668480" o:allowincell="f" filled="f" stroked="f" strokecolor="lime" strokeweight=".25pt">
            <v:textbox inset="0,0,0,0">
              <w:txbxContent>
                <w:p w14:paraId="749BDDF7" w14:textId="77777777" w:rsidR="00AC07F5" w:rsidRDefault="00AC07F5">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p>
              </w:txbxContent>
            </v:textbox>
            <w10:anchorlock/>
          </v:rect>
        </w:pict>
      </w:r>
      <w:r>
        <w:rPr>
          <w:rStyle w:val="big-number"/>
          <w:rFonts w:cs="Miriam"/>
          <w:rtl/>
        </w:rPr>
        <w:t>22.</w:t>
      </w:r>
      <w:r>
        <w:rPr>
          <w:rStyle w:val="big-number"/>
          <w:rFonts w:cs="Miriam"/>
          <w:rtl/>
        </w:rPr>
        <w:tab/>
      </w:r>
      <w:r>
        <w:rPr>
          <w:rStyle w:val="default"/>
          <w:rFonts w:cs="FrankRuehl"/>
          <w:rtl/>
        </w:rPr>
        <w:t>תק</w:t>
      </w:r>
      <w:r>
        <w:rPr>
          <w:rStyle w:val="default"/>
          <w:rFonts w:cs="FrankRuehl" w:hint="cs"/>
          <w:rtl/>
        </w:rPr>
        <w:t xml:space="preserve">פן </w:t>
      </w:r>
      <w:r>
        <w:rPr>
          <w:rStyle w:val="default"/>
          <w:rFonts w:cs="FrankRuehl"/>
          <w:rtl/>
        </w:rPr>
        <w:t>של</w:t>
      </w:r>
      <w:r>
        <w:rPr>
          <w:rStyle w:val="default"/>
          <w:rFonts w:cs="FrankRuehl" w:hint="cs"/>
          <w:rtl/>
        </w:rPr>
        <w:t xml:space="preserve"> תקנות אלה הוא מיום כ"ז באייר תשי"ד (30 במאי 1954).</w:t>
      </w:r>
    </w:p>
    <w:p w14:paraId="40ECFCCB" w14:textId="77777777" w:rsidR="00AC07F5" w:rsidRDefault="00AC07F5" w:rsidP="001B2917">
      <w:pPr>
        <w:pStyle w:val="P00"/>
        <w:spacing w:before="72"/>
        <w:ind w:left="0" w:right="1134"/>
        <w:rPr>
          <w:rStyle w:val="default"/>
          <w:rFonts w:cs="FrankRuehl"/>
          <w:rtl/>
        </w:rPr>
      </w:pPr>
      <w:bookmarkStart w:id="32" w:name="Seif24"/>
      <w:bookmarkEnd w:id="32"/>
      <w:r>
        <w:rPr>
          <w:lang w:val="he-IL"/>
        </w:rPr>
        <w:pict w14:anchorId="0C117270">
          <v:rect id="_x0000_s1050" style="position:absolute;left:0;text-align:left;margin-left:464.5pt;margin-top:8.05pt;width:75.05pt;height:11.25pt;z-index:251669504" o:allowincell="f" filled="f" stroked="f" strokecolor="lime" strokeweight=".25pt">
            <v:textbox inset="0,0,0,0">
              <w:txbxContent>
                <w:p w14:paraId="6CCA3965" w14:textId="77777777" w:rsidR="00AC07F5" w:rsidRDefault="00AC07F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23.</w:t>
      </w:r>
      <w:r>
        <w:rPr>
          <w:rStyle w:val="big-number"/>
          <w:rFonts w:cs="Miriam"/>
          <w:rtl/>
        </w:rPr>
        <w:tab/>
      </w:r>
      <w:r>
        <w:rPr>
          <w:rStyle w:val="default"/>
          <w:rFonts w:cs="FrankRuehl"/>
          <w:rtl/>
        </w:rPr>
        <w:t>לת</w:t>
      </w:r>
      <w:r>
        <w:rPr>
          <w:rStyle w:val="default"/>
          <w:rFonts w:cs="FrankRuehl" w:hint="cs"/>
          <w:rtl/>
        </w:rPr>
        <w:t>קנות אלה ייקרא "תקנות הגנת הדייר (סדרי הדין בבתי הדין לשכירות), תשי"ד</w:t>
      </w:r>
      <w:r w:rsidR="001B2917">
        <w:rPr>
          <w:rStyle w:val="default"/>
          <w:rFonts w:cs="FrankRuehl" w:hint="cs"/>
          <w:rtl/>
        </w:rPr>
        <w:t>-</w:t>
      </w:r>
      <w:r>
        <w:rPr>
          <w:rStyle w:val="default"/>
          <w:rFonts w:cs="FrankRuehl"/>
          <w:rtl/>
        </w:rPr>
        <w:t>1954".</w:t>
      </w:r>
    </w:p>
    <w:p w14:paraId="5EAACF8F" w14:textId="77777777" w:rsidR="00AC07F5" w:rsidRDefault="00AC07F5">
      <w:pPr>
        <w:pStyle w:val="P00"/>
        <w:spacing w:before="72"/>
        <w:ind w:left="0" w:right="1134"/>
        <w:rPr>
          <w:rStyle w:val="default"/>
          <w:rFonts w:cs="FrankRuehl" w:hint="cs"/>
          <w:rtl/>
        </w:rPr>
      </w:pPr>
    </w:p>
    <w:p w14:paraId="59E99CA8" w14:textId="77777777" w:rsidR="001B2917" w:rsidRDefault="001B2917">
      <w:pPr>
        <w:pStyle w:val="P00"/>
        <w:spacing w:before="72"/>
        <w:ind w:left="0" w:right="1134"/>
        <w:rPr>
          <w:rStyle w:val="default"/>
          <w:rFonts w:cs="FrankRuehl" w:hint="cs"/>
          <w:rtl/>
        </w:rPr>
      </w:pPr>
    </w:p>
    <w:p w14:paraId="722BAE99" w14:textId="77777777" w:rsidR="00AC07F5" w:rsidRDefault="00AC07F5" w:rsidP="002D63DB">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ז באייר תשי"ד (20 במאי 1954)</w:t>
      </w:r>
      <w:r>
        <w:rPr>
          <w:rFonts w:cs="FrankRuehl"/>
          <w:sz w:val="26"/>
          <w:rtl/>
        </w:rPr>
        <w:tab/>
        <w:t>פ</w:t>
      </w:r>
      <w:r>
        <w:rPr>
          <w:rFonts w:cs="FrankRuehl" w:hint="cs"/>
          <w:sz w:val="26"/>
          <w:rtl/>
        </w:rPr>
        <w:t>נחס רוזן</w:t>
      </w:r>
    </w:p>
    <w:p w14:paraId="10D60E0F" w14:textId="77777777" w:rsidR="00AC07F5" w:rsidRDefault="00AC07F5" w:rsidP="002D63DB">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המשפטים</w:t>
      </w:r>
    </w:p>
    <w:p w14:paraId="7EE60D44" w14:textId="77777777" w:rsidR="001B2917" w:rsidRPr="001B2917" w:rsidRDefault="001B2917" w:rsidP="001B2917">
      <w:pPr>
        <w:pStyle w:val="P00"/>
        <w:spacing w:before="72"/>
        <w:ind w:left="0" w:right="1134"/>
        <w:rPr>
          <w:rStyle w:val="default"/>
          <w:rFonts w:cs="FrankRuehl" w:hint="cs"/>
          <w:rtl/>
        </w:rPr>
      </w:pPr>
    </w:p>
    <w:p w14:paraId="5A97F644" w14:textId="77777777" w:rsidR="001B2917" w:rsidRPr="001B2917" w:rsidRDefault="001B2917" w:rsidP="001B2917">
      <w:pPr>
        <w:pStyle w:val="P00"/>
        <w:spacing w:before="72"/>
        <w:ind w:left="0" w:right="1134"/>
        <w:rPr>
          <w:rStyle w:val="default"/>
          <w:rFonts w:cs="FrankRuehl"/>
          <w:rtl/>
        </w:rPr>
      </w:pPr>
    </w:p>
    <w:p w14:paraId="12CF859E" w14:textId="77777777" w:rsidR="00AC07F5" w:rsidRPr="001B2917" w:rsidRDefault="00AC07F5" w:rsidP="001B2917">
      <w:pPr>
        <w:pStyle w:val="P00"/>
        <w:spacing w:before="72"/>
        <w:ind w:left="0" w:right="1134"/>
        <w:rPr>
          <w:rStyle w:val="default"/>
          <w:rFonts w:cs="FrankRuehl"/>
          <w:rtl/>
        </w:rPr>
      </w:pPr>
      <w:bookmarkStart w:id="33" w:name="LawPartEnd"/>
    </w:p>
    <w:bookmarkEnd w:id="33"/>
    <w:p w14:paraId="3E45BBFD" w14:textId="77777777" w:rsidR="00AC07F5" w:rsidRPr="001B2917" w:rsidRDefault="00AC07F5" w:rsidP="001B2917">
      <w:pPr>
        <w:pStyle w:val="P00"/>
        <w:spacing w:before="72"/>
        <w:ind w:left="0" w:right="1134"/>
        <w:rPr>
          <w:rStyle w:val="default"/>
          <w:rFonts w:cs="FrankRuehl"/>
          <w:rtl/>
        </w:rPr>
      </w:pPr>
    </w:p>
    <w:sectPr w:rsidR="00AC07F5" w:rsidRPr="001B2917">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7776" w14:textId="77777777" w:rsidR="008F7C0A" w:rsidRDefault="008F7C0A">
      <w:r>
        <w:separator/>
      </w:r>
    </w:p>
  </w:endnote>
  <w:endnote w:type="continuationSeparator" w:id="0">
    <w:p w14:paraId="574F0CD2" w14:textId="77777777" w:rsidR="008F7C0A" w:rsidRDefault="008F7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B8B" w14:textId="77777777" w:rsidR="00AC07F5" w:rsidRDefault="00AC07F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3703A8F" w14:textId="77777777" w:rsidR="00AC07F5" w:rsidRDefault="00AC07F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3834B7A" w14:textId="77777777" w:rsidR="00AC07F5" w:rsidRDefault="00AC07F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105B">
      <w:rPr>
        <w:rFonts w:cs="TopType Jerushalmi"/>
        <w:noProof/>
        <w:color w:val="000000"/>
        <w:sz w:val="14"/>
        <w:szCs w:val="14"/>
      </w:rPr>
      <w:t>C:\Yael\hakika\Revadim\085_005.doc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2D5B" w14:textId="77777777" w:rsidR="00AC07F5" w:rsidRDefault="00AC07F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D63DB">
      <w:rPr>
        <w:rFonts w:hAnsi="FrankRuehl" w:cs="FrankRuehl"/>
        <w:noProof/>
        <w:sz w:val="24"/>
        <w:szCs w:val="24"/>
        <w:rtl/>
      </w:rPr>
      <w:t>2</w:t>
    </w:r>
    <w:r>
      <w:rPr>
        <w:rFonts w:hAnsi="FrankRuehl" w:cs="FrankRuehl"/>
        <w:sz w:val="24"/>
        <w:szCs w:val="24"/>
        <w:rtl/>
      </w:rPr>
      <w:fldChar w:fldCharType="end"/>
    </w:r>
  </w:p>
  <w:p w14:paraId="4971F5D1" w14:textId="77777777" w:rsidR="00AC07F5" w:rsidRDefault="00AC07F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3F03336" w14:textId="77777777" w:rsidR="00AC07F5" w:rsidRDefault="00AC07F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105B">
      <w:rPr>
        <w:rFonts w:cs="TopType Jerushalmi"/>
        <w:noProof/>
        <w:color w:val="000000"/>
        <w:sz w:val="14"/>
        <w:szCs w:val="14"/>
      </w:rPr>
      <w:t>C:\Yael\hakika\Revadim\085_005.doc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FFAC6" w14:textId="77777777" w:rsidR="008F7C0A" w:rsidRDefault="008F7C0A" w:rsidP="0099105B">
      <w:pPr>
        <w:spacing w:before="60" w:line="240" w:lineRule="auto"/>
        <w:ind w:right="1134"/>
      </w:pPr>
      <w:r>
        <w:separator/>
      </w:r>
    </w:p>
  </w:footnote>
  <w:footnote w:type="continuationSeparator" w:id="0">
    <w:p w14:paraId="230705C9" w14:textId="77777777" w:rsidR="008F7C0A" w:rsidRDefault="008F7C0A">
      <w:r>
        <w:continuationSeparator/>
      </w:r>
    </w:p>
  </w:footnote>
  <w:footnote w:id="1">
    <w:p w14:paraId="2E062CDE" w14:textId="77777777" w:rsidR="0099105B" w:rsidRDefault="0099105B" w:rsidP="009910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99105B">
        <w:rPr>
          <w:rFonts w:cs="FrankRuehl"/>
          <w:rtl/>
        </w:rPr>
        <w:t xml:space="preserve">* </w:t>
      </w:r>
      <w:r>
        <w:rPr>
          <w:rFonts w:cs="FrankRuehl"/>
          <w:rtl/>
        </w:rPr>
        <w:t>פו</w:t>
      </w:r>
      <w:r>
        <w:rPr>
          <w:rFonts w:cs="FrankRuehl" w:hint="cs"/>
          <w:rtl/>
        </w:rPr>
        <w:t xml:space="preserve">רסמו </w:t>
      </w:r>
      <w:hyperlink r:id="rId1" w:history="1">
        <w:r w:rsidRPr="00686876">
          <w:rPr>
            <w:rStyle w:val="Hyperlink"/>
            <w:rFonts w:cs="FrankRuehl" w:hint="cs"/>
            <w:rtl/>
          </w:rPr>
          <w:t>ק"ת</w:t>
        </w:r>
        <w:r w:rsidRPr="00686876">
          <w:rPr>
            <w:rStyle w:val="Hyperlink"/>
            <w:rFonts w:cs="FrankRuehl" w:hint="cs"/>
            <w:rtl/>
          </w:rPr>
          <w:t xml:space="preserve"> תשי"ד מס' 450</w:t>
        </w:r>
      </w:hyperlink>
      <w:r>
        <w:rPr>
          <w:rFonts w:cs="FrankRuehl" w:hint="cs"/>
          <w:rtl/>
        </w:rPr>
        <w:t xml:space="preserve"> מיום 27.5.1954 עמ' 872.</w:t>
      </w:r>
    </w:p>
    <w:p w14:paraId="3DF41073" w14:textId="77777777" w:rsidR="0099105B" w:rsidRDefault="0099105B" w:rsidP="009910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686876">
          <w:rPr>
            <w:rStyle w:val="Hyperlink"/>
            <w:rFonts w:cs="FrankRuehl" w:hint="cs"/>
            <w:rtl/>
          </w:rPr>
          <w:t>ק"ת תשט"ו מס' 47</w:t>
        </w:r>
        <w:r w:rsidRPr="00686876">
          <w:rPr>
            <w:rStyle w:val="Hyperlink"/>
            <w:rFonts w:cs="FrankRuehl" w:hint="cs"/>
            <w:rtl/>
          </w:rPr>
          <w:t>9</w:t>
        </w:r>
      </w:hyperlink>
      <w:r>
        <w:rPr>
          <w:rFonts w:cs="FrankRuehl" w:hint="cs"/>
          <w:rtl/>
        </w:rPr>
        <w:t xml:space="preserve"> מיום 21.10.1954 עמ' 46 </w:t>
      </w:r>
      <w:r>
        <w:rPr>
          <w:rFonts w:cs="FrankRuehl"/>
          <w:rtl/>
        </w:rPr>
        <w:t>–</w:t>
      </w:r>
      <w:r>
        <w:rPr>
          <w:rFonts w:cs="FrankRuehl" w:hint="cs"/>
          <w:rtl/>
        </w:rPr>
        <w:t xml:space="preserve"> תק' תשט"ו-1954; תחילתן 7 ימים מיום פרסומן.</w:t>
      </w:r>
    </w:p>
    <w:p w14:paraId="5727D069" w14:textId="77777777" w:rsidR="0099105B" w:rsidRDefault="0099105B" w:rsidP="009910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077D53">
          <w:rPr>
            <w:rStyle w:val="Hyperlink"/>
            <w:rFonts w:cs="FrankRuehl" w:hint="cs"/>
            <w:rtl/>
          </w:rPr>
          <w:t>ק</w:t>
        </w:r>
        <w:r w:rsidRPr="00077D53">
          <w:rPr>
            <w:rStyle w:val="Hyperlink"/>
            <w:rFonts w:cs="FrankRuehl"/>
            <w:rtl/>
          </w:rPr>
          <w:t>"</w:t>
        </w:r>
        <w:r w:rsidRPr="00077D53">
          <w:rPr>
            <w:rStyle w:val="Hyperlink"/>
            <w:rFonts w:cs="FrankRuehl" w:hint="cs"/>
            <w:rtl/>
          </w:rPr>
          <w:t>ת תשכ"ט מס' 2292</w:t>
        </w:r>
      </w:hyperlink>
      <w:r w:rsidRPr="00077D53">
        <w:rPr>
          <w:rFonts w:cs="FrankRuehl" w:hint="cs"/>
          <w:rtl/>
        </w:rPr>
        <w:t xml:space="preserve"> מיום 4.10.1968 עמ' 40 </w:t>
      </w:r>
      <w:r w:rsidRPr="00077D53">
        <w:rPr>
          <w:rFonts w:cs="FrankRuehl"/>
          <w:rtl/>
        </w:rPr>
        <w:t>–</w:t>
      </w:r>
      <w:r w:rsidRPr="00077D53">
        <w:rPr>
          <w:rFonts w:cs="FrankRuehl" w:hint="cs"/>
          <w:rtl/>
        </w:rPr>
        <w:t xml:space="preserve"> תק' תשכ"ט-1968.</w:t>
      </w:r>
    </w:p>
    <w:p w14:paraId="2D7334AC" w14:textId="77777777" w:rsidR="0099105B" w:rsidRPr="0099105B" w:rsidRDefault="0099105B" w:rsidP="009910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686876">
          <w:rPr>
            <w:rStyle w:val="Hyperlink"/>
            <w:rFonts w:cs="FrankRuehl" w:hint="cs"/>
            <w:rtl/>
          </w:rPr>
          <w:t>ק</w:t>
        </w:r>
        <w:r w:rsidRPr="00686876">
          <w:rPr>
            <w:rStyle w:val="Hyperlink"/>
            <w:rFonts w:cs="FrankRuehl"/>
            <w:rtl/>
          </w:rPr>
          <w:t>"</w:t>
        </w:r>
        <w:r w:rsidRPr="00686876">
          <w:rPr>
            <w:rStyle w:val="Hyperlink"/>
            <w:rFonts w:cs="FrankRuehl" w:hint="cs"/>
            <w:rtl/>
          </w:rPr>
          <w:t>ת תש"ל מס' 2518</w:t>
        </w:r>
      </w:hyperlink>
      <w:r>
        <w:rPr>
          <w:rFonts w:cs="FrankRuehl" w:hint="cs"/>
          <w:rtl/>
        </w:rPr>
        <w:t xml:space="preserve"> מיום 5.2.1</w:t>
      </w:r>
      <w:r>
        <w:rPr>
          <w:rFonts w:cs="FrankRuehl"/>
          <w:rtl/>
        </w:rPr>
        <w:t>970 ע</w:t>
      </w:r>
      <w:r>
        <w:rPr>
          <w:rFonts w:cs="FrankRuehl" w:hint="cs"/>
          <w:rtl/>
        </w:rPr>
        <w:t xml:space="preserve">מ' 994 </w:t>
      </w:r>
      <w:r>
        <w:rPr>
          <w:rFonts w:cs="FrankRuehl"/>
          <w:rtl/>
        </w:rPr>
        <w:t>–</w:t>
      </w:r>
      <w:r>
        <w:rPr>
          <w:rFonts w:cs="FrankRuehl" w:hint="cs"/>
          <w:rtl/>
        </w:rPr>
        <w:t xml:space="preserve"> תק' תש"ל-1970.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CF3D" w14:textId="77777777" w:rsidR="00AC07F5" w:rsidRDefault="00AC07F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הגנת הדייר (סדרי הדין בבתי הדין לשכירות), תשי"ד–1954</w:t>
    </w:r>
  </w:p>
  <w:p w14:paraId="74054DEB" w14:textId="77777777" w:rsidR="00AC07F5" w:rsidRDefault="00AC07F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8B2CD5" w14:textId="77777777" w:rsidR="00AC07F5" w:rsidRDefault="00AC07F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968A0" w14:textId="77777777" w:rsidR="00AC07F5" w:rsidRDefault="00AC07F5" w:rsidP="0099105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הגנת הדייר (סדרי הדין בבתי הדין לשכירות), תשי"ד</w:t>
    </w:r>
    <w:r w:rsidR="0099105B">
      <w:rPr>
        <w:rFonts w:hAnsi="FrankRuehl" w:cs="FrankRuehl" w:hint="cs"/>
        <w:color w:val="000000"/>
        <w:sz w:val="28"/>
        <w:szCs w:val="28"/>
        <w:rtl/>
      </w:rPr>
      <w:t>-</w:t>
    </w:r>
    <w:r>
      <w:rPr>
        <w:rFonts w:hAnsi="FrankRuehl" w:cs="FrankRuehl"/>
        <w:color w:val="000000"/>
        <w:sz w:val="28"/>
        <w:szCs w:val="28"/>
        <w:rtl/>
      </w:rPr>
      <w:t>1954</w:t>
    </w:r>
  </w:p>
  <w:p w14:paraId="7F5FC638" w14:textId="77777777" w:rsidR="00AC07F5" w:rsidRDefault="00AC07F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8445B8A" w14:textId="77777777" w:rsidR="00AC07F5" w:rsidRDefault="00AC07F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6876"/>
    <w:rsid w:val="000576CA"/>
    <w:rsid w:val="00077D53"/>
    <w:rsid w:val="001B2917"/>
    <w:rsid w:val="002A7A82"/>
    <w:rsid w:val="002D63DB"/>
    <w:rsid w:val="005C6942"/>
    <w:rsid w:val="005E0F34"/>
    <w:rsid w:val="00686876"/>
    <w:rsid w:val="007E1B76"/>
    <w:rsid w:val="00814826"/>
    <w:rsid w:val="008F7C0A"/>
    <w:rsid w:val="00930DC6"/>
    <w:rsid w:val="0099105B"/>
    <w:rsid w:val="009C5DEE"/>
    <w:rsid w:val="00A53E2F"/>
    <w:rsid w:val="00AC07F5"/>
    <w:rsid w:val="00E76C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30B91B3"/>
  <w15:chartTrackingRefBased/>
  <w15:docId w15:val="{734DA60B-9CC8-41E8-A898-35234BDC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686876"/>
    <w:rPr>
      <w:color w:val="800080"/>
      <w:u w:val="single"/>
    </w:rPr>
  </w:style>
  <w:style w:type="paragraph" w:styleId="a5">
    <w:name w:val="footnote text"/>
    <w:basedOn w:val="a"/>
    <w:semiHidden/>
    <w:rsid w:val="0099105B"/>
    <w:rPr>
      <w:sz w:val="20"/>
      <w:szCs w:val="20"/>
    </w:rPr>
  </w:style>
  <w:style w:type="character" w:styleId="a6">
    <w:name w:val="footnote reference"/>
    <w:basedOn w:val="a0"/>
    <w:semiHidden/>
    <w:rsid w:val="009910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518.pdf" TargetMode="External"/><Relationship Id="rId13" Type="http://schemas.openxmlformats.org/officeDocument/2006/relationships/hyperlink" Target="http://www.nevo.co.il/Law_word/law06/TAK-0479.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2518.pdf" TargetMode="External"/><Relationship Id="rId12" Type="http://schemas.openxmlformats.org/officeDocument/2006/relationships/hyperlink" Target="http://www.nevo.co.il/Law_word/law06/TAK-2518.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2518.pdf" TargetMode="External"/><Relationship Id="rId11" Type="http://schemas.openxmlformats.org/officeDocument/2006/relationships/hyperlink" Target="http://www.nevo.co.il/Law_word/law06/TAK-2518.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2518.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2292.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292.pdf" TargetMode="External"/><Relationship Id="rId2" Type="http://schemas.openxmlformats.org/officeDocument/2006/relationships/hyperlink" Target="http://www.nevo.co.il/Law_word/law06/TAK-0479.pdf" TargetMode="External"/><Relationship Id="rId1" Type="http://schemas.openxmlformats.org/officeDocument/2006/relationships/hyperlink" Target="http://www.nevo.co.il/Law_word/law06/TAK-0450.pdf" TargetMode="External"/><Relationship Id="rId4" Type="http://schemas.openxmlformats.org/officeDocument/2006/relationships/hyperlink" Target="http://www.nevo.co.il/Law_word/law06/TAK-25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פרק 85</vt:lpstr>
    </vt:vector>
  </TitlesOfParts>
  <Company/>
  <LinksUpToDate>false</LinksUpToDate>
  <CharactersWithSpaces>12285</CharactersWithSpaces>
  <SharedDoc>false</SharedDoc>
  <HLinks>
    <vt:vector size="222" baseType="variant">
      <vt:variant>
        <vt:i4>8257541</vt:i4>
      </vt:variant>
      <vt:variant>
        <vt:i4>171</vt:i4>
      </vt:variant>
      <vt:variant>
        <vt:i4>0</vt:i4>
      </vt:variant>
      <vt:variant>
        <vt:i4>5</vt:i4>
      </vt:variant>
      <vt:variant>
        <vt:lpwstr>http://www.nevo.co.il/Law_word/law06/TAK-0479.pdf</vt:lpwstr>
      </vt:variant>
      <vt:variant>
        <vt:lpwstr/>
      </vt:variant>
      <vt:variant>
        <vt:i4>7995397</vt:i4>
      </vt:variant>
      <vt:variant>
        <vt:i4>168</vt:i4>
      </vt:variant>
      <vt:variant>
        <vt:i4>0</vt:i4>
      </vt:variant>
      <vt:variant>
        <vt:i4>5</vt:i4>
      </vt:variant>
      <vt:variant>
        <vt:lpwstr>http://www.nevo.co.il/Law_word/law06/TAK-2518.pdf</vt:lpwstr>
      </vt:variant>
      <vt:variant>
        <vt:lpwstr/>
      </vt:variant>
      <vt:variant>
        <vt:i4>7995397</vt:i4>
      </vt:variant>
      <vt:variant>
        <vt:i4>165</vt:i4>
      </vt:variant>
      <vt:variant>
        <vt:i4>0</vt:i4>
      </vt:variant>
      <vt:variant>
        <vt:i4>5</vt:i4>
      </vt:variant>
      <vt:variant>
        <vt:lpwstr>http://www.nevo.co.il/Law_word/law06/TAK-2518.pdf</vt:lpwstr>
      </vt:variant>
      <vt:variant>
        <vt:lpwstr/>
      </vt:variant>
      <vt:variant>
        <vt:i4>7995397</vt:i4>
      </vt:variant>
      <vt:variant>
        <vt:i4>162</vt:i4>
      </vt:variant>
      <vt:variant>
        <vt:i4>0</vt:i4>
      </vt:variant>
      <vt:variant>
        <vt:i4>5</vt:i4>
      </vt:variant>
      <vt:variant>
        <vt:lpwstr>http://www.nevo.co.il/Law_word/law06/TAK-2518.pdf</vt:lpwstr>
      </vt:variant>
      <vt:variant>
        <vt:lpwstr/>
      </vt:variant>
      <vt:variant>
        <vt:i4>7471112</vt:i4>
      </vt:variant>
      <vt:variant>
        <vt:i4>159</vt:i4>
      </vt:variant>
      <vt:variant>
        <vt:i4>0</vt:i4>
      </vt:variant>
      <vt:variant>
        <vt:i4>5</vt:i4>
      </vt:variant>
      <vt:variant>
        <vt:lpwstr>http://www.nevo.co.il/Law_word/law06/TAK-2292.pdf</vt:lpwstr>
      </vt:variant>
      <vt:variant>
        <vt:lpwstr/>
      </vt:variant>
      <vt:variant>
        <vt:i4>7995397</vt:i4>
      </vt:variant>
      <vt:variant>
        <vt:i4>156</vt:i4>
      </vt:variant>
      <vt:variant>
        <vt:i4>0</vt:i4>
      </vt:variant>
      <vt:variant>
        <vt:i4>5</vt:i4>
      </vt:variant>
      <vt:variant>
        <vt:lpwstr>http://www.nevo.co.il/Law_word/law06/TAK-2518.pdf</vt:lpwstr>
      </vt:variant>
      <vt:variant>
        <vt:lpwstr/>
      </vt:variant>
      <vt:variant>
        <vt:i4>7995397</vt:i4>
      </vt:variant>
      <vt:variant>
        <vt:i4>153</vt:i4>
      </vt:variant>
      <vt:variant>
        <vt:i4>0</vt:i4>
      </vt:variant>
      <vt:variant>
        <vt:i4>5</vt:i4>
      </vt:variant>
      <vt:variant>
        <vt:lpwstr>http://www.nevo.co.il/Law_word/law06/TAK-2518.pdf</vt:lpwstr>
      </vt:variant>
      <vt:variant>
        <vt:lpwstr/>
      </vt:variant>
      <vt:variant>
        <vt:i4>7995397</vt:i4>
      </vt:variant>
      <vt:variant>
        <vt:i4>150</vt:i4>
      </vt:variant>
      <vt:variant>
        <vt:i4>0</vt:i4>
      </vt:variant>
      <vt:variant>
        <vt:i4>5</vt:i4>
      </vt:variant>
      <vt:variant>
        <vt:lpwstr>http://www.nevo.co.il/Law_word/law06/TAK-2518.pdf</vt:lpwstr>
      </vt:variant>
      <vt:variant>
        <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7995397</vt:i4>
      </vt:variant>
      <vt:variant>
        <vt:i4>9</vt:i4>
      </vt:variant>
      <vt:variant>
        <vt:i4>0</vt:i4>
      </vt:variant>
      <vt:variant>
        <vt:i4>5</vt:i4>
      </vt:variant>
      <vt:variant>
        <vt:lpwstr>http://www.nevo.co.il/Law_word/law06/TAK-2518.pdf</vt:lpwstr>
      </vt:variant>
      <vt:variant>
        <vt:lpwstr/>
      </vt:variant>
      <vt:variant>
        <vt:i4>7471112</vt:i4>
      </vt:variant>
      <vt:variant>
        <vt:i4>6</vt:i4>
      </vt:variant>
      <vt:variant>
        <vt:i4>0</vt:i4>
      </vt:variant>
      <vt:variant>
        <vt:i4>5</vt:i4>
      </vt:variant>
      <vt:variant>
        <vt:lpwstr>http://www.nevo.co.il/Law_word/law06/TAK-2292.pdf</vt:lpwstr>
      </vt:variant>
      <vt:variant>
        <vt:lpwstr/>
      </vt:variant>
      <vt:variant>
        <vt:i4>8257541</vt:i4>
      </vt:variant>
      <vt:variant>
        <vt:i4>3</vt:i4>
      </vt:variant>
      <vt:variant>
        <vt:i4>0</vt:i4>
      </vt:variant>
      <vt:variant>
        <vt:i4>5</vt:i4>
      </vt:variant>
      <vt:variant>
        <vt:lpwstr>http://www.nevo.co.il/Law_word/law06/TAK-0479.pdf</vt:lpwstr>
      </vt:variant>
      <vt:variant>
        <vt:lpwstr/>
      </vt:variant>
      <vt:variant>
        <vt:i4>8126476</vt:i4>
      </vt:variant>
      <vt:variant>
        <vt:i4>0</vt:i4>
      </vt:variant>
      <vt:variant>
        <vt:i4>0</vt:i4>
      </vt:variant>
      <vt:variant>
        <vt:i4>5</vt:i4>
      </vt:variant>
      <vt:variant>
        <vt:lpwstr>http://www.nevo.co.il/Law_word/law06/TAK-0450.pdf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85</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0085</vt:lpwstr>
  </property>
  <property fmtid="{D5CDD505-2E9C-101B-9397-08002B2CF9AE}" pid="3" name="CHNAME">
    <vt:lpwstr>הגנת הדייר</vt:lpwstr>
  </property>
  <property fmtid="{D5CDD505-2E9C-101B-9397-08002B2CF9AE}" pid="4" name="LAWNAME">
    <vt:lpwstr>תקנות הגנת הדייר (סדרי הדין בבתי הדין לשכירות), תשי"ד-1954</vt:lpwstr>
  </property>
  <property fmtid="{D5CDD505-2E9C-101B-9397-08002B2CF9AE}" pid="5" name="LAWNUMBER">
    <vt:lpwstr>0005</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שכירות והגנת הדייר</vt:lpwstr>
  </property>
  <property fmtid="{D5CDD505-2E9C-101B-9397-08002B2CF9AE}" pid="10" name="NOSE41">
    <vt:lpwstr>בית הדין לשכירות</vt:lpwstr>
  </property>
  <property fmtid="{D5CDD505-2E9C-101B-9397-08002B2CF9AE}" pid="11" name="NOSE12">
    <vt:lpwstr>בתי משפט וסדרי דין</vt:lpwstr>
  </property>
  <property fmtid="{D5CDD505-2E9C-101B-9397-08002B2CF9AE}" pid="12" name="NOSE22">
    <vt:lpwstr>בתי משפט ובתי דין</vt:lpwstr>
  </property>
  <property fmtid="{D5CDD505-2E9C-101B-9397-08002B2CF9AE}" pid="13" name="NOSE32">
    <vt:lpwstr>בית הדין לשכירות</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אזרחי</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