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279F" w14:textId="77777777" w:rsidR="009C4244" w:rsidRDefault="009C4244" w:rsidP="00CF24D0">
      <w:pPr>
        <w:pStyle w:val="big-header"/>
        <w:ind w:left="0" w:right="1134"/>
        <w:rPr>
          <w:rFonts w:hint="cs"/>
          <w:rtl/>
        </w:rPr>
      </w:pPr>
      <w:r>
        <w:rPr>
          <w:rtl/>
        </w:rPr>
        <w:t xml:space="preserve">תקנות </w:t>
      </w:r>
      <w:r w:rsidR="00CF24D0">
        <w:rPr>
          <w:rFonts w:hint="cs"/>
          <w:rtl/>
        </w:rPr>
        <w:t>הגנת הסביבה (סמכויות פיקוח ואכיפה) (דין משמעתי למשרתים בשירות אזרחי-ביטחוני), תשע"ה-2015</w:t>
      </w:r>
    </w:p>
    <w:p w14:paraId="3EB9C50B" w14:textId="77777777" w:rsidR="00CF24D0" w:rsidRPr="00CF24D0" w:rsidRDefault="00CF24D0" w:rsidP="00CF24D0">
      <w:pPr>
        <w:spacing w:line="320" w:lineRule="auto"/>
        <w:jc w:val="left"/>
        <w:rPr>
          <w:rFonts w:cs="FrankRuehl"/>
          <w:szCs w:val="26"/>
          <w:rtl/>
        </w:rPr>
      </w:pPr>
    </w:p>
    <w:p w14:paraId="77C91F5E" w14:textId="77777777" w:rsidR="00CF24D0" w:rsidRDefault="00CF24D0" w:rsidP="00CF24D0">
      <w:pPr>
        <w:spacing w:line="320" w:lineRule="auto"/>
        <w:jc w:val="left"/>
        <w:rPr>
          <w:rtl/>
        </w:rPr>
      </w:pPr>
    </w:p>
    <w:p w14:paraId="79C55A52" w14:textId="77777777" w:rsidR="00CF24D0" w:rsidRDefault="00CF24D0" w:rsidP="00CF24D0">
      <w:pPr>
        <w:spacing w:line="320" w:lineRule="auto"/>
        <w:jc w:val="left"/>
        <w:rPr>
          <w:rFonts w:cs="Miriam"/>
          <w:szCs w:val="22"/>
          <w:rtl/>
        </w:rPr>
      </w:pPr>
      <w:r w:rsidRPr="00CF24D0">
        <w:rPr>
          <w:rFonts w:cs="Miriam"/>
          <w:szCs w:val="22"/>
          <w:rtl/>
        </w:rPr>
        <w:t>בטחון</w:t>
      </w:r>
      <w:r w:rsidRPr="00CF24D0">
        <w:rPr>
          <w:rFonts w:cs="FrankRuehl"/>
          <w:szCs w:val="26"/>
          <w:rtl/>
        </w:rPr>
        <w:t xml:space="preserve"> – שירות לאומי</w:t>
      </w:r>
    </w:p>
    <w:p w14:paraId="232701B0" w14:textId="77777777" w:rsidR="00CF24D0" w:rsidRPr="00CF24D0" w:rsidRDefault="00CF24D0" w:rsidP="00CF24D0">
      <w:pPr>
        <w:spacing w:line="320" w:lineRule="auto"/>
        <w:jc w:val="left"/>
        <w:rPr>
          <w:rFonts w:cs="Miriam" w:hint="cs"/>
          <w:szCs w:val="22"/>
          <w:rtl/>
        </w:rPr>
      </w:pPr>
      <w:r w:rsidRPr="00CF24D0">
        <w:rPr>
          <w:rFonts w:cs="Miriam"/>
          <w:szCs w:val="22"/>
          <w:rtl/>
        </w:rPr>
        <w:t>חקלאות טבע וסביבה</w:t>
      </w:r>
      <w:r w:rsidRPr="00CF24D0">
        <w:rPr>
          <w:rFonts w:cs="FrankRuehl"/>
          <w:szCs w:val="26"/>
          <w:rtl/>
        </w:rPr>
        <w:t xml:space="preserve"> – הגנת הסביבה</w:t>
      </w:r>
    </w:p>
    <w:p w14:paraId="2A788731" w14:textId="77777777" w:rsidR="009C4244" w:rsidRDefault="009C424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707D" w:rsidRPr="0030707D" w14:paraId="5B2E9C75" w14:textId="77777777">
        <w:tblPrEx>
          <w:tblCellMar>
            <w:top w:w="0" w:type="dxa"/>
            <w:bottom w:w="0" w:type="dxa"/>
          </w:tblCellMar>
        </w:tblPrEx>
        <w:tc>
          <w:tcPr>
            <w:tcW w:w="1247" w:type="dxa"/>
          </w:tcPr>
          <w:p w14:paraId="6CE73CDD" w14:textId="77777777" w:rsidR="0030707D" w:rsidRPr="0030707D" w:rsidRDefault="0030707D" w:rsidP="0030707D">
            <w:pPr>
              <w:spacing w:line="240" w:lineRule="auto"/>
              <w:jc w:val="left"/>
              <w:rPr>
                <w:rFonts w:cs="Frankruhel"/>
                <w:sz w:val="24"/>
                <w:rtl/>
              </w:rPr>
            </w:pPr>
            <w:r>
              <w:rPr>
                <w:rFonts w:cs="Times New Roman"/>
                <w:sz w:val="24"/>
                <w:rtl/>
              </w:rPr>
              <w:t xml:space="preserve">סעיף 1 </w:t>
            </w:r>
          </w:p>
        </w:tc>
        <w:tc>
          <w:tcPr>
            <w:tcW w:w="5669" w:type="dxa"/>
          </w:tcPr>
          <w:p w14:paraId="7E16D0DC" w14:textId="77777777" w:rsidR="0030707D" w:rsidRPr="0030707D" w:rsidRDefault="0030707D" w:rsidP="0030707D">
            <w:pPr>
              <w:spacing w:line="240" w:lineRule="auto"/>
              <w:jc w:val="left"/>
              <w:rPr>
                <w:rFonts w:cs="Frankruhel"/>
                <w:sz w:val="24"/>
                <w:rtl/>
              </w:rPr>
            </w:pPr>
            <w:r>
              <w:rPr>
                <w:rFonts w:cs="Times New Roman"/>
                <w:sz w:val="24"/>
                <w:rtl/>
              </w:rPr>
              <w:t>הגדרות</w:t>
            </w:r>
          </w:p>
        </w:tc>
        <w:tc>
          <w:tcPr>
            <w:tcW w:w="567" w:type="dxa"/>
          </w:tcPr>
          <w:p w14:paraId="4C577B63" w14:textId="77777777" w:rsidR="0030707D" w:rsidRPr="0030707D" w:rsidRDefault="0030707D" w:rsidP="0030707D">
            <w:pPr>
              <w:spacing w:line="240" w:lineRule="auto"/>
              <w:jc w:val="left"/>
              <w:rPr>
                <w:rStyle w:val="Hyperlink"/>
                <w:rtl/>
              </w:rPr>
            </w:pPr>
            <w:hyperlink w:anchor="Seif1" w:tooltip="הגדרות" w:history="1">
              <w:r w:rsidRPr="0030707D">
                <w:rPr>
                  <w:rStyle w:val="Hyperlink"/>
                </w:rPr>
                <w:t>Go</w:t>
              </w:r>
            </w:hyperlink>
          </w:p>
        </w:tc>
        <w:tc>
          <w:tcPr>
            <w:tcW w:w="850" w:type="dxa"/>
          </w:tcPr>
          <w:p w14:paraId="53255B5B"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72CC2341" w14:textId="77777777">
        <w:tblPrEx>
          <w:tblCellMar>
            <w:top w:w="0" w:type="dxa"/>
            <w:bottom w:w="0" w:type="dxa"/>
          </w:tblCellMar>
        </w:tblPrEx>
        <w:tc>
          <w:tcPr>
            <w:tcW w:w="1247" w:type="dxa"/>
          </w:tcPr>
          <w:p w14:paraId="26350BA6" w14:textId="77777777" w:rsidR="0030707D" w:rsidRPr="0030707D" w:rsidRDefault="0030707D" w:rsidP="0030707D">
            <w:pPr>
              <w:spacing w:line="240" w:lineRule="auto"/>
              <w:jc w:val="left"/>
              <w:rPr>
                <w:rFonts w:cs="Frankruhel"/>
                <w:sz w:val="24"/>
                <w:rtl/>
              </w:rPr>
            </w:pPr>
            <w:r>
              <w:rPr>
                <w:rFonts w:cs="Times New Roman"/>
                <w:sz w:val="24"/>
                <w:rtl/>
              </w:rPr>
              <w:t xml:space="preserve">סעיף 2 </w:t>
            </w:r>
          </w:p>
        </w:tc>
        <w:tc>
          <w:tcPr>
            <w:tcW w:w="5669" w:type="dxa"/>
          </w:tcPr>
          <w:p w14:paraId="5C0C9C4C" w14:textId="77777777" w:rsidR="0030707D" w:rsidRPr="0030707D" w:rsidRDefault="0030707D" w:rsidP="0030707D">
            <w:pPr>
              <w:spacing w:line="240" w:lineRule="auto"/>
              <w:jc w:val="left"/>
              <w:rPr>
                <w:rFonts w:cs="Frankruhel"/>
                <w:sz w:val="24"/>
                <w:rtl/>
              </w:rPr>
            </w:pPr>
            <w:r>
              <w:rPr>
                <w:rFonts w:cs="Times New Roman"/>
                <w:sz w:val="24"/>
                <w:rtl/>
              </w:rPr>
              <w:t>עריכת כתב תלונה</w:t>
            </w:r>
          </w:p>
        </w:tc>
        <w:tc>
          <w:tcPr>
            <w:tcW w:w="567" w:type="dxa"/>
          </w:tcPr>
          <w:p w14:paraId="6AD4E3E7" w14:textId="77777777" w:rsidR="0030707D" w:rsidRPr="0030707D" w:rsidRDefault="0030707D" w:rsidP="0030707D">
            <w:pPr>
              <w:spacing w:line="240" w:lineRule="auto"/>
              <w:jc w:val="left"/>
              <w:rPr>
                <w:rStyle w:val="Hyperlink"/>
                <w:rtl/>
              </w:rPr>
            </w:pPr>
            <w:hyperlink w:anchor="Seif2" w:tooltip="עריכת כתב תלונה" w:history="1">
              <w:r w:rsidRPr="0030707D">
                <w:rPr>
                  <w:rStyle w:val="Hyperlink"/>
                </w:rPr>
                <w:t>Go</w:t>
              </w:r>
            </w:hyperlink>
          </w:p>
        </w:tc>
        <w:tc>
          <w:tcPr>
            <w:tcW w:w="850" w:type="dxa"/>
          </w:tcPr>
          <w:p w14:paraId="0437FC06"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4A0274EF" w14:textId="77777777">
        <w:tblPrEx>
          <w:tblCellMar>
            <w:top w:w="0" w:type="dxa"/>
            <w:bottom w:w="0" w:type="dxa"/>
          </w:tblCellMar>
        </w:tblPrEx>
        <w:tc>
          <w:tcPr>
            <w:tcW w:w="1247" w:type="dxa"/>
          </w:tcPr>
          <w:p w14:paraId="1C7173D8" w14:textId="77777777" w:rsidR="0030707D" w:rsidRPr="0030707D" w:rsidRDefault="0030707D" w:rsidP="0030707D">
            <w:pPr>
              <w:spacing w:line="240" w:lineRule="auto"/>
              <w:jc w:val="left"/>
              <w:rPr>
                <w:rFonts w:cs="Frankruhel"/>
                <w:sz w:val="24"/>
                <w:rtl/>
              </w:rPr>
            </w:pPr>
            <w:r>
              <w:rPr>
                <w:rFonts w:cs="Times New Roman"/>
                <w:sz w:val="24"/>
                <w:rtl/>
              </w:rPr>
              <w:t xml:space="preserve">סעיף 3 </w:t>
            </w:r>
          </w:p>
        </w:tc>
        <w:tc>
          <w:tcPr>
            <w:tcW w:w="5669" w:type="dxa"/>
          </w:tcPr>
          <w:p w14:paraId="4775E96E" w14:textId="77777777" w:rsidR="0030707D" w:rsidRPr="0030707D" w:rsidRDefault="0030707D" w:rsidP="0030707D">
            <w:pPr>
              <w:spacing w:line="240" w:lineRule="auto"/>
              <w:jc w:val="left"/>
              <w:rPr>
                <w:rFonts w:cs="Frankruhel"/>
                <w:sz w:val="24"/>
                <w:rtl/>
              </w:rPr>
            </w:pPr>
            <w:r>
              <w:rPr>
                <w:rFonts w:cs="Times New Roman"/>
                <w:sz w:val="24"/>
                <w:rtl/>
              </w:rPr>
              <w:t>תוכן כתב תלונה</w:t>
            </w:r>
          </w:p>
        </w:tc>
        <w:tc>
          <w:tcPr>
            <w:tcW w:w="567" w:type="dxa"/>
          </w:tcPr>
          <w:p w14:paraId="1188F123" w14:textId="77777777" w:rsidR="0030707D" w:rsidRPr="0030707D" w:rsidRDefault="0030707D" w:rsidP="0030707D">
            <w:pPr>
              <w:spacing w:line="240" w:lineRule="auto"/>
              <w:jc w:val="left"/>
              <w:rPr>
                <w:rStyle w:val="Hyperlink"/>
                <w:rtl/>
              </w:rPr>
            </w:pPr>
            <w:hyperlink w:anchor="Seif3" w:tooltip="תוכן כתב תלונה" w:history="1">
              <w:r w:rsidRPr="0030707D">
                <w:rPr>
                  <w:rStyle w:val="Hyperlink"/>
                </w:rPr>
                <w:t>Go</w:t>
              </w:r>
            </w:hyperlink>
          </w:p>
        </w:tc>
        <w:tc>
          <w:tcPr>
            <w:tcW w:w="850" w:type="dxa"/>
          </w:tcPr>
          <w:p w14:paraId="4D978CD4"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782BE024" w14:textId="77777777">
        <w:tblPrEx>
          <w:tblCellMar>
            <w:top w:w="0" w:type="dxa"/>
            <w:bottom w:w="0" w:type="dxa"/>
          </w:tblCellMar>
        </w:tblPrEx>
        <w:tc>
          <w:tcPr>
            <w:tcW w:w="1247" w:type="dxa"/>
          </w:tcPr>
          <w:p w14:paraId="5B4CDF72" w14:textId="77777777" w:rsidR="0030707D" w:rsidRPr="0030707D" w:rsidRDefault="0030707D" w:rsidP="0030707D">
            <w:pPr>
              <w:spacing w:line="240" w:lineRule="auto"/>
              <w:jc w:val="left"/>
              <w:rPr>
                <w:rFonts w:cs="Frankruhel"/>
                <w:sz w:val="24"/>
                <w:rtl/>
              </w:rPr>
            </w:pPr>
            <w:r>
              <w:rPr>
                <w:rFonts w:cs="Times New Roman"/>
                <w:sz w:val="24"/>
                <w:rtl/>
              </w:rPr>
              <w:t xml:space="preserve">סעיף 4 </w:t>
            </w:r>
          </w:p>
        </w:tc>
        <w:tc>
          <w:tcPr>
            <w:tcW w:w="5669" w:type="dxa"/>
          </w:tcPr>
          <w:p w14:paraId="2F250476" w14:textId="77777777" w:rsidR="0030707D" w:rsidRPr="0030707D" w:rsidRDefault="0030707D" w:rsidP="0030707D">
            <w:pPr>
              <w:spacing w:line="240" w:lineRule="auto"/>
              <w:jc w:val="left"/>
              <w:rPr>
                <w:rFonts w:cs="Frankruhel"/>
                <w:sz w:val="24"/>
                <w:rtl/>
              </w:rPr>
            </w:pPr>
            <w:r>
              <w:rPr>
                <w:rFonts w:cs="Times New Roman"/>
                <w:sz w:val="24"/>
                <w:rtl/>
              </w:rPr>
              <w:t>מסירת כתב תלונה</w:t>
            </w:r>
          </w:p>
        </w:tc>
        <w:tc>
          <w:tcPr>
            <w:tcW w:w="567" w:type="dxa"/>
          </w:tcPr>
          <w:p w14:paraId="3A28F9DC" w14:textId="77777777" w:rsidR="0030707D" w:rsidRPr="0030707D" w:rsidRDefault="0030707D" w:rsidP="0030707D">
            <w:pPr>
              <w:spacing w:line="240" w:lineRule="auto"/>
              <w:jc w:val="left"/>
              <w:rPr>
                <w:rStyle w:val="Hyperlink"/>
                <w:rtl/>
              </w:rPr>
            </w:pPr>
            <w:hyperlink w:anchor="Seif4" w:tooltip="מסירת כתב תלונה" w:history="1">
              <w:r w:rsidRPr="0030707D">
                <w:rPr>
                  <w:rStyle w:val="Hyperlink"/>
                </w:rPr>
                <w:t>Go</w:t>
              </w:r>
            </w:hyperlink>
          </w:p>
        </w:tc>
        <w:tc>
          <w:tcPr>
            <w:tcW w:w="850" w:type="dxa"/>
          </w:tcPr>
          <w:p w14:paraId="51064257"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7F0DB894" w14:textId="77777777">
        <w:tblPrEx>
          <w:tblCellMar>
            <w:top w:w="0" w:type="dxa"/>
            <w:bottom w:w="0" w:type="dxa"/>
          </w:tblCellMar>
        </w:tblPrEx>
        <w:tc>
          <w:tcPr>
            <w:tcW w:w="1247" w:type="dxa"/>
          </w:tcPr>
          <w:p w14:paraId="4642AB6E" w14:textId="77777777" w:rsidR="0030707D" w:rsidRPr="0030707D" w:rsidRDefault="0030707D" w:rsidP="0030707D">
            <w:pPr>
              <w:spacing w:line="240" w:lineRule="auto"/>
              <w:jc w:val="left"/>
              <w:rPr>
                <w:rFonts w:cs="Frankruhel"/>
                <w:sz w:val="24"/>
                <w:rtl/>
              </w:rPr>
            </w:pPr>
            <w:r>
              <w:rPr>
                <w:rFonts w:cs="Times New Roman"/>
                <w:sz w:val="24"/>
                <w:rtl/>
              </w:rPr>
              <w:t xml:space="preserve">סעיף 5 </w:t>
            </w:r>
          </w:p>
        </w:tc>
        <w:tc>
          <w:tcPr>
            <w:tcW w:w="5669" w:type="dxa"/>
          </w:tcPr>
          <w:p w14:paraId="06B77999" w14:textId="77777777" w:rsidR="0030707D" w:rsidRPr="0030707D" w:rsidRDefault="0030707D" w:rsidP="0030707D">
            <w:pPr>
              <w:spacing w:line="240" w:lineRule="auto"/>
              <w:jc w:val="left"/>
              <w:rPr>
                <w:rFonts w:cs="Frankruhel"/>
                <w:sz w:val="24"/>
                <w:rtl/>
              </w:rPr>
            </w:pPr>
            <w:r>
              <w:rPr>
                <w:rFonts w:cs="Times New Roman"/>
                <w:sz w:val="24"/>
                <w:rtl/>
              </w:rPr>
              <w:t>ביטול כתב תלונה</w:t>
            </w:r>
          </w:p>
        </w:tc>
        <w:tc>
          <w:tcPr>
            <w:tcW w:w="567" w:type="dxa"/>
          </w:tcPr>
          <w:p w14:paraId="47C0A5DE" w14:textId="77777777" w:rsidR="0030707D" w:rsidRPr="0030707D" w:rsidRDefault="0030707D" w:rsidP="0030707D">
            <w:pPr>
              <w:spacing w:line="240" w:lineRule="auto"/>
              <w:jc w:val="left"/>
              <w:rPr>
                <w:rStyle w:val="Hyperlink"/>
                <w:rtl/>
              </w:rPr>
            </w:pPr>
            <w:hyperlink w:anchor="Seif5" w:tooltip="ביטול כתב תלונה" w:history="1">
              <w:r w:rsidRPr="0030707D">
                <w:rPr>
                  <w:rStyle w:val="Hyperlink"/>
                </w:rPr>
                <w:t>Go</w:t>
              </w:r>
            </w:hyperlink>
          </w:p>
        </w:tc>
        <w:tc>
          <w:tcPr>
            <w:tcW w:w="850" w:type="dxa"/>
          </w:tcPr>
          <w:p w14:paraId="44A813D5"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7AC2F49C" w14:textId="77777777">
        <w:tblPrEx>
          <w:tblCellMar>
            <w:top w:w="0" w:type="dxa"/>
            <w:bottom w:w="0" w:type="dxa"/>
          </w:tblCellMar>
        </w:tblPrEx>
        <w:tc>
          <w:tcPr>
            <w:tcW w:w="1247" w:type="dxa"/>
          </w:tcPr>
          <w:p w14:paraId="4C6EFCAD" w14:textId="77777777" w:rsidR="0030707D" w:rsidRPr="0030707D" w:rsidRDefault="0030707D" w:rsidP="0030707D">
            <w:pPr>
              <w:spacing w:line="240" w:lineRule="auto"/>
              <w:jc w:val="left"/>
              <w:rPr>
                <w:rFonts w:cs="Frankruhel"/>
                <w:sz w:val="24"/>
                <w:rtl/>
              </w:rPr>
            </w:pPr>
            <w:r>
              <w:rPr>
                <w:rFonts w:cs="Times New Roman"/>
                <w:sz w:val="24"/>
                <w:rtl/>
              </w:rPr>
              <w:t xml:space="preserve">סעיף 6 </w:t>
            </w:r>
          </w:p>
        </w:tc>
        <w:tc>
          <w:tcPr>
            <w:tcW w:w="5669" w:type="dxa"/>
          </w:tcPr>
          <w:p w14:paraId="58E05CE0" w14:textId="77777777" w:rsidR="0030707D" w:rsidRPr="0030707D" w:rsidRDefault="0030707D" w:rsidP="0030707D">
            <w:pPr>
              <w:spacing w:line="240" w:lineRule="auto"/>
              <w:jc w:val="left"/>
              <w:rPr>
                <w:rFonts w:cs="Frankruhel"/>
                <w:sz w:val="24"/>
                <w:rtl/>
              </w:rPr>
            </w:pPr>
            <w:r>
              <w:rPr>
                <w:rFonts w:cs="Times New Roman"/>
                <w:sz w:val="24"/>
                <w:rtl/>
              </w:rPr>
              <w:t>זכות העיון</w:t>
            </w:r>
          </w:p>
        </w:tc>
        <w:tc>
          <w:tcPr>
            <w:tcW w:w="567" w:type="dxa"/>
          </w:tcPr>
          <w:p w14:paraId="3257EA06" w14:textId="77777777" w:rsidR="0030707D" w:rsidRPr="0030707D" w:rsidRDefault="0030707D" w:rsidP="0030707D">
            <w:pPr>
              <w:spacing w:line="240" w:lineRule="auto"/>
              <w:jc w:val="left"/>
              <w:rPr>
                <w:rStyle w:val="Hyperlink"/>
                <w:rtl/>
              </w:rPr>
            </w:pPr>
            <w:hyperlink w:anchor="Seif6" w:tooltip="זכות העיון" w:history="1">
              <w:r w:rsidRPr="0030707D">
                <w:rPr>
                  <w:rStyle w:val="Hyperlink"/>
                </w:rPr>
                <w:t>Go</w:t>
              </w:r>
            </w:hyperlink>
          </w:p>
        </w:tc>
        <w:tc>
          <w:tcPr>
            <w:tcW w:w="850" w:type="dxa"/>
          </w:tcPr>
          <w:p w14:paraId="71B9AA30"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1CB9A9D2" w14:textId="77777777">
        <w:tblPrEx>
          <w:tblCellMar>
            <w:top w:w="0" w:type="dxa"/>
            <w:bottom w:w="0" w:type="dxa"/>
          </w:tblCellMar>
        </w:tblPrEx>
        <w:tc>
          <w:tcPr>
            <w:tcW w:w="1247" w:type="dxa"/>
          </w:tcPr>
          <w:p w14:paraId="242F0A92" w14:textId="77777777" w:rsidR="0030707D" w:rsidRPr="0030707D" w:rsidRDefault="0030707D" w:rsidP="0030707D">
            <w:pPr>
              <w:spacing w:line="240" w:lineRule="auto"/>
              <w:jc w:val="left"/>
              <w:rPr>
                <w:rFonts w:cs="Frankruhel"/>
                <w:sz w:val="24"/>
                <w:rtl/>
              </w:rPr>
            </w:pPr>
            <w:r>
              <w:rPr>
                <w:rFonts w:cs="Times New Roman"/>
                <w:sz w:val="24"/>
                <w:rtl/>
              </w:rPr>
              <w:t xml:space="preserve">סעיף 7 </w:t>
            </w:r>
          </w:p>
        </w:tc>
        <w:tc>
          <w:tcPr>
            <w:tcW w:w="5669" w:type="dxa"/>
          </w:tcPr>
          <w:p w14:paraId="3BB54D4B" w14:textId="77777777" w:rsidR="0030707D" w:rsidRPr="0030707D" w:rsidRDefault="0030707D" w:rsidP="0030707D">
            <w:pPr>
              <w:spacing w:line="240" w:lineRule="auto"/>
              <w:jc w:val="left"/>
              <w:rPr>
                <w:rFonts w:cs="Frankruhel"/>
                <w:sz w:val="24"/>
                <w:rtl/>
              </w:rPr>
            </w:pPr>
            <w:r>
              <w:rPr>
                <w:rFonts w:cs="Times New Roman"/>
                <w:sz w:val="24"/>
                <w:rtl/>
              </w:rPr>
              <w:t>תחילת הדיון</w:t>
            </w:r>
          </w:p>
        </w:tc>
        <w:tc>
          <w:tcPr>
            <w:tcW w:w="567" w:type="dxa"/>
          </w:tcPr>
          <w:p w14:paraId="35631050" w14:textId="77777777" w:rsidR="0030707D" w:rsidRPr="0030707D" w:rsidRDefault="0030707D" w:rsidP="0030707D">
            <w:pPr>
              <w:spacing w:line="240" w:lineRule="auto"/>
              <w:jc w:val="left"/>
              <w:rPr>
                <w:rStyle w:val="Hyperlink"/>
                <w:rtl/>
              </w:rPr>
            </w:pPr>
            <w:hyperlink w:anchor="Seif7" w:tooltip="תחילת הדיון" w:history="1">
              <w:r w:rsidRPr="0030707D">
                <w:rPr>
                  <w:rStyle w:val="Hyperlink"/>
                </w:rPr>
                <w:t>Go</w:t>
              </w:r>
            </w:hyperlink>
          </w:p>
        </w:tc>
        <w:tc>
          <w:tcPr>
            <w:tcW w:w="850" w:type="dxa"/>
          </w:tcPr>
          <w:p w14:paraId="34758D47"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3F364FFB" w14:textId="77777777">
        <w:tblPrEx>
          <w:tblCellMar>
            <w:top w:w="0" w:type="dxa"/>
            <w:bottom w:w="0" w:type="dxa"/>
          </w:tblCellMar>
        </w:tblPrEx>
        <w:tc>
          <w:tcPr>
            <w:tcW w:w="1247" w:type="dxa"/>
          </w:tcPr>
          <w:p w14:paraId="19B4ACA4" w14:textId="77777777" w:rsidR="0030707D" w:rsidRPr="0030707D" w:rsidRDefault="0030707D" w:rsidP="0030707D">
            <w:pPr>
              <w:spacing w:line="240" w:lineRule="auto"/>
              <w:jc w:val="left"/>
              <w:rPr>
                <w:rFonts w:cs="Frankruhel"/>
                <w:sz w:val="24"/>
                <w:rtl/>
              </w:rPr>
            </w:pPr>
            <w:r>
              <w:rPr>
                <w:rFonts w:cs="Times New Roman"/>
                <w:sz w:val="24"/>
                <w:rtl/>
              </w:rPr>
              <w:t xml:space="preserve">סעיף 8 </w:t>
            </w:r>
          </w:p>
        </w:tc>
        <w:tc>
          <w:tcPr>
            <w:tcW w:w="5669" w:type="dxa"/>
          </w:tcPr>
          <w:p w14:paraId="434FD0C4" w14:textId="77777777" w:rsidR="0030707D" w:rsidRPr="0030707D" w:rsidRDefault="0030707D" w:rsidP="0030707D">
            <w:pPr>
              <w:spacing w:line="240" w:lineRule="auto"/>
              <w:jc w:val="left"/>
              <w:rPr>
                <w:rFonts w:cs="Frankruhel"/>
                <w:sz w:val="24"/>
                <w:rtl/>
              </w:rPr>
            </w:pPr>
            <w:r>
              <w:rPr>
                <w:rFonts w:cs="Times New Roman"/>
                <w:sz w:val="24"/>
                <w:rtl/>
              </w:rPr>
              <w:t>העברת הדיון</w:t>
            </w:r>
          </w:p>
        </w:tc>
        <w:tc>
          <w:tcPr>
            <w:tcW w:w="567" w:type="dxa"/>
          </w:tcPr>
          <w:p w14:paraId="6808CA17" w14:textId="77777777" w:rsidR="0030707D" w:rsidRPr="0030707D" w:rsidRDefault="0030707D" w:rsidP="0030707D">
            <w:pPr>
              <w:spacing w:line="240" w:lineRule="auto"/>
              <w:jc w:val="left"/>
              <w:rPr>
                <w:rStyle w:val="Hyperlink"/>
                <w:rtl/>
              </w:rPr>
            </w:pPr>
            <w:hyperlink w:anchor="Seif8" w:tooltip="העברת הדיון" w:history="1">
              <w:r w:rsidRPr="0030707D">
                <w:rPr>
                  <w:rStyle w:val="Hyperlink"/>
                </w:rPr>
                <w:t>Go</w:t>
              </w:r>
            </w:hyperlink>
          </w:p>
        </w:tc>
        <w:tc>
          <w:tcPr>
            <w:tcW w:w="850" w:type="dxa"/>
          </w:tcPr>
          <w:p w14:paraId="343DBADC"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7C0E853A" w14:textId="77777777">
        <w:tblPrEx>
          <w:tblCellMar>
            <w:top w:w="0" w:type="dxa"/>
            <w:bottom w:w="0" w:type="dxa"/>
          </w:tblCellMar>
        </w:tblPrEx>
        <w:tc>
          <w:tcPr>
            <w:tcW w:w="1247" w:type="dxa"/>
          </w:tcPr>
          <w:p w14:paraId="21A723A8" w14:textId="77777777" w:rsidR="0030707D" w:rsidRPr="0030707D" w:rsidRDefault="0030707D" w:rsidP="0030707D">
            <w:pPr>
              <w:spacing w:line="240" w:lineRule="auto"/>
              <w:jc w:val="left"/>
              <w:rPr>
                <w:rFonts w:cs="Frankruhel"/>
                <w:sz w:val="24"/>
                <w:rtl/>
              </w:rPr>
            </w:pPr>
            <w:r>
              <w:rPr>
                <w:rFonts w:cs="Times New Roman"/>
                <w:sz w:val="24"/>
                <w:rtl/>
              </w:rPr>
              <w:t xml:space="preserve">סעיף 9 </w:t>
            </w:r>
          </w:p>
        </w:tc>
        <w:tc>
          <w:tcPr>
            <w:tcW w:w="5669" w:type="dxa"/>
          </w:tcPr>
          <w:p w14:paraId="240FA4D9" w14:textId="77777777" w:rsidR="0030707D" w:rsidRPr="0030707D" w:rsidRDefault="0030707D" w:rsidP="0030707D">
            <w:pPr>
              <w:spacing w:line="240" w:lineRule="auto"/>
              <w:jc w:val="left"/>
              <w:rPr>
                <w:rFonts w:cs="Frankruhel"/>
                <w:sz w:val="24"/>
                <w:rtl/>
              </w:rPr>
            </w:pPr>
            <w:r>
              <w:rPr>
                <w:rFonts w:cs="Times New Roman"/>
                <w:sz w:val="24"/>
                <w:rtl/>
              </w:rPr>
              <w:t>הבאת ראיות ונוכחות הנילון</w:t>
            </w:r>
          </w:p>
        </w:tc>
        <w:tc>
          <w:tcPr>
            <w:tcW w:w="567" w:type="dxa"/>
          </w:tcPr>
          <w:p w14:paraId="0733D0E2" w14:textId="77777777" w:rsidR="0030707D" w:rsidRPr="0030707D" w:rsidRDefault="0030707D" w:rsidP="0030707D">
            <w:pPr>
              <w:spacing w:line="240" w:lineRule="auto"/>
              <w:jc w:val="left"/>
              <w:rPr>
                <w:rStyle w:val="Hyperlink"/>
                <w:rtl/>
              </w:rPr>
            </w:pPr>
            <w:hyperlink w:anchor="Seif9" w:tooltip="הבאת ראיות ונוכחות הנילון" w:history="1">
              <w:r w:rsidRPr="0030707D">
                <w:rPr>
                  <w:rStyle w:val="Hyperlink"/>
                </w:rPr>
                <w:t>Go</w:t>
              </w:r>
            </w:hyperlink>
          </w:p>
        </w:tc>
        <w:tc>
          <w:tcPr>
            <w:tcW w:w="850" w:type="dxa"/>
          </w:tcPr>
          <w:p w14:paraId="69E11C7B"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707D" w:rsidRPr="0030707D" w14:paraId="21C4D567" w14:textId="77777777">
        <w:tblPrEx>
          <w:tblCellMar>
            <w:top w:w="0" w:type="dxa"/>
            <w:bottom w:w="0" w:type="dxa"/>
          </w:tblCellMar>
        </w:tblPrEx>
        <w:tc>
          <w:tcPr>
            <w:tcW w:w="1247" w:type="dxa"/>
          </w:tcPr>
          <w:p w14:paraId="541A0D83" w14:textId="77777777" w:rsidR="0030707D" w:rsidRPr="0030707D" w:rsidRDefault="0030707D" w:rsidP="0030707D">
            <w:pPr>
              <w:spacing w:line="240" w:lineRule="auto"/>
              <w:jc w:val="left"/>
              <w:rPr>
                <w:rFonts w:cs="Frankruhel"/>
                <w:sz w:val="24"/>
                <w:rtl/>
              </w:rPr>
            </w:pPr>
            <w:r>
              <w:rPr>
                <w:rFonts w:cs="Times New Roman"/>
                <w:sz w:val="24"/>
                <w:rtl/>
              </w:rPr>
              <w:t xml:space="preserve">סעיף 10 </w:t>
            </w:r>
          </w:p>
        </w:tc>
        <w:tc>
          <w:tcPr>
            <w:tcW w:w="5669" w:type="dxa"/>
          </w:tcPr>
          <w:p w14:paraId="068535C8" w14:textId="77777777" w:rsidR="0030707D" w:rsidRPr="0030707D" w:rsidRDefault="0030707D" w:rsidP="0030707D">
            <w:pPr>
              <w:spacing w:line="240" w:lineRule="auto"/>
              <w:jc w:val="left"/>
              <w:rPr>
                <w:rFonts w:cs="Frankruhel"/>
                <w:sz w:val="24"/>
                <w:rtl/>
              </w:rPr>
            </w:pPr>
            <w:r>
              <w:rPr>
                <w:rFonts w:cs="Times New Roman"/>
                <w:sz w:val="24"/>
                <w:rtl/>
              </w:rPr>
              <w:t>עובדה שהודו בה</w:t>
            </w:r>
          </w:p>
        </w:tc>
        <w:tc>
          <w:tcPr>
            <w:tcW w:w="567" w:type="dxa"/>
          </w:tcPr>
          <w:p w14:paraId="3F6CEF4E" w14:textId="77777777" w:rsidR="0030707D" w:rsidRPr="0030707D" w:rsidRDefault="0030707D" w:rsidP="0030707D">
            <w:pPr>
              <w:spacing w:line="240" w:lineRule="auto"/>
              <w:jc w:val="left"/>
              <w:rPr>
                <w:rStyle w:val="Hyperlink"/>
                <w:rtl/>
              </w:rPr>
            </w:pPr>
            <w:hyperlink w:anchor="Seif10" w:tooltip="עובדה שהודו בה" w:history="1">
              <w:r w:rsidRPr="0030707D">
                <w:rPr>
                  <w:rStyle w:val="Hyperlink"/>
                </w:rPr>
                <w:t>Go</w:t>
              </w:r>
            </w:hyperlink>
          </w:p>
        </w:tc>
        <w:tc>
          <w:tcPr>
            <w:tcW w:w="850" w:type="dxa"/>
          </w:tcPr>
          <w:p w14:paraId="51255F46"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2ED3B5F7" w14:textId="77777777">
        <w:tblPrEx>
          <w:tblCellMar>
            <w:top w:w="0" w:type="dxa"/>
            <w:bottom w:w="0" w:type="dxa"/>
          </w:tblCellMar>
        </w:tblPrEx>
        <w:tc>
          <w:tcPr>
            <w:tcW w:w="1247" w:type="dxa"/>
          </w:tcPr>
          <w:p w14:paraId="173B8326" w14:textId="77777777" w:rsidR="0030707D" w:rsidRPr="0030707D" w:rsidRDefault="0030707D" w:rsidP="0030707D">
            <w:pPr>
              <w:spacing w:line="240" w:lineRule="auto"/>
              <w:jc w:val="left"/>
              <w:rPr>
                <w:rFonts w:cs="Frankruhel"/>
                <w:sz w:val="24"/>
                <w:rtl/>
              </w:rPr>
            </w:pPr>
            <w:r>
              <w:rPr>
                <w:rFonts w:cs="Times New Roman"/>
                <w:sz w:val="24"/>
                <w:rtl/>
              </w:rPr>
              <w:t xml:space="preserve">סעיף 11 </w:t>
            </w:r>
          </w:p>
        </w:tc>
        <w:tc>
          <w:tcPr>
            <w:tcW w:w="5669" w:type="dxa"/>
          </w:tcPr>
          <w:p w14:paraId="6122FB28" w14:textId="77777777" w:rsidR="0030707D" w:rsidRPr="0030707D" w:rsidRDefault="0030707D" w:rsidP="0030707D">
            <w:pPr>
              <w:spacing w:line="240" w:lineRule="auto"/>
              <w:jc w:val="left"/>
              <w:rPr>
                <w:rFonts w:cs="Frankruhel"/>
                <w:sz w:val="24"/>
                <w:rtl/>
              </w:rPr>
            </w:pPr>
            <w:r>
              <w:rPr>
                <w:rFonts w:cs="Times New Roman"/>
                <w:sz w:val="24"/>
                <w:rtl/>
              </w:rPr>
              <w:t>חזרה מהודאה</w:t>
            </w:r>
          </w:p>
        </w:tc>
        <w:tc>
          <w:tcPr>
            <w:tcW w:w="567" w:type="dxa"/>
          </w:tcPr>
          <w:p w14:paraId="160A09C5" w14:textId="77777777" w:rsidR="0030707D" w:rsidRPr="0030707D" w:rsidRDefault="0030707D" w:rsidP="0030707D">
            <w:pPr>
              <w:spacing w:line="240" w:lineRule="auto"/>
              <w:jc w:val="left"/>
              <w:rPr>
                <w:rStyle w:val="Hyperlink"/>
                <w:rtl/>
              </w:rPr>
            </w:pPr>
            <w:hyperlink w:anchor="Seif11" w:tooltip="חזרה מהודאה" w:history="1">
              <w:r w:rsidRPr="0030707D">
                <w:rPr>
                  <w:rStyle w:val="Hyperlink"/>
                </w:rPr>
                <w:t>Go</w:t>
              </w:r>
            </w:hyperlink>
          </w:p>
        </w:tc>
        <w:tc>
          <w:tcPr>
            <w:tcW w:w="850" w:type="dxa"/>
          </w:tcPr>
          <w:p w14:paraId="1A25950C"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0984767C" w14:textId="77777777">
        <w:tblPrEx>
          <w:tblCellMar>
            <w:top w:w="0" w:type="dxa"/>
            <w:bottom w:w="0" w:type="dxa"/>
          </w:tblCellMar>
        </w:tblPrEx>
        <w:tc>
          <w:tcPr>
            <w:tcW w:w="1247" w:type="dxa"/>
          </w:tcPr>
          <w:p w14:paraId="0AF89EF3" w14:textId="77777777" w:rsidR="0030707D" w:rsidRPr="0030707D" w:rsidRDefault="0030707D" w:rsidP="0030707D">
            <w:pPr>
              <w:spacing w:line="240" w:lineRule="auto"/>
              <w:jc w:val="left"/>
              <w:rPr>
                <w:rFonts w:cs="Frankruhel"/>
                <w:sz w:val="24"/>
                <w:rtl/>
              </w:rPr>
            </w:pPr>
            <w:r>
              <w:rPr>
                <w:rFonts w:cs="Times New Roman"/>
                <w:sz w:val="24"/>
                <w:rtl/>
              </w:rPr>
              <w:t xml:space="preserve">סעיף 12 </w:t>
            </w:r>
          </w:p>
        </w:tc>
        <w:tc>
          <w:tcPr>
            <w:tcW w:w="5669" w:type="dxa"/>
          </w:tcPr>
          <w:p w14:paraId="7EF67810" w14:textId="77777777" w:rsidR="0030707D" w:rsidRPr="0030707D" w:rsidRDefault="0030707D" w:rsidP="0030707D">
            <w:pPr>
              <w:spacing w:line="240" w:lineRule="auto"/>
              <w:jc w:val="left"/>
              <w:rPr>
                <w:rFonts w:cs="Frankruhel"/>
                <w:sz w:val="24"/>
                <w:rtl/>
              </w:rPr>
            </w:pPr>
            <w:r>
              <w:rPr>
                <w:rFonts w:cs="Times New Roman"/>
                <w:sz w:val="24"/>
                <w:rtl/>
              </w:rPr>
              <w:t>רישום פרוטוקול</w:t>
            </w:r>
          </w:p>
        </w:tc>
        <w:tc>
          <w:tcPr>
            <w:tcW w:w="567" w:type="dxa"/>
          </w:tcPr>
          <w:p w14:paraId="5068E8F6" w14:textId="77777777" w:rsidR="0030707D" w:rsidRPr="0030707D" w:rsidRDefault="0030707D" w:rsidP="0030707D">
            <w:pPr>
              <w:spacing w:line="240" w:lineRule="auto"/>
              <w:jc w:val="left"/>
              <w:rPr>
                <w:rStyle w:val="Hyperlink"/>
                <w:rtl/>
              </w:rPr>
            </w:pPr>
            <w:hyperlink w:anchor="Seif12" w:tooltip="רישום פרוטוקול" w:history="1">
              <w:r w:rsidRPr="0030707D">
                <w:rPr>
                  <w:rStyle w:val="Hyperlink"/>
                </w:rPr>
                <w:t>Go</w:t>
              </w:r>
            </w:hyperlink>
          </w:p>
        </w:tc>
        <w:tc>
          <w:tcPr>
            <w:tcW w:w="850" w:type="dxa"/>
          </w:tcPr>
          <w:p w14:paraId="63BDF59D"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10E4F0A7" w14:textId="77777777">
        <w:tblPrEx>
          <w:tblCellMar>
            <w:top w:w="0" w:type="dxa"/>
            <w:bottom w:w="0" w:type="dxa"/>
          </w:tblCellMar>
        </w:tblPrEx>
        <w:tc>
          <w:tcPr>
            <w:tcW w:w="1247" w:type="dxa"/>
          </w:tcPr>
          <w:p w14:paraId="39C21C7C" w14:textId="77777777" w:rsidR="0030707D" w:rsidRPr="0030707D" w:rsidRDefault="0030707D" w:rsidP="0030707D">
            <w:pPr>
              <w:spacing w:line="240" w:lineRule="auto"/>
              <w:jc w:val="left"/>
              <w:rPr>
                <w:rFonts w:cs="Frankruhel"/>
                <w:sz w:val="24"/>
                <w:rtl/>
              </w:rPr>
            </w:pPr>
            <w:r>
              <w:rPr>
                <w:rFonts w:cs="Times New Roman"/>
                <w:sz w:val="24"/>
                <w:rtl/>
              </w:rPr>
              <w:t xml:space="preserve">סעיף 13 </w:t>
            </w:r>
          </w:p>
        </w:tc>
        <w:tc>
          <w:tcPr>
            <w:tcW w:w="5669" w:type="dxa"/>
          </w:tcPr>
          <w:p w14:paraId="66CB85AE" w14:textId="77777777" w:rsidR="0030707D" w:rsidRPr="0030707D" w:rsidRDefault="0030707D" w:rsidP="0030707D">
            <w:pPr>
              <w:spacing w:line="240" w:lineRule="auto"/>
              <w:jc w:val="left"/>
              <w:rPr>
                <w:rFonts w:cs="Frankruhel"/>
                <w:sz w:val="24"/>
                <w:rtl/>
              </w:rPr>
            </w:pPr>
            <w:r>
              <w:rPr>
                <w:rFonts w:cs="Times New Roman"/>
                <w:sz w:val="24"/>
                <w:rtl/>
              </w:rPr>
              <w:t>דחיית דיון</w:t>
            </w:r>
          </w:p>
        </w:tc>
        <w:tc>
          <w:tcPr>
            <w:tcW w:w="567" w:type="dxa"/>
          </w:tcPr>
          <w:p w14:paraId="28D44CBD" w14:textId="77777777" w:rsidR="0030707D" w:rsidRPr="0030707D" w:rsidRDefault="0030707D" w:rsidP="0030707D">
            <w:pPr>
              <w:spacing w:line="240" w:lineRule="auto"/>
              <w:jc w:val="left"/>
              <w:rPr>
                <w:rStyle w:val="Hyperlink"/>
                <w:rtl/>
              </w:rPr>
            </w:pPr>
            <w:hyperlink w:anchor="Seif13" w:tooltip="דחיית דיון" w:history="1">
              <w:r w:rsidRPr="0030707D">
                <w:rPr>
                  <w:rStyle w:val="Hyperlink"/>
                </w:rPr>
                <w:t>Go</w:t>
              </w:r>
            </w:hyperlink>
          </w:p>
        </w:tc>
        <w:tc>
          <w:tcPr>
            <w:tcW w:w="850" w:type="dxa"/>
          </w:tcPr>
          <w:p w14:paraId="7390B10B"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4CA363A4" w14:textId="77777777">
        <w:tblPrEx>
          <w:tblCellMar>
            <w:top w:w="0" w:type="dxa"/>
            <w:bottom w:w="0" w:type="dxa"/>
          </w:tblCellMar>
        </w:tblPrEx>
        <w:tc>
          <w:tcPr>
            <w:tcW w:w="1247" w:type="dxa"/>
          </w:tcPr>
          <w:p w14:paraId="39F101AC" w14:textId="77777777" w:rsidR="0030707D" w:rsidRPr="0030707D" w:rsidRDefault="0030707D" w:rsidP="0030707D">
            <w:pPr>
              <w:spacing w:line="240" w:lineRule="auto"/>
              <w:jc w:val="left"/>
              <w:rPr>
                <w:rFonts w:cs="Frankruhel"/>
                <w:sz w:val="24"/>
                <w:rtl/>
              </w:rPr>
            </w:pPr>
            <w:r>
              <w:rPr>
                <w:rFonts w:cs="Times New Roman"/>
                <w:sz w:val="24"/>
                <w:rtl/>
              </w:rPr>
              <w:t xml:space="preserve">סעיף 14 </w:t>
            </w:r>
          </w:p>
        </w:tc>
        <w:tc>
          <w:tcPr>
            <w:tcW w:w="5669" w:type="dxa"/>
          </w:tcPr>
          <w:p w14:paraId="6DD9F681" w14:textId="77777777" w:rsidR="0030707D" w:rsidRPr="0030707D" w:rsidRDefault="0030707D" w:rsidP="0030707D">
            <w:pPr>
              <w:spacing w:line="240" w:lineRule="auto"/>
              <w:jc w:val="left"/>
              <w:rPr>
                <w:rFonts w:cs="Frankruhel"/>
                <w:sz w:val="24"/>
                <w:rtl/>
              </w:rPr>
            </w:pPr>
            <w:r>
              <w:rPr>
                <w:rFonts w:cs="Times New Roman"/>
                <w:sz w:val="24"/>
                <w:rtl/>
              </w:rPr>
              <w:t>פסק</w:t>
            </w:r>
          </w:p>
        </w:tc>
        <w:tc>
          <w:tcPr>
            <w:tcW w:w="567" w:type="dxa"/>
          </w:tcPr>
          <w:p w14:paraId="5DD29697" w14:textId="77777777" w:rsidR="0030707D" w:rsidRPr="0030707D" w:rsidRDefault="0030707D" w:rsidP="0030707D">
            <w:pPr>
              <w:spacing w:line="240" w:lineRule="auto"/>
              <w:jc w:val="left"/>
              <w:rPr>
                <w:rStyle w:val="Hyperlink"/>
                <w:rtl/>
              </w:rPr>
            </w:pPr>
            <w:hyperlink w:anchor="Seif14" w:tooltip="פסק" w:history="1">
              <w:r w:rsidRPr="0030707D">
                <w:rPr>
                  <w:rStyle w:val="Hyperlink"/>
                </w:rPr>
                <w:t>Go</w:t>
              </w:r>
            </w:hyperlink>
          </w:p>
        </w:tc>
        <w:tc>
          <w:tcPr>
            <w:tcW w:w="850" w:type="dxa"/>
          </w:tcPr>
          <w:p w14:paraId="72E81610"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700CDCE9" w14:textId="77777777">
        <w:tblPrEx>
          <w:tblCellMar>
            <w:top w:w="0" w:type="dxa"/>
            <w:bottom w:w="0" w:type="dxa"/>
          </w:tblCellMar>
        </w:tblPrEx>
        <w:tc>
          <w:tcPr>
            <w:tcW w:w="1247" w:type="dxa"/>
          </w:tcPr>
          <w:p w14:paraId="33325FEC" w14:textId="77777777" w:rsidR="0030707D" w:rsidRPr="0030707D" w:rsidRDefault="0030707D" w:rsidP="0030707D">
            <w:pPr>
              <w:spacing w:line="240" w:lineRule="auto"/>
              <w:jc w:val="left"/>
              <w:rPr>
                <w:rFonts w:cs="Frankruhel"/>
                <w:sz w:val="24"/>
                <w:rtl/>
              </w:rPr>
            </w:pPr>
            <w:r>
              <w:rPr>
                <w:rFonts w:cs="Times New Roman"/>
                <w:sz w:val="24"/>
                <w:rtl/>
              </w:rPr>
              <w:t xml:space="preserve">סעיף 15 </w:t>
            </w:r>
          </w:p>
        </w:tc>
        <w:tc>
          <w:tcPr>
            <w:tcW w:w="5669" w:type="dxa"/>
          </w:tcPr>
          <w:p w14:paraId="2E96B64E" w14:textId="77777777" w:rsidR="0030707D" w:rsidRPr="0030707D" w:rsidRDefault="0030707D" w:rsidP="0030707D">
            <w:pPr>
              <w:spacing w:line="240" w:lineRule="auto"/>
              <w:jc w:val="left"/>
              <w:rPr>
                <w:rFonts w:cs="Frankruhel"/>
                <w:sz w:val="24"/>
                <w:rtl/>
              </w:rPr>
            </w:pPr>
            <w:r>
              <w:rPr>
                <w:rFonts w:cs="Times New Roman"/>
                <w:sz w:val="24"/>
                <w:rtl/>
              </w:rPr>
              <w:t>הגשת ערר</w:t>
            </w:r>
          </w:p>
        </w:tc>
        <w:tc>
          <w:tcPr>
            <w:tcW w:w="567" w:type="dxa"/>
          </w:tcPr>
          <w:p w14:paraId="66DC9272" w14:textId="77777777" w:rsidR="0030707D" w:rsidRPr="0030707D" w:rsidRDefault="0030707D" w:rsidP="0030707D">
            <w:pPr>
              <w:spacing w:line="240" w:lineRule="auto"/>
              <w:jc w:val="left"/>
              <w:rPr>
                <w:rStyle w:val="Hyperlink"/>
                <w:rtl/>
              </w:rPr>
            </w:pPr>
            <w:hyperlink w:anchor="Seif15" w:tooltip="הגשת ערר" w:history="1">
              <w:r w:rsidRPr="0030707D">
                <w:rPr>
                  <w:rStyle w:val="Hyperlink"/>
                </w:rPr>
                <w:t>Go</w:t>
              </w:r>
            </w:hyperlink>
          </w:p>
        </w:tc>
        <w:tc>
          <w:tcPr>
            <w:tcW w:w="850" w:type="dxa"/>
          </w:tcPr>
          <w:p w14:paraId="36EAFD86"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2C4698CE" w14:textId="77777777">
        <w:tblPrEx>
          <w:tblCellMar>
            <w:top w:w="0" w:type="dxa"/>
            <w:bottom w:w="0" w:type="dxa"/>
          </w:tblCellMar>
        </w:tblPrEx>
        <w:tc>
          <w:tcPr>
            <w:tcW w:w="1247" w:type="dxa"/>
          </w:tcPr>
          <w:p w14:paraId="3883D1AD" w14:textId="77777777" w:rsidR="0030707D" w:rsidRPr="0030707D" w:rsidRDefault="0030707D" w:rsidP="0030707D">
            <w:pPr>
              <w:spacing w:line="240" w:lineRule="auto"/>
              <w:jc w:val="left"/>
              <w:rPr>
                <w:rFonts w:cs="Frankruhel"/>
                <w:sz w:val="24"/>
                <w:rtl/>
              </w:rPr>
            </w:pPr>
            <w:r>
              <w:rPr>
                <w:rFonts w:cs="Times New Roman"/>
                <w:sz w:val="24"/>
                <w:rtl/>
              </w:rPr>
              <w:t xml:space="preserve">סעיף 16 </w:t>
            </w:r>
          </w:p>
        </w:tc>
        <w:tc>
          <w:tcPr>
            <w:tcW w:w="5669" w:type="dxa"/>
          </w:tcPr>
          <w:p w14:paraId="340FBD94" w14:textId="77777777" w:rsidR="0030707D" w:rsidRPr="0030707D" w:rsidRDefault="0030707D" w:rsidP="0030707D">
            <w:pPr>
              <w:spacing w:line="240" w:lineRule="auto"/>
              <w:jc w:val="left"/>
              <w:rPr>
                <w:rFonts w:cs="Frankruhel"/>
                <w:sz w:val="24"/>
                <w:rtl/>
              </w:rPr>
            </w:pPr>
            <w:r>
              <w:rPr>
                <w:rFonts w:cs="Times New Roman"/>
                <w:sz w:val="24"/>
                <w:rtl/>
              </w:rPr>
              <w:t>דיון בערר</w:t>
            </w:r>
          </w:p>
        </w:tc>
        <w:tc>
          <w:tcPr>
            <w:tcW w:w="567" w:type="dxa"/>
          </w:tcPr>
          <w:p w14:paraId="5AE8A789" w14:textId="77777777" w:rsidR="0030707D" w:rsidRPr="0030707D" w:rsidRDefault="0030707D" w:rsidP="0030707D">
            <w:pPr>
              <w:spacing w:line="240" w:lineRule="auto"/>
              <w:jc w:val="left"/>
              <w:rPr>
                <w:rStyle w:val="Hyperlink"/>
                <w:rtl/>
              </w:rPr>
            </w:pPr>
            <w:hyperlink w:anchor="Seif16" w:tooltip="דיון בערר" w:history="1">
              <w:r w:rsidRPr="0030707D">
                <w:rPr>
                  <w:rStyle w:val="Hyperlink"/>
                </w:rPr>
                <w:t>Go</w:t>
              </w:r>
            </w:hyperlink>
          </w:p>
        </w:tc>
        <w:tc>
          <w:tcPr>
            <w:tcW w:w="850" w:type="dxa"/>
          </w:tcPr>
          <w:p w14:paraId="2A702BA1"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439DC36D" w14:textId="77777777">
        <w:tblPrEx>
          <w:tblCellMar>
            <w:top w:w="0" w:type="dxa"/>
            <w:bottom w:w="0" w:type="dxa"/>
          </w:tblCellMar>
        </w:tblPrEx>
        <w:tc>
          <w:tcPr>
            <w:tcW w:w="1247" w:type="dxa"/>
          </w:tcPr>
          <w:p w14:paraId="2B60DE18" w14:textId="77777777" w:rsidR="0030707D" w:rsidRPr="0030707D" w:rsidRDefault="0030707D" w:rsidP="0030707D">
            <w:pPr>
              <w:spacing w:line="240" w:lineRule="auto"/>
              <w:jc w:val="left"/>
              <w:rPr>
                <w:rFonts w:cs="Frankruhel"/>
                <w:sz w:val="24"/>
                <w:rtl/>
              </w:rPr>
            </w:pPr>
            <w:r>
              <w:rPr>
                <w:rFonts w:cs="Times New Roman"/>
                <w:sz w:val="24"/>
                <w:rtl/>
              </w:rPr>
              <w:t xml:space="preserve">סעיף 17 </w:t>
            </w:r>
          </w:p>
        </w:tc>
        <w:tc>
          <w:tcPr>
            <w:tcW w:w="5669" w:type="dxa"/>
          </w:tcPr>
          <w:p w14:paraId="3E350E98" w14:textId="77777777" w:rsidR="0030707D" w:rsidRPr="0030707D" w:rsidRDefault="0030707D" w:rsidP="0030707D">
            <w:pPr>
              <w:spacing w:line="240" w:lineRule="auto"/>
              <w:jc w:val="left"/>
              <w:rPr>
                <w:rFonts w:cs="Frankruhel"/>
                <w:sz w:val="24"/>
                <w:rtl/>
              </w:rPr>
            </w:pPr>
            <w:r>
              <w:rPr>
                <w:rFonts w:cs="Times New Roman"/>
                <w:sz w:val="24"/>
                <w:rtl/>
              </w:rPr>
              <w:t>החלטה בערר</w:t>
            </w:r>
          </w:p>
        </w:tc>
        <w:tc>
          <w:tcPr>
            <w:tcW w:w="567" w:type="dxa"/>
          </w:tcPr>
          <w:p w14:paraId="147DA8D3" w14:textId="77777777" w:rsidR="0030707D" w:rsidRPr="0030707D" w:rsidRDefault="0030707D" w:rsidP="0030707D">
            <w:pPr>
              <w:spacing w:line="240" w:lineRule="auto"/>
              <w:jc w:val="left"/>
              <w:rPr>
                <w:rStyle w:val="Hyperlink"/>
                <w:rtl/>
              </w:rPr>
            </w:pPr>
            <w:hyperlink w:anchor="Seif17" w:tooltip="החלטה בערר" w:history="1">
              <w:r w:rsidRPr="0030707D">
                <w:rPr>
                  <w:rStyle w:val="Hyperlink"/>
                </w:rPr>
                <w:t>Go</w:t>
              </w:r>
            </w:hyperlink>
          </w:p>
        </w:tc>
        <w:tc>
          <w:tcPr>
            <w:tcW w:w="850" w:type="dxa"/>
          </w:tcPr>
          <w:p w14:paraId="33C264B2"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707D" w:rsidRPr="0030707D" w14:paraId="0C9B7B40" w14:textId="77777777">
        <w:tblPrEx>
          <w:tblCellMar>
            <w:top w:w="0" w:type="dxa"/>
            <w:bottom w:w="0" w:type="dxa"/>
          </w:tblCellMar>
        </w:tblPrEx>
        <w:tc>
          <w:tcPr>
            <w:tcW w:w="1247" w:type="dxa"/>
          </w:tcPr>
          <w:p w14:paraId="165F005F" w14:textId="77777777" w:rsidR="0030707D" w:rsidRPr="0030707D" w:rsidRDefault="0030707D" w:rsidP="0030707D">
            <w:pPr>
              <w:spacing w:line="240" w:lineRule="auto"/>
              <w:jc w:val="left"/>
              <w:rPr>
                <w:rFonts w:cs="Frankruhel"/>
                <w:sz w:val="24"/>
                <w:rtl/>
              </w:rPr>
            </w:pPr>
            <w:r>
              <w:rPr>
                <w:rFonts w:cs="Times New Roman"/>
                <w:sz w:val="24"/>
                <w:rtl/>
              </w:rPr>
              <w:t xml:space="preserve">סעיף 18 </w:t>
            </w:r>
          </w:p>
        </w:tc>
        <w:tc>
          <w:tcPr>
            <w:tcW w:w="5669" w:type="dxa"/>
          </w:tcPr>
          <w:p w14:paraId="559DF2D5" w14:textId="77777777" w:rsidR="0030707D" w:rsidRPr="0030707D" w:rsidRDefault="0030707D" w:rsidP="0030707D">
            <w:pPr>
              <w:spacing w:line="240" w:lineRule="auto"/>
              <w:jc w:val="left"/>
              <w:rPr>
                <w:rFonts w:cs="Frankruhel"/>
                <w:sz w:val="24"/>
                <w:rtl/>
              </w:rPr>
            </w:pPr>
            <w:r>
              <w:rPr>
                <w:rFonts w:cs="Times New Roman"/>
                <w:sz w:val="24"/>
                <w:rtl/>
              </w:rPr>
              <w:t>תחילה</w:t>
            </w:r>
          </w:p>
        </w:tc>
        <w:tc>
          <w:tcPr>
            <w:tcW w:w="567" w:type="dxa"/>
          </w:tcPr>
          <w:p w14:paraId="2779C9AB" w14:textId="77777777" w:rsidR="0030707D" w:rsidRPr="0030707D" w:rsidRDefault="0030707D" w:rsidP="0030707D">
            <w:pPr>
              <w:spacing w:line="240" w:lineRule="auto"/>
              <w:jc w:val="left"/>
              <w:rPr>
                <w:rStyle w:val="Hyperlink"/>
                <w:rtl/>
              </w:rPr>
            </w:pPr>
            <w:hyperlink w:anchor="Seif18" w:tooltip="תחילה" w:history="1">
              <w:r w:rsidRPr="0030707D">
                <w:rPr>
                  <w:rStyle w:val="Hyperlink"/>
                </w:rPr>
                <w:t>Go</w:t>
              </w:r>
            </w:hyperlink>
          </w:p>
        </w:tc>
        <w:tc>
          <w:tcPr>
            <w:tcW w:w="850" w:type="dxa"/>
          </w:tcPr>
          <w:p w14:paraId="063A7B5E" w14:textId="77777777" w:rsidR="0030707D" w:rsidRPr="0030707D" w:rsidRDefault="0030707D" w:rsidP="00307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3D3FF45" w14:textId="77777777" w:rsidR="009C4244" w:rsidRDefault="009C4244">
      <w:pPr>
        <w:pStyle w:val="big-header"/>
        <w:ind w:left="0" w:right="1134"/>
        <w:rPr>
          <w:rtl/>
        </w:rPr>
      </w:pPr>
    </w:p>
    <w:p w14:paraId="36F4DCAC" w14:textId="77777777" w:rsidR="009C4244" w:rsidRPr="000B1EFA" w:rsidRDefault="009C4244" w:rsidP="00CF24D0">
      <w:pPr>
        <w:pStyle w:val="big-header"/>
        <w:ind w:left="0" w:right="1134"/>
        <w:rPr>
          <w:rStyle w:val="default"/>
          <w:rFonts w:cs="FrankRuehl" w:hint="cs"/>
          <w:szCs w:val="32"/>
          <w:rtl/>
        </w:rPr>
      </w:pPr>
      <w:r>
        <w:rPr>
          <w:rtl/>
        </w:rPr>
        <w:br w:type="page"/>
      </w:r>
      <w:r w:rsidR="00CF24D0">
        <w:rPr>
          <w:rtl/>
        </w:rPr>
        <w:lastRenderedPageBreak/>
        <w:t xml:space="preserve">תקנות </w:t>
      </w:r>
      <w:r w:rsidR="00CF24D0">
        <w:rPr>
          <w:rFonts w:hint="cs"/>
          <w:rtl/>
        </w:rPr>
        <w:t>הגנת הסביבה (סמכויות פיקוח ואכיפה) (דין משמעתי למשרתים בשירות אזרחי-ביטחוני), תשע"ה-2015</w:t>
      </w:r>
      <w:r>
        <w:rPr>
          <w:rStyle w:val="default"/>
          <w:rtl/>
        </w:rPr>
        <w:footnoteReference w:customMarkFollows="1" w:id="1"/>
        <w:t>*</w:t>
      </w:r>
    </w:p>
    <w:p w14:paraId="6AC28DD2" w14:textId="77777777" w:rsidR="009C4244" w:rsidRDefault="009C4244" w:rsidP="00FE500A">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w:t>
      </w:r>
      <w:r w:rsidR="00FE500A">
        <w:rPr>
          <w:rStyle w:val="default"/>
          <w:rFonts w:cs="FrankRuehl" w:hint="cs"/>
          <w:rtl/>
        </w:rPr>
        <w:t>ף</w:t>
      </w:r>
      <w:r>
        <w:rPr>
          <w:rStyle w:val="default"/>
          <w:rFonts w:cs="FrankRuehl" w:hint="cs"/>
          <w:rtl/>
        </w:rPr>
        <w:t xml:space="preserve"> </w:t>
      </w:r>
      <w:r w:rsidR="00FE500A">
        <w:rPr>
          <w:rStyle w:val="default"/>
          <w:rFonts w:cs="FrankRuehl" w:hint="cs"/>
          <w:rtl/>
        </w:rPr>
        <w:t>8ב(ג)(3) לחוק הגנת הסביבה (סמכויות פיקוח ואכיפה), התשע"א-2011</w:t>
      </w:r>
      <w:r>
        <w:rPr>
          <w:rStyle w:val="default"/>
          <w:rFonts w:cs="FrankRuehl" w:hint="cs"/>
          <w:rtl/>
        </w:rPr>
        <w:t xml:space="preserve"> (להלן </w:t>
      </w:r>
      <w:r w:rsidR="00526343">
        <w:rPr>
          <w:rStyle w:val="default"/>
          <w:rFonts w:cs="FrankRuehl"/>
          <w:rtl/>
        </w:rPr>
        <w:t>–</w:t>
      </w:r>
      <w:r>
        <w:rPr>
          <w:rStyle w:val="default"/>
          <w:rFonts w:cs="FrankRuehl" w:hint="cs"/>
          <w:rtl/>
        </w:rPr>
        <w:t xml:space="preserve"> החוק), </w:t>
      </w:r>
      <w:r w:rsidR="0091513F">
        <w:rPr>
          <w:rStyle w:val="default"/>
          <w:rFonts w:cs="FrankRuehl" w:hint="cs"/>
          <w:rtl/>
        </w:rPr>
        <w:t xml:space="preserve">בהתייעצות </w:t>
      </w:r>
      <w:r w:rsidR="00FE500A">
        <w:rPr>
          <w:rStyle w:val="default"/>
          <w:rFonts w:cs="FrankRuehl" w:hint="cs"/>
          <w:rtl/>
        </w:rPr>
        <w:t xml:space="preserve">עם שרת המשפטים ועם השרה הממונה על ביצוע חוק שירות לאומי-אזרחי, התשע"ד-2014 (להלן </w:t>
      </w:r>
      <w:r w:rsidR="00FE500A">
        <w:rPr>
          <w:rStyle w:val="default"/>
          <w:rFonts w:cs="FrankRuehl"/>
          <w:rtl/>
        </w:rPr>
        <w:t>–</w:t>
      </w:r>
      <w:r w:rsidR="00FE500A">
        <w:rPr>
          <w:rStyle w:val="default"/>
          <w:rFonts w:cs="FrankRuehl" w:hint="cs"/>
          <w:rtl/>
        </w:rPr>
        <w:t xml:space="preserve"> חוק שירות לאומי-אזרחי), לפי סעיף 8ב(ה) לחוק</w:t>
      </w:r>
      <w:r>
        <w:rPr>
          <w:rStyle w:val="default"/>
          <w:rFonts w:cs="FrankRuehl" w:hint="cs"/>
          <w:rtl/>
        </w:rPr>
        <w:t>, אני מתקין תקנות אלה:</w:t>
      </w:r>
    </w:p>
    <w:p w14:paraId="44C79B3D" w14:textId="77777777" w:rsidR="009C4244" w:rsidRDefault="009C4244" w:rsidP="00FE500A">
      <w:pPr>
        <w:pStyle w:val="P00"/>
        <w:spacing w:before="72"/>
        <w:ind w:left="0" w:right="1134"/>
        <w:rPr>
          <w:rStyle w:val="default"/>
          <w:rFonts w:cs="FrankRuehl" w:hint="cs"/>
          <w:rtl/>
        </w:rPr>
      </w:pPr>
      <w:bookmarkStart w:id="0" w:name="Seif1"/>
      <w:bookmarkEnd w:id="0"/>
      <w:r>
        <w:rPr>
          <w:lang w:val="he-IL"/>
        </w:rPr>
        <w:pict w14:anchorId="7D83F9AB">
          <v:rect id="_x0000_s1026" style="position:absolute;left:0;text-align:left;margin-left:464.5pt;margin-top:8.05pt;width:75.05pt;height:10pt;z-index:251649024" o:allowincell="f" filled="f" stroked="f" strokecolor="lime" strokeweight=".25pt">
            <v:textbox inset="0,0,0,0">
              <w:txbxContent>
                <w:p w14:paraId="54C0DE75" w14:textId="77777777" w:rsidR="007074E0" w:rsidRDefault="00FE500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CF24D0">
        <w:rPr>
          <w:rStyle w:val="default"/>
          <w:rFonts w:cs="FrankRuehl"/>
          <w:rtl/>
        </w:rPr>
        <w:t>.</w:t>
      </w:r>
      <w:r w:rsidRPr="00CF24D0">
        <w:rPr>
          <w:rStyle w:val="default"/>
          <w:rFonts w:cs="FrankRuehl"/>
          <w:rtl/>
        </w:rPr>
        <w:tab/>
      </w:r>
      <w:r w:rsidR="00FE500A">
        <w:rPr>
          <w:rStyle w:val="default"/>
          <w:rFonts w:cs="FrankRuehl" w:hint="cs"/>
          <w:rtl/>
        </w:rPr>
        <w:t xml:space="preserve">בתקנות אלה </w:t>
      </w:r>
      <w:r w:rsidR="00FE500A">
        <w:rPr>
          <w:rStyle w:val="default"/>
          <w:rFonts w:cs="FrankRuehl"/>
          <w:rtl/>
        </w:rPr>
        <w:t>–</w:t>
      </w:r>
    </w:p>
    <w:p w14:paraId="389B46DB" w14:textId="77777777" w:rsidR="00FE500A" w:rsidRDefault="00FE500A" w:rsidP="00FE500A">
      <w:pPr>
        <w:pStyle w:val="P00"/>
        <w:spacing w:before="72"/>
        <w:ind w:left="0" w:right="1134"/>
        <w:rPr>
          <w:rStyle w:val="default"/>
          <w:rFonts w:cs="FrankRuehl" w:hint="cs"/>
          <w:rtl/>
        </w:rPr>
      </w:pPr>
      <w:r>
        <w:rPr>
          <w:rStyle w:val="default"/>
          <w:rFonts w:cs="FrankRuehl" w:hint="cs"/>
          <w:rtl/>
        </w:rPr>
        <w:tab/>
        <w:t xml:space="preserve">"דן יחיד" </w:t>
      </w:r>
      <w:r>
        <w:rPr>
          <w:rStyle w:val="default"/>
          <w:rFonts w:cs="FrankRuehl"/>
          <w:rtl/>
        </w:rPr>
        <w:t>–</w:t>
      </w:r>
      <w:r>
        <w:rPr>
          <w:rStyle w:val="default"/>
          <w:rFonts w:cs="FrankRuehl" w:hint="cs"/>
          <w:rtl/>
        </w:rPr>
        <w:t xml:space="preserve"> מי שהוסמך לפי סעיף 8ב(ג)(2) לחוק;</w:t>
      </w:r>
    </w:p>
    <w:p w14:paraId="37FA1547" w14:textId="77777777" w:rsidR="00FE500A" w:rsidRDefault="00FE500A" w:rsidP="00FE500A">
      <w:pPr>
        <w:pStyle w:val="P00"/>
        <w:spacing w:before="72"/>
        <w:ind w:left="0" w:right="1134"/>
        <w:rPr>
          <w:rStyle w:val="default"/>
          <w:rFonts w:cs="FrankRuehl" w:hint="cs"/>
          <w:rtl/>
        </w:rPr>
      </w:pPr>
      <w:r>
        <w:rPr>
          <w:rStyle w:val="default"/>
          <w:rFonts w:cs="FrankRuehl" w:hint="cs"/>
          <w:rtl/>
        </w:rPr>
        <w:tab/>
        <w:t xml:space="preserve">"כתב תלונה" </w:t>
      </w:r>
      <w:r>
        <w:rPr>
          <w:rStyle w:val="default"/>
          <w:rFonts w:cs="FrankRuehl"/>
          <w:rtl/>
        </w:rPr>
        <w:t>–</w:t>
      </w:r>
      <w:r>
        <w:rPr>
          <w:rStyle w:val="default"/>
          <w:rFonts w:cs="FrankRuehl" w:hint="cs"/>
          <w:rtl/>
        </w:rPr>
        <w:t xml:space="preserve"> כמשמעותו לפי תקנה 2;</w:t>
      </w:r>
    </w:p>
    <w:p w14:paraId="100F16D8" w14:textId="77777777" w:rsidR="00FE500A" w:rsidRDefault="00FE500A" w:rsidP="00FE500A">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כהגדרתו בחוק שירות לאומי-אזרחי;</w:t>
      </w:r>
    </w:p>
    <w:p w14:paraId="2DEC0BFA" w14:textId="77777777" w:rsidR="00FE500A" w:rsidRDefault="00FE500A" w:rsidP="00FE500A">
      <w:pPr>
        <w:pStyle w:val="P00"/>
        <w:spacing w:before="72"/>
        <w:ind w:left="0" w:right="1134"/>
        <w:rPr>
          <w:rStyle w:val="default"/>
          <w:rFonts w:cs="FrankRuehl" w:hint="cs"/>
          <w:rtl/>
        </w:rPr>
      </w:pPr>
      <w:r>
        <w:rPr>
          <w:rStyle w:val="default"/>
          <w:rFonts w:cs="FrankRuehl" w:hint="cs"/>
          <w:rtl/>
        </w:rPr>
        <w:tab/>
        <w:t xml:space="preserve">"משרת בשירות אזרחי-ביטחוני" </w:t>
      </w:r>
      <w:r>
        <w:rPr>
          <w:rStyle w:val="default"/>
          <w:rFonts w:cs="FrankRuehl"/>
          <w:rtl/>
        </w:rPr>
        <w:t>–</w:t>
      </w:r>
      <w:r>
        <w:rPr>
          <w:rStyle w:val="default"/>
          <w:rFonts w:cs="FrankRuehl" w:hint="cs"/>
          <w:rtl/>
        </w:rPr>
        <w:t xml:space="preserve"> כהגדרתו בסעיף 8א(א) לחוק.</w:t>
      </w:r>
    </w:p>
    <w:p w14:paraId="53942F70" w14:textId="77777777" w:rsidR="009C4244" w:rsidRDefault="009C4244" w:rsidP="00FE500A">
      <w:pPr>
        <w:pStyle w:val="P00"/>
        <w:spacing w:before="72"/>
        <w:ind w:left="0" w:right="1134"/>
        <w:rPr>
          <w:rStyle w:val="default"/>
          <w:rFonts w:cs="FrankRuehl" w:hint="cs"/>
          <w:rtl/>
        </w:rPr>
      </w:pPr>
      <w:bookmarkStart w:id="1" w:name="Seif2"/>
      <w:bookmarkEnd w:id="1"/>
      <w:r>
        <w:rPr>
          <w:lang w:val="he-IL"/>
        </w:rPr>
        <w:pict w14:anchorId="4B0E13F9">
          <v:rect id="_x0000_s1027" style="position:absolute;left:0;text-align:left;margin-left:464.5pt;margin-top:8.05pt;width:75.05pt;height:12.65pt;z-index:251650048" o:allowincell="f" filled="f" stroked="f" strokecolor="lime" strokeweight=".25pt">
            <v:textbox inset="0,0,0,0">
              <w:txbxContent>
                <w:p w14:paraId="0C42A445" w14:textId="77777777" w:rsidR="007074E0" w:rsidRDefault="00FE500A" w:rsidP="00CF24D0">
                  <w:pPr>
                    <w:spacing w:line="160" w:lineRule="exact"/>
                    <w:jc w:val="left"/>
                    <w:rPr>
                      <w:rFonts w:cs="Miriam" w:hint="cs"/>
                      <w:noProof/>
                      <w:szCs w:val="18"/>
                      <w:rtl/>
                    </w:rPr>
                  </w:pPr>
                  <w:r>
                    <w:rPr>
                      <w:rFonts w:cs="Miriam" w:hint="cs"/>
                      <w:szCs w:val="18"/>
                      <w:rtl/>
                    </w:rPr>
                    <w:t>עריכת כתב תלונה</w:t>
                  </w:r>
                </w:p>
              </w:txbxContent>
            </v:textbox>
            <w10:anchorlock/>
          </v:rect>
        </w:pict>
      </w:r>
      <w:r>
        <w:rPr>
          <w:rStyle w:val="big-number"/>
          <w:rtl/>
        </w:rPr>
        <w:t>2</w:t>
      </w:r>
      <w:r w:rsidRPr="00CF24D0">
        <w:rPr>
          <w:rStyle w:val="default"/>
          <w:rFonts w:cs="FrankRuehl"/>
          <w:rtl/>
        </w:rPr>
        <w:t>.</w:t>
      </w:r>
      <w:r w:rsidRPr="00CF24D0">
        <w:rPr>
          <w:rStyle w:val="default"/>
          <w:rFonts w:cs="FrankRuehl"/>
          <w:rtl/>
        </w:rPr>
        <w:tab/>
      </w:r>
      <w:r w:rsidR="00FE500A">
        <w:rPr>
          <w:rStyle w:val="default"/>
          <w:rFonts w:cs="FrankRuehl" w:hint="cs"/>
          <w:rtl/>
        </w:rPr>
        <w:t>ראש אגף ים וחופים או מנהל המשטרה הירוקה, לפי העניין, יערוך כתב תלונה.</w:t>
      </w:r>
    </w:p>
    <w:p w14:paraId="76ECCFAC" w14:textId="77777777" w:rsidR="00CF24D0" w:rsidRDefault="00CF24D0" w:rsidP="00FE500A">
      <w:pPr>
        <w:pStyle w:val="P00"/>
        <w:spacing w:before="72"/>
        <w:ind w:left="0" w:right="1134"/>
        <w:rPr>
          <w:rStyle w:val="default"/>
          <w:rFonts w:cs="FrankRuehl" w:hint="cs"/>
          <w:rtl/>
        </w:rPr>
      </w:pPr>
      <w:bookmarkStart w:id="2" w:name="Seif3"/>
      <w:bookmarkEnd w:id="2"/>
      <w:r>
        <w:rPr>
          <w:lang w:val="he-IL"/>
        </w:rPr>
        <w:pict w14:anchorId="76212539">
          <v:rect id="_x0000_s1047" style="position:absolute;left:0;text-align:left;margin-left:464.5pt;margin-top:8.05pt;width:75.05pt;height:12.65pt;z-index:251651072" o:allowincell="f" filled="f" stroked="f" strokecolor="lime" strokeweight=".25pt">
            <v:textbox inset="0,0,0,0">
              <w:txbxContent>
                <w:p w14:paraId="4FD01E9B" w14:textId="77777777" w:rsidR="00CF24D0" w:rsidRDefault="00FE500A" w:rsidP="00CF24D0">
                  <w:pPr>
                    <w:spacing w:line="160" w:lineRule="exact"/>
                    <w:jc w:val="left"/>
                    <w:rPr>
                      <w:rFonts w:cs="Miriam" w:hint="cs"/>
                      <w:noProof/>
                      <w:szCs w:val="18"/>
                      <w:rtl/>
                    </w:rPr>
                  </w:pPr>
                  <w:r>
                    <w:rPr>
                      <w:rFonts w:cs="Miriam" w:hint="cs"/>
                      <w:szCs w:val="18"/>
                      <w:rtl/>
                    </w:rPr>
                    <w:t>תוכן כתב תלונה</w:t>
                  </w:r>
                </w:p>
              </w:txbxContent>
            </v:textbox>
            <w10:anchorlock/>
          </v:rect>
        </w:pict>
      </w:r>
      <w:r w:rsidR="00FE500A">
        <w:rPr>
          <w:rStyle w:val="big-number"/>
          <w:rFonts w:hint="cs"/>
          <w:rtl/>
        </w:rPr>
        <w:t>3</w:t>
      </w:r>
      <w:r w:rsidRPr="00CF24D0">
        <w:rPr>
          <w:rStyle w:val="default"/>
          <w:rFonts w:cs="FrankRuehl"/>
          <w:rtl/>
        </w:rPr>
        <w:t>.</w:t>
      </w:r>
      <w:r w:rsidRPr="00CF24D0">
        <w:rPr>
          <w:rStyle w:val="default"/>
          <w:rFonts w:cs="FrankRuehl"/>
          <w:rtl/>
        </w:rPr>
        <w:tab/>
      </w:r>
      <w:r w:rsidR="00FE500A">
        <w:rPr>
          <w:rStyle w:val="default"/>
          <w:rFonts w:cs="FrankRuehl" w:hint="cs"/>
          <w:rtl/>
        </w:rPr>
        <w:t>כתב תלונה יכיל פרטים אלה:</w:t>
      </w:r>
    </w:p>
    <w:p w14:paraId="75E80094" w14:textId="77777777" w:rsidR="00FE500A" w:rsidRDefault="00FE500A" w:rsidP="00FE50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הדן היחיד ותפקידו;</w:t>
      </w:r>
    </w:p>
    <w:p w14:paraId="606B1AC9" w14:textId="77777777" w:rsidR="00FE500A" w:rsidRDefault="00FE500A" w:rsidP="00FE50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תאריך הגשת כתב התלונה;</w:t>
      </w:r>
    </w:p>
    <w:p w14:paraId="07EF75F4" w14:textId="77777777" w:rsidR="00FE500A" w:rsidRDefault="00FE500A" w:rsidP="00FE50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הנילון, מספר זהותו והאגף שבו הוא משרת;</w:t>
      </w:r>
    </w:p>
    <w:p w14:paraId="088CB875" w14:textId="77777777" w:rsidR="00FE500A" w:rsidRDefault="00FE500A" w:rsidP="00FE500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ציון עבירת המשמעת וסעיף האישום;</w:t>
      </w:r>
    </w:p>
    <w:p w14:paraId="198D176E" w14:textId="77777777" w:rsidR="00FE500A" w:rsidRDefault="00FE500A" w:rsidP="00FE500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תיאור העובדות המהוות את עבירת המשמעת בציון מקום וזמן ביצוע העבירה אם הם ידועים;</w:t>
      </w:r>
    </w:p>
    <w:p w14:paraId="54C88FE8" w14:textId="77777777" w:rsidR="00FE500A" w:rsidRDefault="00FE500A" w:rsidP="00FE500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שמות העדים;</w:t>
      </w:r>
    </w:p>
    <w:p w14:paraId="2D4592EC" w14:textId="77777777" w:rsidR="00FE500A" w:rsidRDefault="00FE500A" w:rsidP="00FE500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פירוט ראיות אחרות, אם ישנן.</w:t>
      </w:r>
    </w:p>
    <w:p w14:paraId="612220D4" w14:textId="77777777" w:rsidR="00CF24D0" w:rsidRDefault="00CF24D0" w:rsidP="00FE500A">
      <w:pPr>
        <w:pStyle w:val="P00"/>
        <w:spacing w:before="72"/>
        <w:ind w:left="0" w:right="1134"/>
        <w:rPr>
          <w:rStyle w:val="default"/>
          <w:rFonts w:cs="FrankRuehl" w:hint="cs"/>
          <w:rtl/>
        </w:rPr>
      </w:pPr>
      <w:bookmarkStart w:id="3" w:name="Seif4"/>
      <w:bookmarkEnd w:id="3"/>
      <w:r>
        <w:rPr>
          <w:lang w:val="he-IL"/>
        </w:rPr>
        <w:pict w14:anchorId="709DFFE1">
          <v:rect id="_x0000_s1048" style="position:absolute;left:0;text-align:left;margin-left:464.5pt;margin-top:8.05pt;width:75.05pt;height:12.65pt;z-index:251652096" o:allowincell="f" filled="f" stroked="f" strokecolor="lime" strokeweight=".25pt">
            <v:textbox inset="0,0,0,0">
              <w:txbxContent>
                <w:p w14:paraId="4A04C9C2" w14:textId="77777777" w:rsidR="00CF24D0" w:rsidRDefault="00FE500A" w:rsidP="00CF24D0">
                  <w:pPr>
                    <w:spacing w:line="160" w:lineRule="exact"/>
                    <w:jc w:val="left"/>
                    <w:rPr>
                      <w:rFonts w:cs="Miriam" w:hint="cs"/>
                      <w:noProof/>
                      <w:szCs w:val="18"/>
                      <w:rtl/>
                    </w:rPr>
                  </w:pPr>
                  <w:r>
                    <w:rPr>
                      <w:rFonts w:cs="Miriam" w:hint="cs"/>
                      <w:szCs w:val="18"/>
                      <w:rtl/>
                    </w:rPr>
                    <w:t>מסירת כתב תלונה</w:t>
                  </w:r>
                </w:p>
              </w:txbxContent>
            </v:textbox>
            <w10:anchorlock/>
          </v:rect>
        </w:pict>
      </w:r>
      <w:r w:rsidR="00FE500A">
        <w:rPr>
          <w:rStyle w:val="big-number"/>
          <w:rFonts w:hint="cs"/>
          <w:rtl/>
        </w:rPr>
        <w:t>4</w:t>
      </w:r>
      <w:r w:rsidRPr="00CF24D0">
        <w:rPr>
          <w:rStyle w:val="default"/>
          <w:rFonts w:cs="FrankRuehl"/>
          <w:rtl/>
        </w:rPr>
        <w:t>.</w:t>
      </w:r>
      <w:r w:rsidRPr="00CF24D0">
        <w:rPr>
          <w:rStyle w:val="default"/>
          <w:rFonts w:cs="FrankRuehl"/>
          <w:rtl/>
        </w:rPr>
        <w:tab/>
      </w:r>
      <w:r w:rsidR="00FE500A">
        <w:rPr>
          <w:rStyle w:val="default"/>
          <w:rFonts w:cs="FrankRuehl" w:hint="cs"/>
          <w:rtl/>
        </w:rPr>
        <w:t>(א)</w:t>
      </w:r>
      <w:r w:rsidR="00FE500A">
        <w:rPr>
          <w:rStyle w:val="default"/>
          <w:rFonts w:cs="FrankRuehl" w:hint="cs"/>
          <w:rtl/>
        </w:rPr>
        <w:tab/>
        <w:t>כתב התלונה יוגש לדן יחיד, שלאחר עיון בו ייקבע מועד לדיון.</w:t>
      </w:r>
    </w:p>
    <w:p w14:paraId="75524E96"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דן יחיד יודיע לנילון, מוקדם ככל האפשר ולא יאוחר מארבעים ושמונה שעות לפני תחילת הדיון, על מועד הדיון ומקומו וימסור לו העתק מכתב התלונה, אלא אם כן החליט לבטל את כתב התלונה לפי תקנה 5.</w:t>
      </w:r>
    </w:p>
    <w:p w14:paraId="719DCE12"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הדן היחיד יעביר למנהל העתק מההודעה לנילון.</w:t>
      </w:r>
    </w:p>
    <w:p w14:paraId="4DF772DD" w14:textId="77777777" w:rsidR="00CF24D0" w:rsidRDefault="00CF24D0" w:rsidP="00FE500A">
      <w:pPr>
        <w:pStyle w:val="P00"/>
        <w:spacing w:before="72"/>
        <w:ind w:left="0" w:right="1134"/>
        <w:rPr>
          <w:rStyle w:val="default"/>
          <w:rFonts w:cs="FrankRuehl" w:hint="cs"/>
          <w:rtl/>
        </w:rPr>
      </w:pPr>
      <w:bookmarkStart w:id="4" w:name="Seif5"/>
      <w:bookmarkEnd w:id="4"/>
      <w:r>
        <w:rPr>
          <w:lang w:val="he-IL"/>
        </w:rPr>
        <w:pict w14:anchorId="786E4476">
          <v:rect id="_x0000_s1049" style="position:absolute;left:0;text-align:left;margin-left:464.5pt;margin-top:8.05pt;width:75.05pt;height:12.65pt;z-index:251653120" o:allowincell="f" filled="f" stroked="f" strokecolor="lime" strokeweight=".25pt">
            <v:textbox inset="0,0,0,0">
              <w:txbxContent>
                <w:p w14:paraId="737DBFF1" w14:textId="77777777" w:rsidR="00CF24D0" w:rsidRDefault="00FE500A" w:rsidP="00CF24D0">
                  <w:pPr>
                    <w:spacing w:line="160" w:lineRule="exact"/>
                    <w:jc w:val="left"/>
                    <w:rPr>
                      <w:rFonts w:cs="Miriam" w:hint="cs"/>
                      <w:noProof/>
                      <w:szCs w:val="18"/>
                      <w:rtl/>
                    </w:rPr>
                  </w:pPr>
                  <w:r>
                    <w:rPr>
                      <w:rFonts w:cs="Miriam" w:hint="cs"/>
                      <w:szCs w:val="18"/>
                      <w:rtl/>
                    </w:rPr>
                    <w:t>ביטול כתב תלונה</w:t>
                  </w:r>
                </w:p>
              </w:txbxContent>
            </v:textbox>
            <w10:anchorlock/>
          </v:rect>
        </w:pict>
      </w:r>
      <w:r w:rsidR="00FE500A">
        <w:rPr>
          <w:rStyle w:val="big-number"/>
          <w:rFonts w:hint="cs"/>
          <w:rtl/>
        </w:rPr>
        <w:t>5</w:t>
      </w:r>
      <w:r w:rsidRPr="00CF24D0">
        <w:rPr>
          <w:rStyle w:val="default"/>
          <w:rFonts w:cs="FrankRuehl"/>
          <w:rtl/>
        </w:rPr>
        <w:t>.</w:t>
      </w:r>
      <w:r w:rsidRPr="00CF24D0">
        <w:rPr>
          <w:rStyle w:val="default"/>
          <w:rFonts w:cs="FrankRuehl"/>
          <w:rtl/>
        </w:rPr>
        <w:tab/>
      </w:r>
      <w:r w:rsidR="00FE500A">
        <w:rPr>
          <w:rStyle w:val="default"/>
          <w:rFonts w:cs="FrankRuehl" w:hint="cs"/>
          <w:rtl/>
        </w:rPr>
        <w:t>דן יחיד יבטל כתב תלונה אם התקיים אחד מאלה:</w:t>
      </w:r>
    </w:p>
    <w:p w14:paraId="28FE5889" w14:textId="77777777" w:rsidR="00FE500A" w:rsidRDefault="00FE500A" w:rsidP="00FE50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העובדות המפורטות בכתב התלונה אינן מהוות עבירה;</w:t>
      </w:r>
    </w:p>
    <w:p w14:paraId="409747DA" w14:textId="77777777" w:rsidR="00FE500A" w:rsidRDefault="00FE500A" w:rsidP="00FE50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הנילון כבר זוכה או הורשע בשל המעשה נושא כתב התלונה.</w:t>
      </w:r>
    </w:p>
    <w:p w14:paraId="06AC45FF" w14:textId="77777777" w:rsidR="00CF24D0" w:rsidRDefault="00CF24D0" w:rsidP="00FE500A">
      <w:pPr>
        <w:pStyle w:val="P00"/>
        <w:spacing w:before="72"/>
        <w:ind w:left="0" w:right="1134"/>
        <w:rPr>
          <w:rStyle w:val="default"/>
          <w:rFonts w:cs="FrankRuehl" w:hint="cs"/>
          <w:rtl/>
        </w:rPr>
      </w:pPr>
      <w:bookmarkStart w:id="5" w:name="Seif6"/>
      <w:bookmarkEnd w:id="5"/>
      <w:r>
        <w:rPr>
          <w:lang w:val="he-IL"/>
        </w:rPr>
        <w:pict w14:anchorId="39454819">
          <v:rect id="_x0000_s1050" style="position:absolute;left:0;text-align:left;margin-left:464.5pt;margin-top:8.05pt;width:75.05pt;height:12.65pt;z-index:251654144" o:allowincell="f" filled="f" stroked="f" strokecolor="lime" strokeweight=".25pt">
            <v:textbox inset="0,0,0,0">
              <w:txbxContent>
                <w:p w14:paraId="2E618B9B" w14:textId="77777777" w:rsidR="00CF24D0" w:rsidRDefault="00FE500A" w:rsidP="00CF24D0">
                  <w:pPr>
                    <w:spacing w:line="160" w:lineRule="exact"/>
                    <w:jc w:val="left"/>
                    <w:rPr>
                      <w:rFonts w:cs="Miriam" w:hint="cs"/>
                      <w:noProof/>
                      <w:szCs w:val="18"/>
                      <w:rtl/>
                    </w:rPr>
                  </w:pPr>
                  <w:r>
                    <w:rPr>
                      <w:rFonts w:cs="Miriam" w:hint="cs"/>
                      <w:szCs w:val="18"/>
                      <w:rtl/>
                    </w:rPr>
                    <w:t>זכות העיון</w:t>
                  </w:r>
                </w:p>
              </w:txbxContent>
            </v:textbox>
            <w10:anchorlock/>
          </v:rect>
        </w:pict>
      </w:r>
      <w:r w:rsidR="00FE500A">
        <w:rPr>
          <w:rStyle w:val="big-number"/>
          <w:rFonts w:hint="cs"/>
          <w:rtl/>
        </w:rPr>
        <w:t>6</w:t>
      </w:r>
      <w:r w:rsidRPr="00CF24D0">
        <w:rPr>
          <w:rStyle w:val="default"/>
          <w:rFonts w:cs="FrankRuehl"/>
          <w:rtl/>
        </w:rPr>
        <w:t>.</w:t>
      </w:r>
      <w:r w:rsidRPr="00CF24D0">
        <w:rPr>
          <w:rStyle w:val="default"/>
          <w:rFonts w:cs="FrankRuehl"/>
          <w:rtl/>
        </w:rPr>
        <w:tab/>
      </w:r>
      <w:r w:rsidR="00FE500A">
        <w:rPr>
          <w:rStyle w:val="default"/>
          <w:rFonts w:cs="FrankRuehl" w:hint="cs"/>
          <w:rtl/>
        </w:rPr>
        <w:t>נמסר כתב תלונה לנילון, רשאי הוא או מי מטעמו לעיין בכל זמן סביר בראיות שפורטו בכתב התלונה ולהעתיקן.</w:t>
      </w:r>
    </w:p>
    <w:p w14:paraId="1A060C46" w14:textId="77777777" w:rsidR="00CF24D0" w:rsidRDefault="00CF24D0" w:rsidP="00FE500A">
      <w:pPr>
        <w:pStyle w:val="P00"/>
        <w:spacing w:before="72"/>
        <w:ind w:left="0" w:right="1134"/>
        <w:rPr>
          <w:rStyle w:val="default"/>
          <w:rFonts w:cs="FrankRuehl" w:hint="cs"/>
          <w:rtl/>
        </w:rPr>
      </w:pPr>
      <w:bookmarkStart w:id="6" w:name="Seif7"/>
      <w:bookmarkEnd w:id="6"/>
      <w:r>
        <w:rPr>
          <w:lang w:val="he-IL"/>
        </w:rPr>
        <w:pict w14:anchorId="31EBA9D8">
          <v:rect id="_x0000_s1051" style="position:absolute;left:0;text-align:left;margin-left:464.5pt;margin-top:8.05pt;width:75.05pt;height:12.65pt;z-index:251655168" o:allowincell="f" filled="f" stroked="f" strokecolor="lime" strokeweight=".25pt">
            <v:textbox inset="0,0,0,0">
              <w:txbxContent>
                <w:p w14:paraId="052FB64F" w14:textId="77777777" w:rsidR="00CF24D0" w:rsidRDefault="00FE500A" w:rsidP="00CF24D0">
                  <w:pPr>
                    <w:spacing w:line="160" w:lineRule="exact"/>
                    <w:jc w:val="left"/>
                    <w:rPr>
                      <w:rFonts w:cs="Miriam" w:hint="cs"/>
                      <w:noProof/>
                      <w:szCs w:val="18"/>
                      <w:rtl/>
                    </w:rPr>
                  </w:pPr>
                  <w:r>
                    <w:rPr>
                      <w:rFonts w:cs="Miriam" w:hint="cs"/>
                      <w:szCs w:val="18"/>
                      <w:rtl/>
                    </w:rPr>
                    <w:t>תחילת הדיון</w:t>
                  </w:r>
                </w:p>
              </w:txbxContent>
            </v:textbox>
            <w10:anchorlock/>
          </v:rect>
        </w:pict>
      </w:r>
      <w:r w:rsidR="00FE500A">
        <w:rPr>
          <w:rStyle w:val="big-number"/>
          <w:rFonts w:hint="cs"/>
          <w:rtl/>
        </w:rPr>
        <w:t>7</w:t>
      </w:r>
      <w:r w:rsidRPr="00CF24D0">
        <w:rPr>
          <w:rStyle w:val="default"/>
          <w:rFonts w:cs="FrankRuehl"/>
          <w:rtl/>
        </w:rPr>
        <w:t>.</w:t>
      </w:r>
      <w:r w:rsidRPr="00CF24D0">
        <w:rPr>
          <w:rStyle w:val="default"/>
          <w:rFonts w:cs="FrankRuehl"/>
          <w:rtl/>
        </w:rPr>
        <w:tab/>
      </w:r>
      <w:r w:rsidR="00FE500A">
        <w:rPr>
          <w:rStyle w:val="default"/>
          <w:rFonts w:cs="FrankRuehl" w:hint="cs"/>
          <w:rtl/>
        </w:rPr>
        <w:t>בתחילת הדיון יזהה הדן היחיד את הנילון, יקרא לפניו את כתב התלונה ויביא לידיעתו כי הוא רשאי מנימוקים שיפרט, לבקש את העברת הדיון לדן יחיד אחר; לא הועבר הדיון לדן יחיד אחר, יבקש הדן היחיד את תשובתו של הנאשם לכתב התלונה.</w:t>
      </w:r>
    </w:p>
    <w:p w14:paraId="75119B97" w14:textId="77777777" w:rsidR="00CF24D0" w:rsidRDefault="00CF24D0" w:rsidP="00FE500A">
      <w:pPr>
        <w:pStyle w:val="P00"/>
        <w:spacing w:before="72"/>
        <w:ind w:left="0" w:right="1134"/>
        <w:rPr>
          <w:rStyle w:val="default"/>
          <w:rFonts w:cs="FrankRuehl" w:hint="cs"/>
          <w:rtl/>
        </w:rPr>
      </w:pPr>
      <w:bookmarkStart w:id="7" w:name="Seif8"/>
      <w:bookmarkEnd w:id="7"/>
      <w:r>
        <w:rPr>
          <w:lang w:val="he-IL"/>
        </w:rPr>
        <w:pict w14:anchorId="38DF973D">
          <v:rect id="_x0000_s1052" style="position:absolute;left:0;text-align:left;margin-left:464.5pt;margin-top:8.05pt;width:75.05pt;height:12.65pt;z-index:251656192" o:allowincell="f" filled="f" stroked="f" strokecolor="lime" strokeweight=".25pt">
            <v:textbox inset="0,0,0,0">
              <w:txbxContent>
                <w:p w14:paraId="0D0FAFEC" w14:textId="77777777" w:rsidR="00CF24D0" w:rsidRDefault="00FE500A" w:rsidP="00CF24D0">
                  <w:pPr>
                    <w:spacing w:line="160" w:lineRule="exact"/>
                    <w:jc w:val="left"/>
                    <w:rPr>
                      <w:rFonts w:cs="Miriam" w:hint="cs"/>
                      <w:noProof/>
                      <w:szCs w:val="18"/>
                      <w:rtl/>
                    </w:rPr>
                  </w:pPr>
                  <w:r>
                    <w:rPr>
                      <w:rFonts w:cs="Miriam" w:hint="cs"/>
                      <w:szCs w:val="18"/>
                      <w:rtl/>
                    </w:rPr>
                    <w:t>העברת הדיון</w:t>
                  </w:r>
                </w:p>
              </w:txbxContent>
            </v:textbox>
            <w10:anchorlock/>
          </v:rect>
        </w:pict>
      </w:r>
      <w:r w:rsidR="00FE500A">
        <w:rPr>
          <w:rStyle w:val="big-number"/>
          <w:rFonts w:hint="cs"/>
          <w:rtl/>
        </w:rPr>
        <w:t>8</w:t>
      </w:r>
      <w:r w:rsidRPr="00CF24D0">
        <w:rPr>
          <w:rStyle w:val="default"/>
          <w:rFonts w:cs="FrankRuehl"/>
          <w:rtl/>
        </w:rPr>
        <w:t>.</w:t>
      </w:r>
      <w:r w:rsidRPr="00CF24D0">
        <w:rPr>
          <w:rStyle w:val="default"/>
          <w:rFonts w:cs="FrankRuehl"/>
          <w:rtl/>
        </w:rPr>
        <w:tab/>
      </w:r>
      <w:r w:rsidR="00FE500A">
        <w:rPr>
          <w:rStyle w:val="default"/>
          <w:rFonts w:cs="FrankRuehl" w:hint="cs"/>
          <w:rtl/>
        </w:rPr>
        <w:t>ביקש הנאשם להעביר את הדיון כאמור בתקנה 7, רשאי הדן היחיד להעביר את הדיון כמבוקש; החליט שלא להעביר את הדיון כאמור, יציין בהחלטתו את הנימוקים לכך.</w:t>
      </w:r>
    </w:p>
    <w:p w14:paraId="3F8AD89B" w14:textId="77777777" w:rsidR="00CF24D0" w:rsidRDefault="00CF24D0" w:rsidP="00FE500A">
      <w:pPr>
        <w:pStyle w:val="P00"/>
        <w:spacing w:before="72"/>
        <w:ind w:left="0" w:right="1134"/>
        <w:rPr>
          <w:rStyle w:val="default"/>
          <w:rFonts w:cs="FrankRuehl" w:hint="cs"/>
          <w:rtl/>
        </w:rPr>
      </w:pPr>
      <w:bookmarkStart w:id="8" w:name="Seif9"/>
      <w:bookmarkEnd w:id="8"/>
      <w:r>
        <w:rPr>
          <w:lang w:val="he-IL"/>
        </w:rPr>
        <w:pict w14:anchorId="74B9DBD8">
          <v:rect id="_x0000_s1053" style="position:absolute;left:0;text-align:left;margin-left:464.5pt;margin-top:8.05pt;width:75.05pt;height:21.4pt;z-index:251657216" o:allowincell="f" filled="f" stroked="f" strokecolor="lime" strokeweight=".25pt">
            <v:textbox inset="0,0,0,0">
              <w:txbxContent>
                <w:p w14:paraId="127814F9" w14:textId="77777777" w:rsidR="00CF24D0" w:rsidRDefault="00FE500A" w:rsidP="00CF24D0">
                  <w:pPr>
                    <w:spacing w:line="160" w:lineRule="exact"/>
                    <w:jc w:val="left"/>
                    <w:rPr>
                      <w:rFonts w:cs="Miriam" w:hint="cs"/>
                      <w:noProof/>
                      <w:szCs w:val="18"/>
                      <w:rtl/>
                    </w:rPr>
                  </w:pPr>
                  <w:r>
                    <w:rPr>
                      <w:rFonts w:cs="Miriam" w:hint="cs"/>
                      <w:szCs w:val="18"/>
                      <w:rtl/>
                    </w:rPr>
                    <w:t>הבאת ראיות ונוכחות הנילון</w:t>
                  </w:r>
                </w:p>
              </w:txbxContent>
            </v:textbox>
            <w10:anchorlock/>
          </v:rect>
        </w:pict>
      </w:r>
      <w:r w:rsidR="00FE500A">
        <w:rPr>
          <w:rStyle w:val="big-number"/>
          <w:rFonts w:hint="cs"/>
          <w:rtl/>
        </w:rPr>
        <w:t>9</w:t>
      </w:r>
      <w:r w:rsidRPr="00CF24D0">
        <w:rPr>
          <w:rStyle w:val="default"/>
          <w:rFonts w:cs="FrankRuehl"/>
          <w:rtl/>
        </w:rPr>
        <w:t>.</w:t>
      </w:r>
      <w:r w:rsidRPr="00CF24D0">
        <w:rPr>
          <w:rStyle w:val="default"/>
          <w:rFonts w:cs="FrankRuehl"/>
          <w:rtl/>
        </w:rPr>
        <w:tab/>
      </w:r>
      <w:r w:rsidR="00FE500A">
        <w:rPr>
          <w:rStyle w:val="default"/>
          <w:rFonts w:cs="FrankRuehl" w:hint="cs"/>
          <w:rtl/>
        </w:rPr>
        <w:t>(א)</w:t>
      </w:r>
      <w:r w:rsidR="00FE500A">
        <w:rPr>
          <w:rStyle w:val="default"/>
          <w:rFonts w:cs="FrankRuehl" w:hint="cs"/>
          <w:rtl/>
        </w:rPr>
        <w:tab/>
        <w:t xml:space="preserve">דן יחיד רשאי לשמוע כל עד שימצא לנכון ולעניין בכל מסמך הדרוש לבירור </w:t>
      </w:r>
      <w:r w:rsidR="00FE500A">
        <w:rPr>
          <w:rStyle w:val="default"/>
          <w:rFonts w:cs="FrankRuehl" w:hint="cs"/>
          <w:rtl/>
        </w:rPr>
        <w:lastRenderedPageBreak/>
        <w:t>העובדות, ובלבד שייתן לנילון הזדמנות לעיין במסמכים, ולהציג שאלותיו לכל אדם המעיד כאמור.</w:t>
      </w:r>
    </w:p>
    <w:p w14:paraId="4CA489C0"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דן יחיד, לבקשת הנילון, יזמין כל אדם להעיד לפניו, זולת אם היה סבור שאין בהזמנת אותו אדם להועיל לבירור שאלה הנוגעת לדיון; הזמנה כאמור תהיה בכתב או בהודעה בעל פה לעד.</w:t>
      </w:r>
    </w:p>
    <w:p w14:paraId="5F45639D"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דן יחיד יתיר לנילון להשמיע את טענותיו, לחקור עדים ולהביא ראיות אחרות.</w:t>
      </w:r>
    </w:p>
    <w:p w14:paraId="040B6836" w14:textId="77777777" w:rsidR="00CF24D0" w:rsidRDefault="00CF24D0" w:rsidP="00FE500A">
      <w:pPr>
        <w:pStyle w:val="P00"/>
        <w:spacing w:before="72"/>
        <w:ind w:left="0" w:right="1134"/>
        <w:rPr>
          <w:rStyle w:val="default"/>
          <w:rFonts w:cs="FrankRuehl" w:hint="cs"/>
          <w:rtl/>
        </w:rPr>
      </w:pPr>
      <w:bookmarkStart w:id="9" w:name="Seif10"/>
      <w:bookmarkEnd w:id="9"/>
      <w:r>
        <w:rPr>
          <w:lang w:val="he-IL"/>
        </w:rPr>
        <w:pict w14:anchorId="1933E1C3">
          <v:rect id="_x0000_s1054" style="position:absolute;left:0;text-align:left;margin-left:464.5pt;margin-top:8.05pt;width:75.05pt;height:12.65pt;z-index:251658240" o:allowincell="f" filled="f" stroked="f" strokecolor="lime" strokeweight=".25pt">
            <v:textbox inset="0,0,0,0">
              <w:txbxContent>
                <w:p w14:paraId="0B5B852E" w14:textId="77777777" w:rsidR="00CF24D0" w:rsidRDefault="00FE500A" w:rsidP="00CF24D0">
                  <w:pPr>
                    <w:spacing w:line="160" w:lineRule="exact"/>
                    <w:jc w:val="left"/>
                    <w:rPr>
                      <w:rFonts w:cs="Miriam" w:hint="cs"/>
                      <w:noProof/>
                      <w:szCs w:val="18"/>
                      <w:rtl/>
                    </w:rPr>
                  </w:pPr>
                  <w:r>
                    <w:rPr>
                      <w:rFonts w:cs="Miriam" w:hint="cs"/>
                      <w:szCs w:val="18"/>
                      <w:rtl/>
                    </w:rPr>
                    <w:t>עובדה שהודו בה</w:t>
                  </w:r>
                </w:p>
              </w:txbxContent>
            </v:textbox>
            <w10:anchorlock/>
          </v:rect>
        </w:pict>
      </w:r>
      <w:r>
        <w:rPr>
          <w:rStyle w:val="big-number"/>
          <w:rFonts w:hint="cs"/>
          <w:rtl/>
        </w:rPr>
        <w:t>10</w:t>
      </w:r>
      <w:r w:rsidRPr="00CF24D0">
        <w:rPr>
          <w:rStyle w:val="default"/>
          <w:rFonts w:cs="FrankRuehl"/>
          <w:rtl/>
        </w:rPr>
        <w:t>.</w:t>
      </w:r>
      <w:r w:rsidRPr="00CF24D0">
        <w:rPr>
          <w:rStyle w:val="default"/>
          <w:rFonts w:cs="FrankRuehl"/>
          <w:rtl/>
        </w:rPr>
        <w:tab/>
      </w:r>
      <w:r w:rsidR="00FE500A">
        <w:rPr>
          <w:rStyle w:val="default"/>
          <w:rFonts w:cs="FrankRuehl" w:hint="cs"/>
          <w:rtl/>
        </w:rPr>
        <w:t>עובדה שנילון הודה בה יראוה כמוכחת כלפיו זולת אם החליט הדן היחיד שלא לראות בהודאה ראיה.</w:t>
      </w:r>
    </w:p>
    <w:p w14:paraId="44A9A1DB" w14:textId="77777777" w:rsidR="00CF24D0" w:rsidRDefault="00CF24D0" w:rsidP="00FE500A">
      <w:pPr>
        <w:pStyle w:val="P00"/>
        <w:spacing w:before="72"/>
        <w:ind w:left="0" w:right="1134"/>
        <w:rPr>
          <w:rStyle w:val="default"/>
          <w:rFonts w:cs="FrankRuehl" w:hint="cs"/>
          <w:rtl/>
        </w:rPr>
      </w:pPr>
      <w:bookmarkStart w:id="10" w:name="Seif11"/>
      <w:bookmarkEnd w:id="10"/>
      <w:r>
        <w:rPr>
          <w:lang w:val="he-IL"/>
        </w:rPr>
        <w:pict w14:anchorId="7668A5B7">
          <v:rect id="_x0000_s1055" style="position:absolute;left:0;text-align:left;margin-left:464.5pt;margin-top:8.05pt;width:75.05pt;height:12.65pt;z-index:251659264" o:allowincell="f" filled="f" stroked="f" strokecolor="lime" strokeweight=".25pt">
            <v:textbox inset="0,0,0,0">
              <w:txbxContent>
                <w:p w14:paraId="2A58C757" w14:textId="77777777" w:rsidR="00CF24D0" w:rsidRDefault="00FE500A" w:rsidP="00CF24D0">
                  <w:pPr>
                    <w:spacing w:line="160" w:lineRule="exact"/>
                    <w:jc w:val="left"/>
                    <w:rPr>
                      <w:rFonts w:cs="Miriam" w:hint="cs"/>
                      <w:noProof/>
                      <w:szCs w:val="18"/>
                      <w:rtl/>
                    </w:rPr>
                  </w:pPr>
                  <w:r>
                    <w:rPr>
                      <w:rFonts w:cs="Miriam" w:hint="cs"/>
                      <w:szCs w:val="18"/>
                      <w:rtl/>
                    </w:rPr>
                    <w:t>חזרה מהודאה</w:t>
                  </w:r>
                </w:p>
              </w:txbxContent>
            </v:textbox>
            <w10:anchorlock/>
          </v:rect>
        </w:pict>
      </w:r>
      <w:r>
        <w:rPr>
          <w:rStyle w:val="big-number"/>
          <w:rFonts w:hint="cs"/>
          <w:rtl/>
        </w:rPr>
        <w:t>1</w:t>
      </w:r>
      <w:r w:rsidR="00FE500A">
        <w:rPr>
          <w:rStyle w:val="big-number"/>
          <w:rFonts w:hint="cs"/>
          <w:rtl/>
        </w:rPr>
        <w:t>1</w:t>
      </w:r>
      <w:r w:rsidRPr="00CF24D0">
        <w:rPr>
          <w:rStyle w:val="default"/>
          <w:rFonts w:cs="FrankRuehl"/>
          <w:rtl/>
        </w:rPr>
        <w:t>.</w:t>
      </w:r>
      <w:r w:rsidRPr="00CF24D0">
        <w:rPr>
          <w:rStyle w:val="default"/>
          <w:rFonts w:cs="FrankRuehl"/>
          <w:rtl/>
        </w:rPr>
        <w:tab/>
      </w:r>
      <w:r w:rsidR="00FE500A">
        <w:rPr>
          <w:rStyle w:val="default"/>
          <w:rFonts w:cs="FrankRuehl" w:hint="cs"/>
          <w:rtl/>
        </w:rPr>
        <w:t>(א)</w:t>
      </w:r>
      <w:r w:rsidR="00FE500A">
        <w:rPr>
          <w:rStyle w:val="default"/>
          <w:rFonts w:cs="FrankRuehl" w:hint="cs"/>
          <w:rtl/>
        </w:rPr>
        <w:tab/>
        <w:t>הודה הנילון בעובדה, בין בהודאה שבכתב לפני המשפט ובין במהלך המשפט, רשאי הוא בכל שלב של המשפט לחזור בו מן ההודאה, כולה או מקצתה, אם התיר זאת הדן היחיד מנימוקים מיוחדים שיירשמו.</w:t>
      </w:r>
    </w:p>
    <w:p w14:paraId="3AB317EA"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התיר הדן היחיד לנילון חזור בו מהודאתו אחרי הכרעת הדין, יבטל הדן היחיד את הכרעת הדין אם יסודה בהודאת הנילון ויחדש את הדיון אם מתחייב הדבר מן הנסיבות.</w:t>
      </w:r>
    </w:p>
    <w:p w14:paraId="03A93F2F" w14:textId="77777777" w:rsidR="00CF24D0" w:rsidRDefault="00CF24D0" w:rsidP="00FE500A">
      <w:pPr>
        <w:pStyle w:val="P00"/>
        <w:spacing w:before="72"/>
        <w:ind w:left="0" w:right="1134"/>
        <w:rPr>
          <w:rStyle w:val="default"/>
          <w:rFonts w:cs="FrankRuehl" w:hint="cs"/>
          <w:rtl/>
        </w:rPr>
      </w:pPr>
      <w:bookmarkStart w:id="11" w:name="Seif12"/>
      <w:bookmarkEnd w:id="11"/>
      <w:r>
        <w:rPr>
          <w:lang w:val="he-IL"/>
        </w:rPr>
        <w:pict w14:anchorId="27AA604F">
          <v:rect id="_x0000_s1056" style="position:absolute;left:0;text-align:left;margin-left:464.5pt;margin-top:8.05pt;width:75.05pt;height:12.65pt;z-index:251660288" o:allowincell="f" filled="f" stroked="f" strokecolor="lime" strokeweight=".25pt">
            <v:textbox inset="0,0,0,0">
              <w:txbxContent>
                <w:p w14:paraId="0534AFA9" w14:textId="77777777" w:rsidR="00CF24D0" w:rsidRDefault="00FE500A" w:rsidP="00CF24D0">
                  <w:pPr>
                    <w:spacing w:line="160" w:lineRule="exact"/>
                    <w:jc w:val="left"/>
                    <w:rPr>
                      <w:rFonts w:cs="Miriam" w:hint="cs"/>
                      <w:noProof/>
                      <w:szCs w:val="18"/>
                      <w:rtl/>
                    </w:rPr>
                  </w:pPr>
                  <w:r>
                    <w:rPr>
                      <w:rFonts w:cs="Miriam" w:hint="cs"/>
                      <w:szCs w:val="18"/>
                      <w:rtl/>
                    </w:rPr>
                    <w:t>רישום פרוטוקול</w:t>
                  </w:r>
                </w:p>
              </w:txbxContent>
            </v:textbox>
            <w10:anchorlock/>
          </v:rect>
        </w:pict>
      </w:r>
      <w:r>
        <w:rPr>
          <w:rStyle w:val="big-number"/>
          <w:rFonts w:hint="cs"/>
          <w:rtl/>
        </w:rPr>
        <w:t>1</w:t>
      </w:r>
      <w:r w:rsidR="00FE500A">
        <w:rPr>
          <w:rStyle w:val="big-number"/>
          <w:rFonts w:hint="cs"/>
          <w:rtl/>
        </w:rPr>
        <w:t>2</w:t>
      </w:r>
      <w:r w:rsidRPr="00CF24D0">
        <w:rPr>
          <w:rStyle w:val="default"/>
          <w:rFonts w:cs="FrankRuehl"/>
          <w:rtl/>
        </w:rPr>
        <w:t>.</w:t>
      </w:r>
      <w:r w:rsidRPr="00CF24D0">
        <w:rPr>
          <w:rStyle w:val="default"/>
          <w:rFonts w:cs="FrankRuehl"/>
          <w:rtl/>
        </w:rPr>
        <w:tab/>
      </w:r>
      <w:r w:rsidR="00FE500A">
        <w:rPr>
          <w:rStyle w:val="default"/>
          <w:rFonts w:cs="FrankRuehl" w:hint="cs"/>
          <w:rtl/>
        </w:rPr>
        <w:t>במהלך הדיון לפני דן יחיד יירשם פרוטוקול שישקף את כל דברי הנילון והמתרחש בדיון; בסיום הדיון יחתמו הדן היחיד והנילון על הפרוטוקול; הנילון רשאי להוסיף לפרוטוקול את הערותיו.</w:t>
      </w:r>
    </w:p>
    <w:p w14:paraId="0EE99304" w14:textId="77777777" w:rsidR="00CF24D0" w:rsidRDefault="00CF24D0" w:rsidP="00FE500A">
      <w:pPr>
        <w:pStyle w:val="P00"/>
        <w:spacing w:before="72"/>
        <w:ind w:left="0" w:right="1134"/>
        <w:rPr>
          <w:rStyle w:val="default"/>
          <w:rFonts w:cs="FrankRuehl" w:hint="cs"/>
          <w:rtl/>
        </w:rPr>
      </w:pPr>
      <w:bookmarkStart w:id="12" w:name="Seif13"/>
      <w:bookmarkEnd w:id="12"/>
      <w:r>
        <w:rPr>
          <w:lang w:val="he-IL"/>
        </w:rPr>
        <w:pict w14:anchorId="4E3D6FDE">
          <v:rect id="_x0000_s1057" style="position:absolute;left:0;text-align:left;margin-left:464.5pt;margin-top:8.05pt;width:75.05pt;height:12.65pt;z-index:251661312" o:allowincell="f" filled="f" stroked="f" strokecolor="lime" strokeweight=".25pt">
            <v:textbox inset="0,0,0,0">
              <w:txbxContent>
                <w:p w14:paraId="5F01C4AB" w14:textId="77777777" w:rsidR="00CF24D0" w:rsidRDefault="00FE500A" w:rsidP="00CF24D0">
                  <w:pPr>
                    <w:spacing w:line="160" w:lineRule="exact"/>
                    <w:jc w:val="left"/>
                    <w:rPr>
                      <w:rFonts w:cs="Miriam" w:hint="cs"/>
                      <w:noProof/>
                      <w:szCs w:val="18"/>
                      <w:rtl/>
                    </w:rPr>
                  </w:pPr>
                  <w:r>
                    <w:rPr>
                      <w:rFonts w:cs="Miriam" w:hint="cs"/>
                      <w:szCs w:val="18"/>
                      <w:rtl/>
                    </w:rPr>
                    <w:t>דחיית דיון</w:t>
                  </w:r>
                </w:p>
              </w:txbxContent>
            </v:textbox>
            <w10:anchorlock/>
          </v:rect>
        </w:pict>
      </w:r>
      <w:r>
        <w:rPr>
          <w:rStyle w:val="big-number"/>
          <w:rFonts w:hint="cs"/>
          <w:rtl/>
        </w:rPr>
        <w:t>1</w:t>
      </w:r>
      <w:r w:rsidR="00FE500A">
        <w:rPr>
          <w:rStyle w:val="big-number"/>
          <w:rFonts w:hint="cs"/>
          <w:rtl/>
        </w:rPr>
        <w:t>3</w:t>
      </w:r>
      <w:r w:rsidRPr="00CF24D0">
        <w:rPr>
          <w:rStyle w:val="default"/>
          <w:rFonts w:cs="FrankRuehl"/>
          <w:rtl/>
        </w:rPr>
        <w:t>.</w:t>
      </w:r>
      <w:r w:rsidRPr="00CF24D0">
        <w:rPr>
          <w:rStyle w:val="default"/>
          <w:rFonts w:cs="FrankRuehl"/>
          <w:rtl/>
        </w:rPr>
        <w:tab/>
      </w:r>
      <w:r w:rsidR="00FE500A">
        <w:rPr>
          <w:rStyle w:val="default"/>
          <w:rFonts w:cs="FrankRuehl" w:hint="cs"/>
          <w:rtl/>
        </w:rPr>
        <w:t>לבקשת נילון, ידחה דן יחיד את הדיון, אם ראה כי הדבר דרוש כדי לאפשר לנילון להכין את הגנתו ולהביא את ראיותיו.</w:t>
      </w:r>
    </w:p>
    <w:p w14:paraId="31B9C8FC" w14:textId="77777777" w:rsidR="00CF24D0" w:rsidRDefault="00CF24D0" w:rsidP="00FE500A">
      <w:pPr>
        <w:pStyle w:val="P00"/>
        <w:spacing w:before="72"/>
        <w:ind w:left="0" w:right="1134"/>
        <w:rPr>
          <w:rStyle w:val="default"/>
          <w:rFonts w:cs="FrankRuehl" w:hint="cs"/>
          <w:rtl/>
        </w:rPr>
      </w:pPr>
      <w:bookmarkStart w:id="13" w:name="Seif14"/>
      <w:bookmarkEnd w:id="13"/>
      <w:r>
        <w:rPr>
          <w:lang w:val="he-IL"/>
        </w:rPr>
        <w:pict w14:anchorId="25F98831">
          <v:rect id="_x0000_s1058" style="position:absolute;left:0;text-align:left;margin-left:464.5pt;margin-top:8.05pt;width:75.05pt;height:12.65pt;z-index:251662336" o:allowincell="f" filled="f" stroked="f" strokecolor="lime" strokeweight=".25pt">
            <v:textbox inset="0,0,0,0">
              <w:txbxContent>
                <w:p w14:paraId="7C5DA78B" w14:textId="77777777" w:rsidR="00CF24D0" w:rsidRDefault="00FE500A" w:rsidP="00CF24D0">
                  <w:pPr>
                    <w:spacing w:line="160" w:lineRule="exact"/>
                    <w:jc w:val="left"/>
                    <w:rPr>
                      <w:rFonts w:cs="Miriam" w:hint="cs"/>
                      <w:noProof/>
                      <w:szCs w:val="18"/>
                      <w:rtl/>
                    </w:rPr>
                  </w:pPr>
                  <w:r>
                    <w:rPr>
                      <w:rFonts w:cs="Miriam" w:hint="cs"/>
                      <w:szCs w:val="18"/>
                      <w:rtl/>
                    </w:rPr>
                    <w:t>פסק</w:t>
                  </w:r>
                </w:p>
              </w:txbxContent>
            </v:textbox>
            <w10:anchorlock/>
          </v:rect>
        </w:pict>
      </w:r>
      <w:r>
        <w:rPr>
          <w:rStyle w:val="big-number"/>
          <w:rFonts w:hint="cs"/>
          <w:rtl/>
        </w:rPr>
        <w:t>1</w:t>
      </w:r>
      <w:r w:rsidR="00FE500A">
        <w:rPr>
          <w:rStyle w:val="big-number"/>
          <w:rFonts w:hint="cs"/>
          <w:rtl/>
        </w:rPr>
        <w:t>4</w:t>
      </w:r>
      <w:r w:rsidRPr="00CF24D0">
        <w:rPr>
          <w:rStyle w:val="default"/>
          <w:rFonts w:cs="FrankRuehl"/>
          <w:rtl/>
        </w:rPr>
        <w:t>.</w:t>
      </w:r>
      <w:r w:rsidRPr="00CF24D0">
        <w:rPr>
          <w:rStyle w:val="default"/>
          <w:rFonts w:cs="FrankRuehl"/>
          <w:rtl/>
        </w:rPr>
        <w:tab/>
      </w:r>
      <w:r w:rsidR="00FE500A">
        <w:rPr>
          <w:rStyle w:val="default"/>
          <w:rFonts w:cs="FrankRuehl" w:hint="cs"/>
          <w:rtl/>
        </w:rPr>
        <w:t>(א)</w:t>
      </w:r>
      <w:r w:rsidR="00FE500A">
        <w:rPr>
          <w:rStyle w:val="default"/>
          <w:rFonts w:cs="FrankRuehl" w:hint="cs"/>
          <w:rtl/>
        </w:rPr>
        <w:tab/>
        <w:t xml:space="preserve">כל זיכוי או הרשעה (להלן </w:t>
      </w:r>
      <w:r w:rsidR="00FE500A">
        <w:rPr>
          <w:rStyle w:val="default"/>
          <w:rFonts w:cs="FrankRuehl"/>
          <w:rtl/>
        </w:rPr>
        <w:t>–</w:t>
      </w:r>
      <w:r w:rsidR="00FE500A">
        <w:rPr>
          <w:rStyle w:val="default"/>
          <w:rFonts w:cs="FrankRuehl" w:hint="cs"/>
          <w:rtl/>
        </w:rPr>
        <w:t xml:space="preserve"> פסק) יירשם בתיקו האישי של הנילון.</w:t>
      </w:r>
    </w:p>
    <w:p w14:paraId="3F603ECB" w14:textId="77777777" w:rsidR="00FE500A" w:rsidRDefault="00FE500A" w:rsidP="00FE50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פסק יומצא לנילון, למי שערך את התלונה לפי תקנה 2 ולמנהל.</w:t>
      </w:r>
    </w:p>
    <w:p w14:paraId="6A55C404" w14:textId="77777777" w:rsidR="00CF24D0" w:rsidRDefault="00CF24D0" w:rsidP="00FE500A">
      <w:pPr>
        <w:pStyle w:val="P00"/>
        <w:spacing w:before="72"/>
        <w:ind w:left="0" w:right="1134"/>
        <w:rPr>
          <w:rStyle w:val="default"/>
          <w:rFonts w:cs="FrankRuehl" w:hint="cs"/>
          <w:rtl/>
        </w:rPr>
      </w:pPr>
      <w:bookmarkStart w:id="14" w:name="Seif15"/>
      <w:bookmarkEnd w:id="14"/>
      <w:r>
        <w:rPr>
          <w:lang w:val="he-IL"/>
        </w:rPr>
        <w:pict w14:anchorId="70EA92E5">
          <v:rect id="_x0000_s1059" style="position:absolute;left:0;text-align:left;margin-left:464.5pt;margin-top:8.05pt;width:75.05pt;height:12.65pt;z-index:251663360" o:allowincell="f" filled="f" stroked="f" strokecolor="lime" strokeweight=".25pt">
            <v:textbox inset="0,0,0,0">
              <w:txbxContent>
                <w:p w14:paraId="539F80DA" w14:textId="77777777" w:rsidR="00CF24D0" w:rsidRDefault="00FE500A" w:rsidP="00CF24D0">
                  <w:pPr>
                    <w:spacing w:line="160" w:lineRule="exact"/>
                    <w:jc w:val="left"/>
                    <w:rPr>
                      <w:rFonts w:cs="Miriam" w:hint="cs"/>
                      <w:noProof/>
                      <w:szCs w:val="18"/>
                      <w:rtl/>
                    </w:rPr>
                  </w:pPr>
                  <w:r>
                    <w:rPr>
                      <w:rFonts w:cs="Miriam" w:hint="cs"/>
                      <w:szCs w:val="18"/>
                      <w:rtl/>
                    </w:rPr>
                    <w:t>הגשת ערר</w:t>
                  </w:r>
                </w:p>
              </w:txbxContent>
            </v:textbox>
            <w10:anchorlock/>
          </v:rect>
        </w:pict>
      </w:r>
      <w:r>
        <w:rPr>
          <w:rStyle w:val="big-number"/>
          <w:rFonts w:hint="cs"/>
          <w:rtl/>
        </w:rPr>
        <w:t>1</w:t>
      </w:r>
      <w:r w:rsidR="00FE500A">
        <w:rPr>
          <w:rStyle w:val="big-number"/>
          <w:rFonts w:hint="cs"/>
          <w:rtl/>
        </w:rPr>
        <w:t>5</w:t>
      </w:r>
      <w:r w:rsidRPr="00CF24D0">
        <w:rPr>
          <w:rStyle w:val="default"/>
          <w:rFonts w:cs="FrankRuehl"/>
          <w:rtl/>
        </w:rPr>
        <w:t>.</w:t>
      </w:r>
      <w:r w:rsidRPr="00CF24D0">
        <w:rPr>
          <w:rStyle w:val="default"/>
          <w:rFonts w:cs="FrankRuehl"/>
          <w:rtl/>
        </w:rPr>
        <w:tab/>
      </w:r>
      <w:r w:rsidR="00FE500A">
        <w:rPr>
          <w:rStyle w:val="default"/>
          <w:rFonts w:cs="FrankRuehl" w:hint="cs"/>
          <w:rtl/>
        </w:rPr>
        <w:t>(</w:t>
      </w:r>
      <w:r w:rsidR="00F74099">
        <w:rPr>
          <w:rStyle w:val="default"/>
          <w:rFonts w:cs="FrankRuehl" w:hint="cs"/>
          <w:rtl/>
        </w:rPr>
        <w:t>א)</w:t>
      </w:r>
      <w:r w:rsidR="00F74099">
        <w:rPr>
          <w:rStyle w:val="default"/>
          <w:rFonts w:cs="FrankRuehl" w:hint="cs"/>
          <w:rtl/>
        </w:rPr>
        <w:tab/>
        <w:t>הנילון</w:t>
      </w:r>
      <w:r w:rsidR="00225F4F">
        <w:rPr>
          <w:rStyle w:val="default"/>
          <w:rFonts w:cs="FrankRuehl" w:hint="cs"/>
          <w:rtl/>
        </w:rPr>
        <w:t xml:space="preserve"> רשאי להגיש למנהל הכללי של המשרד להגנת הסביבה (להלן </w:t>
      </w:r>
      <w:r w:rsidR="00225F4F">
        <w:rPr>
          <w:rStyle w:val="default"/>
          <w:rFonts w:cs="FrankRuehl"/>
          <w:rtl/>
        </w:rPr>
        <w:t>–</w:t>
      </w:r>
      <w:r w:rsidR="00225F4F">
        <w:rPr>
          <w:rStyle w:val="default"/>
          <w:rFonts w:cs="FrankRuehl" w:hint="cs"/>
          <w:rtl/>
        </w:rPr>
        <w:t xml:space="preserve"> המנכ"ל) ערר על הפסק; הערר יוגש בכתב בתוך 14 ימים מיום מתן הפסק והעתק ממנו יימסר לדן היחיד.</w:t>
      </w:r>
    </w:p>
    <w:p w14:paraId="774DB839" w14:textId="77777777" w:rsidR="00225F4F" w:rsidRDefault="00225F4F" w:rsidP="00FE50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לכתב הערר יצורפו המסמכים והמידע שהובאו לפני הדן היחיד, הפסק ונימוקי הערר.</w:t>
      </w:r>
    </w:p>
    <w:p w14:paraId="7BA15CB0" w14:textId="77777777" w:rsidR="00CF24D0" w:rsidRDefault="00CF24D0" w:rsidP="00225F4F">
      <w:pPr>
        <w:pStyle w:val="P00"/>
        <w:spacing w:before="72"/>
        <w:ind w:left="0" w:right="1134"/>
        <w:rPr>
          <w:rStyle w:val="default"/>
          <w:rFonts w:cs="FrankRuehl" w:hint="cs"/>
          <w:rtl/>
        </w:rPr>
      </w:pPr>
      <w:bookmarkStart w:id="15" w:name="Seif16"/>
      <w:bookmarkEnd w:id="15"/>
      <w:r>
        <w:rPr>
          <w:lang w:val="he-IL"/>
        </w:rPr>
        <w:pict w14:anchorId="721245E3">
          <v:rect id="_x0000_s1060" style="position:absolute;left:0;text-align:left;margin-left:464.5pt;margin-top:8.05pt;width:75.05pt;height:12.65pt;z-index:251664384" o:allowincell="f" filled="f" stroked="f" strokecolor="lime" strokeweight=".25pt">
            <v:textbox inset="0,0,0,0">
              <w:txbxContent>
                <w:p w14:paraId="2897BED8" w14:textId="77777777" w:rsidR="00CF24D0" w:rsidRDefault="00225F4F" w:rsidP="00CF24D0">
                  <w:pPr>
                    <w:spacing w:line="160" w:lineRule="exact"/>
                    <w:jc w:val="left"/>
                    <w:rPr>
                      <w:rFonts w:cs="Miriam" w:hint="cs"/>
                      <w:noProof/>
                      <w:szCs w:val="18"/>
                      <w:rtl/>
                    </w:rPr>
                  </w:pPr>
                  <w:r>
                    <w:rPr>
                      <w:rFonts w:cs="Miriam" w:hint="cs"/>
                      <w:szCs w:val="18"/>
                      <w:rtl/>
                    </w:rPr>
                    <w:t>דיון בערר</w:t>
                  </w:r>
                </w:p>
              </w:txbxContent>
            </v:textbox>
            <w10:anchorlock/>
          </v:rect>
        </w:pict>
      </w:r>
      <w:r>
        <w:rPr>
          <w:rStyle w:val="big-number"/>
          <w:rFonts w:hint="cs"/>
          <w:rtl/>
        </w:rPr>
        <w:t>1</w:t>
      </w:r>
      <w:r w:rsidR="00225F4F">
        <w:rPr>
          <w:rStyle w:val="big-number"/>
          <w:rFonts w:hint="cs"/>
          <w:rtl/>
        </w:rPr>
        <w:t>6</w:t>
      </w:r>
      <w:r w:rsidRPr="00CF24D0">
        <w:rPr>
          <w:rStyle w:val="default"/>
          <w:rFonts w:cs="FrankRuehl"/>
          <w:rtl/>
        </w:rPr>
        <w:t>.</w:t>
      </w:r>
      <w:r w:rsidRPr="00CF24D0">
        <w:rPr>
          <w:rStyle w:val="default"/>
          <w:rFonts w:cs="FrankRuehl"/>
          <w:rtl/>
        </w:rPr>
        <w:tab/>
      </w:r>
      <w:r w:rsidR="00225F4F">
        <w:rPr>
          <w:rStyle w:val="default"/>
          <w:rFonts w:cs="FrankRuehl" w:hint="cs"/>
          <w:rtl/>
        </w:rPr>
        <w:t>(א)</w:t>
      </w:r>
      <w:r w:rsidR="00225F4F">
        <w:rPr>
          <w:rStyle w:val="default"/>
          <w:rFonts w:cs="FrankRuehl" w:hint="cs"/>
          <w:rtl/>
        </w:rPr>
        <w:tab/>
        <w:t>המנכ"ל יקיים דיון בערר על יסוד המסמכים שהובאו לפניו, בסמוך לאחר הגשתו, ורשאי הוא להזמין את הנילון, את עורך התלונה ואת הדן היחיד לדיון לפניו.</w:t>
      </w:r>
    </w:p>
    <w:p w14:paraId="786DC10C" w14:textId="77777777" w:rsidR="00225F4F" w:rsidRDefault="00225F4F" w:rsidP="00225F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זומנו הצדדים לדיון, תינתן להם הזדמנות נאותה להשמיע את דבריהם.</w:t>
      </w:r>
    </w:p>
    <w:p w14:paraId="2593E5F8" w14:textId="77777777" w:rsidR="00CF24D0" w:rsidRDefault="00CF24D0" w:rsidP="00225F4F">
      <w:pPr>
        <w:pStyle w:val="P00"/>
        <w:spacing w:before="72"/>
        <w:ind w:left="0" w:right="1134"/>
        <w:rPr>
          <w:rStyle w:val="default"/>
          <w:rFonts w:cs="FrankRuehl" w:hint="cs"/>
          <w:rtl/>
        </w:rPr>
      </w:pPr>
      <w:bookmarkStart w:id="16" w:name="Seif17"/>
      <w:bookmarkEnd w:id="16"/>
      <w:r>
        <w:rPr>
          <w:lang w:val="he-IL"/>
        </w:rPr>
        <w:pict w14:anchorId="4210087B">
          <v:rect id="_x0000_s1061" style="position:absolute;left:0;text-align:left;margin-left:464.5pt;margin-top:8.05pt;width:75.05pt;height:12.65pt;z-index:251665408" o:allowincell="f" filled="f" stroked="f" strokecolor="lime" strokeweight=".25pt">
            <v:textbox inset="0,0,0,0">
              <w:txbxContent>
                <w:p w14:paraId="5834DA66" w14:textId="77777777" w:rsidR="00CF24D0" w:rsidRDefault="00225F4F" w:rsidP="00CF24D0">
                  <w:pPr>
                    <w:spacing w:line="160" w:lineRule="exact"/>
                    <w:jc w:val="left"/>
                    <w:rPr>
                      <w:rFonts w:cs="Miriam" w:hint="cs"/>
                      <w:noProof/>
                      <w:szCs w:val="18"/>
                      <w:rtl/>
                    </w:rPr>
                  </w:pPr>
                  <w:r>
                    <w:rPr>
                      <w:rFonts w:cs="Miriam" w:hint="cs"/>
                      <w:szCs w:val="18"/>
                      <w:rtl/>
                    </w:rPr>
                    <w:t>החלטה בערר</w:t>
                  </w:r>
                </w:p>
              </w:txbxContent>
            </v:textbox>
            <w10:anchorlock/>
          </v:rect>
        </w:pict>
      </w:r>
      <w:r>
        <w:rPr>
          <w:rStyle w:val="big-number"/>
          <w:rFonts w:hint="cs"/>
          <w:rtl/>
        </w:rPr>
        <w:t>1</w:t>
      </w:r>
      <w:r w:rsidR="00225F4F">
        <w:rPr>
          <w:rStyle w:val="big-number"/>
          <w:rFonts w:hint="cs"/>
          <w:rtl/>
        </w:rPr>
        <w:t>7</w:t>
      </w:r>
      <w:r w:rsidRPr="00CF24D0">
        <w:rPr>
          <w:rStyle w:val="default"/>
          <w:rFonts w:cs="FrankRuehl"/>
          <w:rtl/>
        </w:rPr>
        <w:t>.</w:t>
      </w:r>
      <w:r w:rsidRPr="00CF24D0">
        <w:rPr>
          <w:rStyle w:val="default"/>
          <w:rFonts w:cs="FrankRuehl"/>
          <w:rtl/>
        </w:rPr>
        <w:tab/>
      </w:r>
      <w:r w:rsidR="00225F4F">
        <w:rPr>
          <w:rStyle w:val="default"/>
          <w:rFonts w:cs="FrankRuehl" w:hint="cs"/>
          <w:rtl/>
        </w:rPr>
        <w:t>ההחלטה בערר תומצא לעורר, לדן היחיד, למי שערך את התלונה ולמנהל, ותירשם בתיקו האישי של העורר.</w:t>
      </w:r>
    </w:p>
    <w:p w14:paraId="35EA1145" w14:textId="77777777" w:rsidR="00CF24D0" w:rsidRDefault="00CF24D0" w:rsidP="00225F4F">
      <w:pPr>
        <w:pStyle w:val="P00"/>
        <w:spacing w:before="72"/>
        <w:ind w:left="0" w:right="1134"/>
        <w:rPr>
          <w:rStyle w:val="default"/>
          <w:rFonts w:cs="FrankRuehl" w:hint="cs"/>
          <w:rtl/>
        </w:rPr>
      </w:pPr>
      <w:bookmarkStart w:id="17" w:name="Seif18"/>
      <w:bookmarkEnd w:id="17"/>
      <w:r>
        <w:rPr>
          <w:lang w:val="he-IL"/>
        </w:rPr>
        <w:pict w14:anchorId="7C2229A0">
          <v:rect id="_x0000_s1062" style="position:absolute;left:0;text-align:left;margin-left:464.5pt;margin-top:8.05pt;width:75.05pt;height:12.65pt;z-index:251666432" o:allowincell="f" filled="f" stroked="f" strokecolor="lime" strokeweight=".25pt">
            <v:textbox inset="0,0,0,0">
              <w:txbxContent>
                <w:p w14:paraId="0DC5084A" w14:textId="77777777" w:rsidR="00CF24D0" w:rsidRDefault="00225F4F" w:rsidP="00CF24D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w:t>
      </w:r>
      <w:r w:rsidR="00225F4F">
        <w:rPr>
          <w:rStyle w:val="big-number"/>
          <w:rFonts w:hint="cs"/>
          <w:rtl/>
        </w:rPr>
        <w:t>8</w:t>
      </w:r>
      <w:r w:rsidRPr="00CF24D0">
        <w:rPr>
          <w:rStyle w:val="default"/>
          <w:rFonts w:cs="FrankRuehl"/>
          <w:rtl/>
        </w:rPr>
        <w:t>.</w:t>
      </w:r>
      <w:r w:rsidRPr="00CF24D0">
        <w:rPr>
          <w:rStyle w:val="default"/>
          <w:rFonts w:cs="FrankRuehl"/>
          <w:rtl/>
        </w:rPr>
        <w:tab/>
      </w:r>
      <w:r w:rsidR="00225F4F">
        <w:rPr>
          <w:rStyle w:val="default"/>
          <w:rFonts w:cs="FrankRuehl" w:hint="cs"/>
          <w:rtl/>
        </w:rPr>
        <w:t>תחילתן של תקנות אלה 30 ימים מיום פרסומן.</w:t>
      </w:r>
    </w:p>
    <w:p w14:paraId="6FA5440D" w14:textId="77777777" w:rsidR="009C4244" w:rsidRDefault="009C4244">
      <w:pPr>
        <w:pStyle w:val="P00"/>
        <w:spacing w:before="72"/>
        <w:ind w:left="0" w:right="1134"/>
        <w:rPr>
          <w:rStyle w:val="default"/>
          <w:rFonts w:cs="FrankRuehl" w:hint="cs"/>
          <w:rtl/>
        </w:rPr>
      </w:pPr>
    </w:p>
    <w:p w14:paraId="3230AB92" w14:textId="77777777" w:rsidR="00CF24D0" w:rsidRDefault="00CF24D0">
      <w:pPr>
        <w:pStyle w:val="P00"/>
        <w:spacing w:before="72"/>
        <w:ind w:left="0" w:right="1134"/>
        <w:rPr>
          <w:rStyle w:val="default"/>
          <w:rFonts w:cs="FrankRuehl" w:hint="cs"/>
          <w:rtl/>
        </w:rPr>
      </w:pPr>
    </w:p>
    <w:p w14:paraId="1032DBD4" w14:textId="77777777" w:rsidR="009C4244" w:rsidRDefault="00225F4F" w:rsidP="00225F4F">
      <w:pPr>
        <w:pStyle w:val="sig-0"/>
        <w:tabs>
          <w:tab w:val="clear" w:pos="4820"/>
          <w:tab w:val="center" w:pos="5670"/>
        </w:tabs>
        <w:spacing w:before="72"/>
        <w:ind w:left="0" w:right="1134"/>
        <w:rPr>
          <w:rtl/>
        </w:rPr>
      </w:pPr>
      <w:r>
        <w:rPr>
          <w:rFonts w:hint="cs"/>
          <w:rtl/>
        </w:rPr>
        <w:t>ז</w:t>
      </w:r>
      <w:r w:rsidR="005262DD">
        <w:rPr>
          <w:rFonts w:hint="cs"/>
          <w:rtl/>
        </w:rPr>
        <w:t>' בתמוז התשע"</w:t>
      </w:r>
      <w:r>
        <w:rPr>
          <w:rFonts w:hint="cs"/>
          <w:rtl/>
        </w:rPr>
        <w:t>ה</w:t>
      </w:r>
      <w:r w:rsidR="005262DD">
        <w:rPr>
          <w:rFonts w:hint="cs"/>
          <w:rtl/>
        </w:rPr>
        <w:t xml:space="preserve"> (</w:t>
      </w:r>
      <w:r>
        <w:rPr>
          <w:rFonts w:hint="cs"/>
          <w:rtl/>
        </w:rPr>
        <w:t>24 ביוני 2015</w:t>
      </w:r>
      <w:r w:rsidR="009C4244">
        <w:rPr>
          <w:rFonts w:hint="cs"/>
          <w:rtl/>
        </w:rPr>
        <w:t>)</w:t>
      </w:r>
      <w:r w:rsidR="009C4244">
        <w:rPr>
          <w:rtl/>
        </w:rPr>
        <w:tab/>
      </w:r>
      <w:r>
        <w:rPr>
          <w:rFonts w:hint="cs"/>
          <w:rtl/>
        </w:rPr>
        <w:t>אבי גבאי</w:t>
      </w:r>
    </w:p>
    <w:p w14:paraId="0A281B0D" w14:textId="77777777" w:rsidR="009C4244" w:rsidRDefault="009C4244" w:rsidP="00225F4F">
      <w:pPr>
        <w:pStyle w:val="sig-1"/>
        <w:widowControl/>
        <w:tabs>
          <w:tab w:val="clear" w:pos="851"/>
          <w:tab w:val="clear" w:pos="2835"/>
          <w:tab w:val="clear" w:pos="4820"/>
          <w:tab w:val="center" w:pos="5670"/>
        </w:tabs>
        <w:ind w:left="0" w:right="1134"/>
        <w:rPr>
          <w:rtl/>
        </w:rPr>
      </w:pPr>
      <w:r>
        <w:rPr>
          <w:rtl/>
        </w:rPr>
        <w:tab/>
      </w:r>
      <w:r w:rsidR="005262DD">
        <w:rPr>
          <w:rFonts w:hint="cs"/>
          <w:rtl/>
        </w:rPr>
        <w:t xml:space="preserve">השר </w:t>
      </w:r>
      <w:r w:rsidR="00225F4F">
        <w:rPr>
          <w:rFonts w:hint="cs"/>
          <w:rtl/>
        </w:rPr>
        <w:t>להגנת הסביבה</w:t>
      </w:r>
    </w:p>
    <w:p w14:paraId="3FA27CB1" w14:textId="77777777" w:rsidR="00CF24D0" w:rsidRDefault="00CF24D0" w:rsidP="006C7A2B">
      <w:pPr>
        <w:pStyle w:val="P00"/>
        <w:spacing w:before="72"/>
        <w:ind w:left="0" w:right="1134"/>
        <w:rPr>
          <w:rStyle w:val="default"/>
          <w:rFonts w:cs="FrankRuehl" w:hint="cs"/>
          <w:rtl/>
        </w:rPr>
      </w:pPr>
    </w:p>
    <w:p w14:paraId="57966A44" w14:textId="77777777" w:rsidR="0091513F" w:rsidRPr="006C7A2B" w:rsidRDefault="0091513F" w:rsidP="006C7A2B">
      <w:pPr>
        <w:pStyle w:val="P00"/>
        <w:spacing w:before="72"/>
        <w:ind w:left="0" w:right="1134"/>
        <w:rPr>
          <w:rStyle w:val="default"/>
          <w:rFonts w:cs="FrankRuehl" w:hint="cs"/>
          <w:rtl/>
        </w:rPr>
      </w:pPr>
    </w:p>
    <w:p w14:paraId="407795FC" w14:textId="77777777" w:rsidR="0030707D" w:rsidRDefault="0030707D" w:rsidP="006C7A2B">
      <w:pPr>
        <w:pStyle w:val="P00"/>
        <w:spacing w:before="72"/>
        <w:ind w:left="0" w:right="1134"/>
        <w:rPr>
          <w:rStyle w:val="default"/>
          <w:rFonts w:cs="FrankRuehl"/>
          <w:rtl/>
        </w:rPr>
      </w:pPr>
    </w:p>
    <w:p w14:paraId="46C1B1DF" w14:textId="77777777" w:rsidR="0030707D" w:rsidRDefault="0030707D" w:rsidP="006C7A2B">
      <w:pPr>
        <w:pStyle w:val="P00"/>
        <w:spacing w:before="72"/>
        <w:ind w:left="0" w:right="1134"/>
        <w:rPr>
          <w:rStyle w:val="default"/>
          <w:rFonts w:cs="FrankRuehl"/>
          <w:rtl/>
        </w:rPr>
      </w:pPr>
    </w:p>
    <w:p w14:paraId="0FD1A33D" w14:textId="77777777" w:rsidR="0030707D" w:rsidRDefault="0030707D" w:rsidP="0030707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8700BDC" w14:textId="77777777" w:rsidR="00256512" w:rsidRPr="0030707D" w:rsidRDefault="00256512" w:rsidP="0030707D">
      <w:pPr>
        <w:pStyle w:val="P00"/>
        <w:spacing w:before="72"/>
        <w:ind w:left="0" w:right="1134"/>
        <w:jc w:val="center"/>
        <w:rPr>
          <w:rStyle w:val="default"/>
          <w:rFonts w:cs="David"/>
          <w:color w:val="0000FF"/>
          <w:szCs w:val="24"/>
          <w:u w:val="single"/>
          <w:rtl/>
        </w:rPr>
      </w:pPr>
    </w:p>
    <w:sectPr w:rsidR="00256512" w:rsidRPr="0030707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DE12" w14:textId="77777777" w:rsidR="00A20D8E" w:rsidRDefault="00A20D8E">
      <w:r>
        <w:separator/>
      </w:r>
    </w:p>
  </w:endnote>
  <w:endnote w:type="continuationSeparator" w:id="0">
    <w:p w14:paraId="65E1E349" w14:textId="77777777" w:rsidR="00A20D8E" w:rsidRDefault="00A2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5AAC" w14:textId="77777777" w:rsidR="007074E0" w:rsidRDefault="007074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975C11" w14:textId="77777777" w:rsidR="007074E0" w:rsidRDefault="007074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B3BB04" w14:textId="77777777" w:rsidR="007074E0" w:rsidRDefault="007074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707D">
      <w:rPr>
        <w:rFonts w:cs="TopType Jerushalmi"/>
        <w:noProof/>
        <w:color w:val="000000"/>
        <w:sz w:val="14"/>
        <w:szCs w:val="14"/>
      </w:rPr>
      <w:t>Z:\000-law\yael\2015\2015-07-05\tav\501_236.doc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6995" w14:textId="77777777" w:rsidR="007074E0" w:rsidRDefault="007074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707D">
      <w:rPr>
        <w:rFonts w:hAnsi="FrankRuehl" w:cs="FrankRuehl"/>
        <w:noProof/>
        <w:sz w:val="24"/>
        <w:szCs w:val="24"/>
        <w:rtl/>
      </w:rPr>
      <w:t>3</w:t>
    </w:r>
    <w:r>
      <w:rPr>
        <w:rFonts w:hAnsi="FrankRuehl" w:cs="FrankRuehl"/>
        <w:sz w:val="24"/>
        <w:szCs w:val="24"/>
        <w:rtl/>
      </w:rPr>
      <w:fldChar w:fldCharType="end"/>
    </w:r>
  </w:p>
  <w:p w14:paraId="138B476F" w14:textId="77777777" w:rsidR="007074E0" w:rsidRDefault="007074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4019AE" w14:textId="77777777" w:rsidR="007074E0" w:rsidRDefault="007074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707D">
      <w:rPr>
        <w:rFonts w:cs="TopType Jerushalmi"/>
        <w:noProof/>
        <w:color w:val="000000"/>
        <w:sz w:val="14"/>
        <w:szCs w:val="14"/>
      </w:rPr>
      <w:t>Z:\000-law\yael\2015\2015-07-05\tav\501_236.doc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E240" w14:textId="77777777" w:rsidR="00A20D8E" w:rsidRDefault="00A20D8E">
      <w:pPr>
        <w:spacing w:before="60" w:line="240" w:lineRule="auto"/>
        <w:ind w:right="1134"/>
      </w:pPr>
      <w:r>
        <w:separator/>
      </w:r>
    </w:p>
  </w:footnote>
  <w:footnote w:type="continuationSeparator" w:id="0">
    <w:p w14:paraId="0FCBCB4F" w14:textId="77777777" w:rsidR="00A20D8E" w:rsidRDefault="00A20D8E">
      <w:pPr>
        <w:spacing w:before="60" w:line="240" w:lineRule="auto"/>
        <w:ind w:right="1134"/>
      </w:pPr>
      <w:r>
        <w:separator/>
      </w:r>
    </w:p>
  </w:footnote>
  <w:footnote w:id="1">
    <w:p w14:paraId="41B3447E" w14:textId="77777777" w:rsidR="009647C4" w:rsidRDefault="007074E0" w:rsidP="009647C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647C4">
          <w:rPr>
            <w:rStyle w:val="Hyperlink"/>
            <w:rFonts w:hint="cs"/>
            <w:sz w:val="20"/>
            <w:rtl/>
          </w:rPr>
          <w:t>ק"ת תש</w:t>
        </w:r>
        <w:r w:rsidR="0091513F" w:rsidRPr="009647C4">
          <w:rPr>
            <w:rStyle w:val="Hyperlink"/>
            <w:rFonts w:hint="cs"/>
            <w:sz w:val="20"/>
            <w:rtl/>
          </w:rPr>
          <w:t>ע"</w:t>
        </w:r>
        <w:r w:rsidR="00CF24D0" w:rsidRPr="009647C4">
          <w:rPr>
            <w:rStyle w:val="Hyperlink"/>
            <w:rFonts w:hint="cs"/>
            <w:sz w:val="20"/>
            <w:rtl/>
          </w:rPr>
          <w:t>ה</w:t>
        </w:r>
        <w:r w:rsidRPr="009647C4">
          <w:rPr>
            <w:rStyle w:val="Hyperlink"/>
            <w:rFonts w:hint="cs"/>
            <w:sz w:val="20"/>
            <w:rtl/>
          </w:rPr>
          <w:t xml:space="preserve"> מס' </w:t>
        </w:r>
        <w:r w:rsidR="00CF24D0" w:rsidRPr="009647C4">
          <w:rPr>
            <w:rStyle w:val="Hyperlink"/>
            <w:rFonts w:hint="cs"/>
            <w:sz w:val="20"/>
            <w:rtl/>
          </w:rPr>
          <w:t>7526</w:t>
        </w:r>
      </w:hyperlink>
      <w:r>
        <w:rPr>
          <w:rFonts w:hint="cs"/>
          <w:sz w:val="20"/>
          <w:rtl/>
        </w:rPr>
        <w:t xml:space="preserve"> מיום </w:t>
      </w:r>
      <w:r w:rsidR="00CF24D0">
        <w:rPr>
          <w:rFonts w:hint="cs"/>
          <w:sz w:val="20"/>
          <w:rtl/>
        </w:rPr>
        <w:t>30.6.2015</w:t>
      </w:r>
      <w:r>
        <w:rPr>
          <w:rFonts w:hint="cs"/>
          <w:sz w:val="20"/>
          <w:rtl/>
        </w:rPr>
        <w:t xml:space="preserve"> עמ'</w:t>
      </w:r>
      <w:r w:rsidR="00DF7921">
        <w:rPr>
          <w:rFonts w:hint="cs"/>
          <w:sz w:val="20"/>
          <w:rtl/>
        </w:rPr>
        <w:t xml:space="preserve"> </w:t>
      </w:r>
      <w:r w:rsidR="00CF24D0">
        <w:rPr>
          <w:rFonts w:hint="cs"/>
          <w:sz w:val="20"/>
          <w:rtl/>
        </w:rPr>
        <w:t>1322</w:t>
      </w:r>
      <w:r w:rsidR="00DF7921">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7437" w14:textId="77777777" w:rsidR="007074E0" w:rsidRDefault="007074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לאומי (תנאי שירות למתנדב בשירות לאומי) (דמי כלכלה ודיור), תש"ס- 1999</w:t>
    </w:r>
  </w:p>
  <w:p w14:paraId="6E8E32D3" w14:textId="77777777" w:rsidR="007074E0" w:rsidRDefault="007074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40C87A" w14:textId="77777777" w:rsidR="007074E0" w:rsidRDefault="007074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9E1D" w14:textId="77777777" w:rsidR="007074E0" w:rsidRDefault="007074E0" w:rsidP="00CF24D0">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w:t>
    </w:r>
    <w:r w:rsidR="00CF24D0">
      <w:rPr>
        <w:rFonts w:hAnsi="FrankRuehl" w:cs="FrankRuehl" w:hint="cs"/>
        <w:color w:val="000000"/>
        <w:sz w:val="28"/>
        <w:szCs w:val="28"/>
        <w:rtl/>
      </w:rPr>
      <w:t>הגנת הסביבה (סמכויות פיקוח ואכיפה)</w:t>
    </w:r>
    <w:r w:rsidR="0091513F">
      <w:rPr>
        <w:rFonts w:hAnsi="FrankRuehl" w:cs="FrankRuehl" w:hint="cs"/>
        <w:color w:val="000000"/>
        <w:sz w:val="28"/>
        <w:szCs w:val="28"/>
        <w:rtl/>
      </w:rPr>
      <w:t xml:space="preserve"> (</w:t>
    </w:r>
    <w:r w:rsidR="00CF24D0">
      <w:rPr>
        <w:rFonts w:hAnsi="FrankRuehl" w:cs="FrankRuehl" w:hint="cs"/>
        <w:color w:val="000000"/>
        <w:sz w:val="28"/>
        <w:szCs w:val="28"/>
        <w:rtl/>
      </w:rPr>
      <w:t xml:space="preserve">דין משמעתי למשרתים בשירות </w:t>
    </w:r>
    <w:r w:rsidR="00CF24D0">
      <w:rPr>
        <w:rFonts w:hAnsi="FrankRuehl" w:cs="FrankRuehl"/>
        <w:color w:val="000000"/>
        <w:sz w:val="28"/>
        <w:szCs w:val="28"/>
        <w:rtl/>
      </w:rPr>
      <w:br/>
    </w:r>
    <w:r w:rsidR="00CF24D0">
      <w:rPr>
        <w:rFonts w:hAnsi="FrankRuehl" w:cs="FrankRuehl" w:hint="cs"/>
        <w:color w:val="000000"/>
        <w:sz w:val="28"/>
        <w:szCs w:val="28"/>
        <w:rtl/>
      </w:rPr>
      <w:t>אזרחי-ביטחוני</w:t>
    </w:r>
    <w:r w:rsidR="0091513F">
      <w:rPr>
        <w:rFonts w:hAnsi="FrankRuehl" w:cs="FrankRuehl" w:hint="cs"/>
        <w:color w:val="000000"/>
        <w:sz w:val="28"/>
        <w:szCs w:val="28"/>
        <w:rtl/>
      </w:rPr>
      <w:t>), תשע"</w:t>
    </w:r>
    <w:r w:rsidR="00CF24D0">
      <w:rPr>
        <w:rFonts w:hAnsi="FrankRuehl" w:cs="FrankRuehl" w:hint="cs"/>
        <w:color w:val="000000"/>
        <w:sz w:val="28"/>
        <w:szCs w:val="28"/>
        <w:rtl/>
      </w:rPr>
      <w:t>ה-2015</w:t>
    </w:r>
  </w:p>
  <w:p w14:paraId="70EC82A4" w14:textId="77777777" w:rsidR="007074E0" w:rsidRDefault="007074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5CD20D" w14:textId="77777777" w:rsidR="007074E0" w:rsidRDefault="007074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1EFA"/>
    <w:rsid w:val="000054A4"/>
    <w:rsid w:val="000248CC"/>
    <w:rsid w:val="000522F6"/>
    <w:rsid w:val="000549D3"/>
    <w:rsid w:val="000572E9"/>
    <w:rsid w:val="00096DEE"/>
    <w:rsid w:val="000A066E"/>
    <w:rsid w:val="000B1EFA"/>
    <w:rsid w:val="000B4CBC"/>
    <w:rsid w:val="000B61B4"/>
    <w:rsid w:val="000D0CBD"/>
    <w:rsid w:val="000D5901"/>
    <w:rsid w:val="000D61CB"/>
    <w:rsid w:val="000E31CE"/>
    <w:rsid w:val="00112797"/>
    <w:rsid w:val="00146019"/>
    <w:rsid w:val="001977F4"/>
    <w:rsid w:val="001B00D1"/>
    <w:rsid w:val="001F06A3"/>
    <w:rsid w:val="001F5AF9"/>
    <w:rsid w:val="00216C6B"/>
    <w:rsid w:val="0021788D"/>
    <w:rsid w:val="002254F6"/>
    <w:rsid w:val="00225F4F"/>
    <w:rsid w:val="00252DC2"/>
    <w:rsid w:val="00256512"/>
    <w:rsid w:val="00256FBA"/>
    <w:rsid w:val="002663B9"/>
    <w:rsid w:val="00280A62"/>
    <w:rsid w:val="002B0CD6"/>
    <w:rsid w:val="002B58D3"/>
    <w:rsid w:val="002B660A"/>
    <w:rsid w:val="002C2DF5"/>
    <w:rsid w:val="002C61B1"/>
    <w:rsid w:val="002D5925"/>
    <w:rsid w:val="002E7DE2"/>
    <w:rsid w:val="003018A8"/>
    <w:rsid w:val="00301A5D"/>
    <w:rsid w:val="003051AD"/>
    <w:rsid w:val="0030707D"/>
    <w:rsid w:val="00312AFB"/>
    <w:rsid w:val="0031703A"/>
    <w:rsid w:val="00344AEA"/>
    <w:rsid w:val="00395FE6"/>
    <w:rsid w:val="003A20EB"/>
    <w:rsid w:val="003B032C"/>
    <w:rsid w:val="003C13D4"/>
    <w:rsid w:val="003C200C"/>
    <w:rsid w:val="003E1E21"/>
    <w:rsid w:val="00400ED3"/>
    <w:rsid w:val="00400F10"/>
    <w:rsid w:val="0040505C"/>
    <w:rsid w:val="00425A72"/>
    <w:rsid w:val="00431664"/>
    <w:rsid w:val="004336C1"/>
    <w:rsid w:val="00445F00"/>
    <w:rsid w:val="00455003"/>
    <w:rsid w:val="00462087"/>
    <w:rsid w:val="00463E71"/>
    <w:rsid w:val="00473725"/>
    <w:rsid w:val="0049562F"/>
    <w:rsid w:val="004A055E"/>
    <w:rsid w:val="004D2C0A"/>
    <w:rsid w:val="00501148"/>
    <w:rsid w:val="005107B8"/>
    <w:rsid w:val="00514B49"/>
    <w:rsid w:val="005262DD"/>
    <w:rsid w:val="00526343"/>
    <w:rsid w:val="0053587C"/>
    <w:rsid w:val="005439D9"/>
    <w:rsid w:val="005664E3"/>
    <w:rsid w:val="005906C1"/>
    <w:rsid w:val="00592BE2"/>
    <w:rsid w:val="00595DA2"/>
    <w:rsid w:val="005A2592"/>
    <w:rsid w:val="005A26D1"/>
    <w:rsid w:val="005A7DB9"/>
    <w:rsid w:val="005B1A8B"/>
    <w:rsid w:val="005B2324"/>
    <w:rsid w:val="00617B38"/>
    <w:rsid w:val="00636885"/>
    <w:rsid w:val="00643588"/>
    <w:rsid w:val="0065370A"/>
    <w:rsid w:val="00661E37"/>
    <w:rsid w:val="00661EE5"/>
    <w:rsid w:val="00666D62"/>
    <w:rsid w:val="006807E3"/>
    <w:rsid w:val="0068194C"/>
    <w:rsid w:val="006829F1"/>
    <w:rsid w:val="006840AB"/>
    <w:rsid w:val="00686F10"/>
    <w:rsid w:val="00687299"/>
    <w:rsid w:val="006872C3"/>
    <w:rsid w:val="006A2EDD"/>
    <w:rsid w:val="006A32EF"/>
    <w:rsid w:val="006B1B95"/>
    <w:rsid w:val="006B2CB1"/>
    <w:rsid w:val="006B58C2"/>
    <w:rsid w:val="006B6595"/>
    <w:rsid w:val="006C4DCC"/>
    <w:rsid w:val="006C7A2B"/>
    <w:rsid w:val="006C7C60"/>
    <w:rsid w:val="006F1C78"/>
    <w:rsid w:val="007074E0"/>
    <w:rsid w:val="007142B2"/>
    <w:rsid w:val="00721E19"/>
    <w:rsid w:val="0072766F"/>
    <w:rsid w:val="007310CD"/>
    <w:rsid w:val="0073399B"/>
    <w:rsid w:val="00737B7B"/>
    <w:rsid w:val="00761546"/>
    <w:rsid w:val="00780677"/>
    <w:rsid w:val="007915FD"/>
    <w:rsid w:val="00792534"/>
    <w:rsid w:val="00794194"/>
    <w:rsid w:val="007B2FA4"/>
    <w:rsid w:val="007C39B7"/>
    <w:rsid w:val="007F45EE"/>
    <w:rsid w:val="007F6407"/>
    <w:rsid w:val="00813CD7"/>
    <w:rsid w:val="00821415"/>
    <w:rsid w:val="00826508"/>
    <w:rsid w:val="0084209D"/>
    <w:rsid w:val="00843EA3"/>
    <w:rsid w:val="0084413F"/>
    <w:rsid w:val="00855901"/>
    <w:rsid w:val="00865115"/>
    <w:rsid w:val="00865A18"/>
    <w:rsid w:val="00865E97"/>
    <w:rsid w:val="00872778"/>
    <w:rsid w:val="0088117B"/>
    <w:rsid w:val="0088788E"/>
    <w:rsid w:val="00890A38"/>
    <w:rsid w:val="008911AF"/>
    <w:rsid w:val="00897EC6"/>
    <w:rsid w:val="008A05F4"/>
    <w:rsid w:val="008B78AE"/>
    <w:rsid w:val="008C7FD4"/>
    <w:rsid w:val="008F3FB8"/>
    <w:rsid w:val="008F48E1"/>
    <w:rsid w:val="0091124D"/>
    <w:rsid w:val="0091513F"/>
    <w:rsid w:val="00917259"/>
    <w:rsid w:val="0095248B"/>
    <w:rsid w:val="009563CB"/>
    <w:rsid w:val="00961CE4"/>
    <w:rsid w:val="009647C4"/>
    <w:rsid w:val="009703D0"/>
    <w:rsid w:val="00981F3A"/>
    <w:rsid w:val="0098571B"/>
    <w:rsid w:val="00992D0C"/>
    <w:rsid w:val="0099530C"/>
    <w:rsid w:val="009C24F9"/>
    <w:rsid w:val="009C4244"/>
    <w:rsid w:val="009C765B"/>
    <w:rsid w:val="009F18C9"/>
    <w:rsid w:val="009F40A8"/>
    <w:rsid w:val="00A05C90"/>
    <w:rsid w:val="00A05DDE"/>
    <w:rsid w:val="00A13974"/>
    <w:rsid w:val="00A20D8E"/>
    <w:rsid w:val="00A33B6E"/>
    <w:rsid w:val="00A42CE1"/>
    <w:rsid w:val="00A73704"/>
    <w:rsid w:val="00A737B8"/>
    <w:rsid w:val="00A73FFA"/>
    <w:rsid w:val="00A8116A"/>
    <w:rsid w:val="00A95819"/>
    <w:rsid w:val="00AA50F1"/>
    <w:rsid w:val="00AB2DF8"/>
    <w:rsid w:val="00AD12B5"/>
    <w:rsid w:val="00AD7734"/>
    <w:rsid w:val="00AD7AB2"/>
    <w:rsid w:val="00B03564"/>
    <w:rsid w:val="00B154DC"/>
    <w:rsid w:val="00B176A8"/>
    <w:rsid w:val="00B21DFE"/>
    <w:rsid w:val="00B2555F"/>
    <w:rsid w:val="00B44C99"/>
    <w:rsid w:val="00B60CB0"/>
    <w:rsid w:val="00B93065"/>
    <w:rsid w:val="00BB21C0"/>
    <w:rsid w:val="00BC1740"/>
    <w:rsid w:val="00BC6E58"/>
    <w:rsid w:val="00BE0613"/>
    <w:rsid w:val="00BE13F8"/>
    <w:rsid w:val="00BE162B"/>
    <w:rsid w:val="00BE2A7C"/>
    <w:rsid w:val="00BE54B4"/>
    <w:rsid w:val="00BE57B8"/>
    <w:rsid w:val="00BF680A"/>
    <w:rsid w:val="00C34F4E"/>
    <w:rsid w:val="00C4164C"/>
    <w:rsid w:val="00C41AC5"/>
    <w:rsid w:val="00C41D3B"/>
    <w:rsid w:val="00C51B0A"/>
    <w:rsid w:val="00C763E2"/>
    <w:rsid w:val="00C8255A"/>
    <w:rsid w:val="00C92FA4"/>
    <w:rsid w:val="00CA2A5B"/>
    <w:rsid w:val="00CA4534"/>
    <w:rsid w:val="00CC06F4"/>
    <w:rsid w:val="00CC1436"/>
    <w:rsid w:val="00CD1709"/>
    <w:rsid w:val="00CD4D48"/>
    <w:rsid w:val="00CE4844"/>
    <w:rsid w:val="00CF08F6"/>
    <w:rsid w:val="00CF24D0"/>
    <w:rsid w:val="00CF57AC"/>
    <w:rsid w:val="00D103F1"/>
    <w:rsid w:val="00D56EE0"/>
    <w:rsid w:val="00D57F78"/>
    <w:rsid w:val="00D61EDA"/>
    <w:rsid w:val="00D702F9"/>
    <w:rsid w:val="00D72C24"/>
    <w:rsid w:val="00D84C4A"/>
    <w:rsid w:val="00D90D19"/>
    <w:rsid w:val="00DE04C1"/>
    <w:rsid w:val="00DF0107"/>
    <w:rsid w:val="00DF1187"/>
    <w:rsid w:val="00DF2FBB"/>
    <w:rsid w:val="00DF41E3"/>
    <w:rsid w:val="00DF7921"/>
    <w:rsid w:val="00E01151"/>
    <w:rsid w:val="00E011A6"/>
    <w:rsid w:val="00E06A87"/>
    <w:rsid w:val="00E23C4F"/>
    <w:rsid w:val="00E556DD"/>
    <w:rsid w:val="00E66A72"/>
    <w:rsid w:val="00E678BA"/>
    <w:rsid w:val="00E76828"/>
    <w:rsid w:val="00E769BE"/>
    <w:rsid w:val="00E83796"/>
    <w:rsid w:val="00E9010A"/>
    <w:rsid w:val="00E915E0"/>
    <w:rsid w:val="00E9424B"/>
    <w:rsid w:val="00E94731"/>
    <w:rsid w:val="00E953BD"/>
    <w:rsid w:val="00EA1A59"/>
    <w:rsid w:val="00EC3FB0"/>
    <w:rsid w:val="00EC7F86"/>
    <w:rsid w:val="00ED7A79"/>
    <w:rsid w:val="00EE1EC2"/>
    <w:rsid w:val="00EE5F05"/>
    <w:rsid w:val="00F14B0F"/>
    <w:rsid w:val="00F154E8"/>
    <w:rsid w:val="00F15854"/>
    <w:rsid w:val="00F15C6D"/>
    <w:rsid w:val="00F20245"/>
    <w:rsid w:val="00F20496"/>
    <w:rsid w:val="00F3327F"/>
    <w:rsid w:val="00F45148"/>
    <w:rsid w:val="00F452BD"/>
    <w:rsid w:val="00F466F5"/>
    <w:rsid w:val="00F5024C"/>
    <w:rsid w:val="00F60B9D"/>
    <w:rsid w:val="00F74099"/>
    <w:rsid w:val="00F840E5"/>
    <w:rsid w:val="00F848F4"/>
    <w:rsid w:val="00F856E3"/>
    <w:rsid w:val="00F86B08"/>
    <w:rsid w:val="00FB05B2"/>
    <w:rsid w:val="00FC03F1"/>
    <w:rsid w:val="00FC21E6"/>
    <w:rsid w:val="00FC749D"/>
    <w:rsid w:val="00FD33A6"/>
    <w:rsid w:val="00FE2299"/>
    <w:rsid w:val="00FE500A"/>
    <w:rsid w:val="00FE659F"/>
    <w:rsid w:val="00FF4D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DF293E"/>
  <w15:chartTrackingRefBased/>
  <w15:docId w15:val="{89B58F2A-C8FA-4692-8326-E936FEF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customStyle="1" w:styleId="medium2-header">
    <w:name w:val="medium2-header"/>
    <w:basedOn w:val="a"/>
    <w:rsid w:val="005262D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table" w:styleId="a8">
    <w:name w:val="Table Grid"/>
    <w:basedOn w:val="a1"/>
    <w:rsid w:val="005262D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5693</CharactersWithSpaces>
  <SharedDoc>false</SharedDoc>
  <HLinks>
    <vt:vector size="120" baseType="variant">
      <vt:variant>
        <vt:i4>393283</vt:i4>
      </vt:variant>
      <vt:variant>
        <vt:i4>108</vt:i4>
      </vt:variant>
      <vt:variant>
        <vt:i4>0</vt:i4>
      </vt:variant>
      <vt:variant>
        <vt:i4>5</vt:i4>
      </vt:variant>
      <vt:variant>
        <vt:lpwstr>http://www.nevo.co.il/advertisements/nevo-100.doc</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8126475</vt:i4>
      </vt:variant>
      <vt:variant>
        <vt:i4>0</vt:i4>
      </vt:variant>
      <vt:variant>
        <vt:i4>0</vt:i4>
      </vt:variant>
      <vt:variant>
        <vt:i4>5</vt:i4>
      </vt:variant>
      <vt:variant>
        <vt:lpwstr>http://www.nevo.co.il/Law_word/law06/tak-7526.pdf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הגנת הסביבה</vt:lpwstr>
  </property>
  <property fmtid="{D5CDD505-2E9C-101B-9397-08002B2CF9AE}" pid="4" name="LAWNAME">
    <vt:lpwstr>תקנות הגנת הסביבה (סמכויות פיקוח ואכיפה) (דין משמעתי למשרתים בשירות אזרחי-ביטחוני), תשע"ה-2015</vt:lpwstr>
  </property>
  <property fmtid="{D5CDD505-2E9C-101B-9397-08002B2CF9AE}" pid="5" name="LAWNUMBER">
    <vt:lpwstr>0236</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בטחון</vt:lpwstr>
  </property>
  <property fmtid="{D5CDD505-2E9C-101B-9397-08002B2CF9AE}" pid="18" name="NOSE21">
    <vt:lpwstr>שירות לאומי</vt:lpwstr>
  </property>
  <property fmtid="{D5CDD505-2E9C-101B-9397-08002B2CF9AE}" pid="19" name="NOSE31">
    <vt:lpwstr/>
  </property>
  <property fmtid="{D5CDD505-2E9C-101B-9397-08002B2CF9AE}" pid="20" name="NOSE41">
    <vt:lpwstr/>
  </property>
  <property fmtid="{D5CDD505-2E9C-101B-9397-08002B2CF9AE}" pid="21" name="NOSE12">
    <vt:lpwstr>חקלאות טבע וסביבה</vt:lpwstr>
  </property>
  <property fmtid="{D5CDD505-2E9C-101B-9397-08002B2CF9AE}" pid="22" name="NOSE22">
    <vt:lpwstr>הגנת הסביבה</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MEKOR_NAME1">
    <vt:lpwstr>חוק הגנת הסביבה (סמכויות פיקוח ואכיפה)</vt:lpwstr>
  </property>
  <property fmtid="{D5CDD505-2E9C-101B-9397-08002B2CF9AE}" pid="62" name="MEKOR_SAIF1">
    <vt:lpwstr>8בXגX3X</vt:lpwstr>
  </property>
  <property fmtid="{D5CDD505-2E9C-101B-9397-08002B2CF9AE}" pid="63" name="LINKK1">
    <vt:lpwstr>http://www.nevo.co.il/Law_word/law06/tak-7526.pdf;‎רשומות - תקנות כלליות#פורסמו ק"ת תשע"ה ‏מס' 7526 #מיום 30.6.2015 עמ' 1322‏</vt:lpwstr>
  </property>
  <property fmtid="{D5CDD505-2E9C-101B-9397-08002B2CF9AE}" pid="64" name="LINKK2">
    <vt:lpwstr/>
  </property>
</Properties>
</file>