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35F43" w14:textId="77777777" w:rsidR="00260E4F" w:rsidRDefault="00152E3C" w:rsidP="00152E3C">
      <w:pPr>
        <w:pStyle w:val="big-header"/>
        <w:ind w:left="0" w:right="1134"/>
        <w:rPr>
          <w:rFonts w:cs="FrankRuehl" w:hint="cs"/>
          <w:sz w:val="32"/>
          <w:rtl/>
        </w:rPr>
      </w:pPr>
      <w:r>
        <w:rPr>
          <w:rFonts w:cs="FrankRuehl" w:hint="cs"/>
          <w:sz w:val="32"/>
          <w:rtl/>
        </w:rPr>
        <w:t>תקנות</w:t>
      </w:r>
      <w:r w:rsidR="00A84F02">
        <w:rPr>
          <w:rFonts w:cs="FrankRuehl" w:hint="cs"/>
          <w:sz w:val="32"/>
          <w:rtl/>
        </w:rPr>
        <w:t xml:space="preserve"> הגנת הסביבה (פליטות והעברות לסביבה </w:t>
      </w:r>
      <w:r w:rsidR="00A84F02">
        <w:rPr>
          <w:rFonts w:cs="FrankRuehl"/>
          <w:sz w:val="32"/>
          <w:rtl/>
        </w:rPr>
        <w:t>–</w:t>
      </w:r>
      <w:r w:rsidR="00A84F02">
        <w:rPr>
          <w:rFonts w:cs="FrankRuehl" w:hint="cs"/>
          <w:sz w:val="32"/>
          <w:rtl/>
        </w:rPr>
        <w:t xml:space="preserve"> חובות דיווח ומרשם</w:t>
      </w:r>
      <w:r w:rsidR="00916DCF">
        <w:rPr>
          <w:rFonts w:cs="FrankRuehl" w:hint="cs"/>
          <w:sz w:val="32"/>
          <w:rtl/>
        </w:rPr>
        <w:t>)</w:t>
      </w:r>
      <w:r>
        <w:rPr>
          <w:rFonts w:cs="FrankRuehl" w:hint="cs"/>
          <w:sz w:val="32"/>
          <w:rtl/>
        </w:rPr>
        <w:t xml:space="preserve"> (הפחתה של סכומי עיצום כספי)</w:t>
      </w:r>
      <w:r w:rsidR="00260E4F">
        <w:rPr>
          <w:rFonts w:cs="FrankRuehl" w:hint="cs"/>
          <w:sz w:val="32"/>
          <w:rtl/>
        </w:rPr>
        <w:t xml:space="preserve">, </w:t>
      </w:r>
      <w:r w:rsidR="00A70FAA">
        <w:rPr>
          <w:rFonts w:cs="FrankRuehl" w:hint="cs"/>
          <w:sz w:val="32"/>
          <w:rtl/>
        </w:rPr>
        <w:t>תשע"</w:t>
      </w:r>
      <w:r>
        <w:rPr>
          <w:rFonts w:cs="FrankRuehl" w:hint="cs"/>
          <w:sz w:val="32"/>
          <w:rtl/>
        </w:rPr>
        <w:t>ד-2013</w:t>
      </w:r>
    </w:p>
    <w:p w14:paraId="4C7A624F" w14:textId="77777777" w:rsidR="00A84F02" w:rsidRPr="00A84F02" w:rsidRDefault="00A84F02" w:rsidP="00A84F02">
      <w:pPr>
        <w:spacing w:line="320" w:lineRule="auto"/>
        <w:rPr>
          <w:rFonts w:cs="FrankRuehl"/>
          <w:szCs w:val="26"/>
          <w:rtl/>
        </w:rPr>
      </w:pPr>
    </w:p>
    <w:p w14:paraId="0E1A49CB" w14:textId="77777777" w:rsidR="00A84F02" w:rsidRDefault="00A84F02" w:rsidP="00A84F02">
      <w:pPr>
        <w:spacing w:line="320" w:lineRule="auto"/>
        <w:rPr>
          <w:rtl/>
        </w:rPr>
      </w:pPr>
    </w:p>
    <w:p w14:paraId="218DA31A" w14:textId="77777777" w:rsidR="00A84F02" w:rsidRPr="00A84F02" w:rsidRDefault="00A84F02" w:rsidP="00A84F02">
      <w:pPr>
        <w:spacing w:line="320" w:lineRule="auto"/>
        <w:rPr>
          <w:rFonts w:cs="Miriam" w:hint="cs"/>
          <w:szCs w:val="22"/>
          <w:rtl/>
        </w:rPr>
      </w:pPr>
      <w:r w:rsidRPr="00A84F02">
        <w:rPr>
          <w:rFonts w:cs="Miriam"/>
          <w:szCs w:val="22"/>
          <w:rtl/>
        </w:rPr>
        <w:t>חקלאות טבע וסביבה</w:t>
      </w:r>
      <w:r w:rsidRPr="00A84F02">
        <w:rPr>
          <w:rFonts w:cs="FrankRuehl"/>
          <w:szCs w:val="26"/>
          <w:rtl/>
        </w:rPr>
        <w:t xml:space="preserve"> – הגנת הסביבה</w:t>
      </w:r>
    </w:p>
    <w:p w14:paraId="51B6D251" w14:textId="77777777" w:rsidR="00260E4F" w:rsidRDefault="00260E4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3192B" w:rsidRPr="00C3192B" w14:paraId="7DC56941" w14:textId="77777777" w:rsidTr="00C3192B">
        <w:tblPrEx>
          <w:tblCellMar>
            <w:top w:w="0" w:type="dxa"/>
            <w:bottom w:w="0" w:type="dxa"/>
          </w:tblCellMar>
        </w:tblPrEx>
        <w:tc>
          <w:tcPr>
            <w:tcW w:w="1247" w:type="dxa"/>
          </w:tcPr>
          <w:p w14:paraId="6DAF5E44" w14:textId="77777777" w:rsidR="00C3192B" w:rsidRPr="00C3192B" w:rsidRDefault="00C3192B" w:rsidP="00C3192B">
            <w:pPr>
              <w:rPr>
                <w:rFonts w:cs="Frankruhel" w:hint="cs"/>
                <w:rtl/>
              </w:rPr>
            </w:pPr>
            <w:r>
              <w:rPr>
                <w:rtl/>
              </w:rPr>
              <w:t xml:space="preserve">סעיף 1 </w:t>
            </w:r>
          </w:p>
        </w:tc>
        <w:tc>
          <w:tcPr>
            <w:tcW w:w="5669" w:type="dxa"/>
          </w:tcPr>
          <w:p w14:paraId="7BC045AB" w14:textId="77777777" w:rsidR="00C3192B" w:rsidRPr="00C3192B" w:rsidRDefault="00C3192B" w:rsidP="00C3192B">
            <w:pPr>
              <w:rPr>
                <w:rFonts w:cs="Frankruhel" w:hint="cs"/>
                <w:rtl/>
              </w:rPr>
            </w:pPr>
            <w:r>
              <w:rPr>
                <w:rtl/>
              </w:rPr>
              <w:t>הגדרות</w:t>
            </w:r>
          </w:p>
        </w:tc>
        <w:tc>
          <w:tcPr>
            <w:tcW w:w="567" w:type="dxa"/>
          </w:tcPr>
          <w:p w14:paraId="1A3DB1C7" w14:textId="77777777" w:rsidR="00C3192B" w:rsidRPr="00C3192B" w:rsidRDefault="00C3192B" w:rsidP="00C3192B">
            <w:pPr>
              <w:rPr>
                <w:rStyle w:val="Hyperlink"/>
                <w:rFonts w:hint="cs"/>
                <w:rtl/>
              </w:rPr>
            </w:pPr>
            <w:hyperlink w:anchor="Seif1" w:tooltip="הגדרות" w:history="1">
              <w:r w:rsidRPr="00C3192B">
                <w:rPr>
                  <w:rStyle w:val="Hyperlink"/>
                </w:rPr>
                <w:t>Go</w:t>
              </w:r>
            </w:hyperlink>
          </w:p>
        </w:tc>
        <w:tc>
          <w:tcPr>
            <w:tcW w:w="850" w:type="dxa"/>
          </w:tcPr>
          <w:p w14:paraId="4BD9CE1F" w14:textId="77777777" w:rsidR="00C3192B" w:rsidRPr="00C3192B" w:rsidRDefault="00C3192B" w:rsidP="00C319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3192B" w:rsidRPr="00C3192B" w14:paraId="3FF7741C" w14:textId="77777777" w:rsidTr="00C3192B">
        <w:tblPrEx>
          <w:tblCellMar>
            <w:top w:w="0" w:type="dxa"/>
            <w:bottom w:w="0" w:type="dxa"/>
          </w:tblCellMar>
        </w:tblPrEx>
        <w:tc>
          <w:tcPr>
            <w:tcW w:w="1247" w:type="dxa"/>
          </w:tcPr>
          <w:p w14:paraId="1963D555" w14:textId="77777777" w:rsidR="00C3192B" w:rsidRPr="00C3192B" w:rsidRDefault="00C3192B" w:rsidP="00C3192B">
            <w:pPr>
              <w:rPr>
                <w:rFonts w:cs="Frankruhel" w:hint="cs"/>
                <w:rtl/>
              </w:rPr>
            </w:pPr>
            <w:r>
              <w:rPr>
                <w:rtl/>
              </w:rPr>
              <w:t xml:space="preserve">סעיף 2 </w:t>
            </w:r>
          </w:p>
        </w:tc>
        <w:tc>
          <w:tcPr>
            <w:tcW w:w="5669" w:type="dxa"/>
          </w:tcPr>
          <w:p w14:paraId="25FBD4F4" w14:textId="77777777" w:rsidR="00C3192B" w:rsidRPr="00C3192B" w:rsidRDefault="00C3192B" w:rsidP="00C3192B">
            <w:pPr>
              <w:rPr>
                <w:rFonts w:cs="Frankruhel" w:hint="cs"/>
                <w:rtl/>
              </w:rPr>
            </w:pPr>
            <w:r>
              <w:rPr>
                <w:rtl/>
              </w:rPr>
              <w:t>הפחתת סכומי העיצום הכספי</w:t>
            </w:r>
          </w:p>
        </w:tc>
        <w:tc>
          <w:tcPr>
            <w:tcW w:w="567" w:type="dxa"/>
          </w:tcPr>
          <w:p w14:paraId="49255B86" w14:textId="77777777" w:rsidR="00C3192B" w:rsidRPr="00C3192B" w:rsidRDefault="00C3192B" w:rsidP="00C3192B">
            <w:pPr>
              <w:rPr>
                <w:rStyle w:val="Hyperlink"/>
                <w:rFonts w:hint="cs"/>
                <w:rtl/>
              </w:rPr>
            </w:pPr>
            <w:hyperlink w:anchor="Seif2" w:tooltip="הפחתת סכומי העיצום הכספי" w:history="1">
              <w:r w:rsidRPr="00C3192B">
                <w:rPr>
                  <w:rStyle w:val="Hyperlink"/>
                </w:rPr>
                <w:t>Go</w:t>
              </w:r>
            </w:hyperlink>
          </w:p>
        </w:tc>
        <w:tc>
          <w:tcPr>
            <w:tcW w:w="850" w:type="dxa"/>
          </w:tcPr>
          <w:p w14:paraId="3934F713" w14:textId="77777777" w:rsidR="00C3192B" w:rsidRPr="00C3192B" w:rsidRDefault="00C3192B" w:rsidP="00C319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3192B" w:rsidRPr="00C3192B" w14:paraId="291F2CD3" w14:textId="77777777" w:rsidTr="00C3192B">
        <w:tblPrEx>
          <w:tblCellMar>
            <w:top w:w="0" w:type="dxa"/>
            <w:bottom w:w="0" w:type="dxa"/>
          </w:tblCellMar>
        </w:tblPrEx>
        <w:tc>
          <w:tcPr>
            <w:tcW w:w="1247" w:type="dxa"/>
          </w:tcPr>
          <w:p w14:paraId="132E38B5" w14:textId="77777777" w:rsidR="00C3192B" w:rsidRPr="00C3192B" w:rsidRDefault="00C3192B" w:rsidP="00C3192B">
            <w:pPr>
              <w:rPr>
                <w:rFonts w:cs="Frankruhel" w:hint="cs"/>
                <w:rtl/>
              </w:rPr>
            </w:pPr>
            <w:r>
              <w:rPr>
                <w:rtl/>
              </w:rPr>
              <w:t xml:space="preserve">סעיף 3 </w:t>
            </w:r>
          </w:p>
        </w:tc>
        <w:tc>
          <w:tcPr>
            <w:tcW w:w="5669" w:type="dxa"/>
          </w:tcPr>
          <w:p w14:paraId="6F4225C2" w14:textId="77777777" w:rsidR="00C3192B" w:rsidRPr="00C3192B" w:rsidRDefault="00C3192B" w:rsidP="00C3192B">
            <w:pPr>
              <w:rPr>
                <w:rFonts w:cs="Frankruhel" w:hint="cs"/>
                <w:rtl/>
              </w:rPr>
            </w:pPr>
            <w:r>
              <w:rPr>
                <w:rtl/>
              </w:rPr>
              <w:t>הפחתה בשל התחשבות במחזור עסקאות</w:t>
            </w:r>
          </w:p>
        </w:tc>
        <w:tc>
          <w:tcPr>
            <w:tcW w:w="567" w:type="dxa"/>
          </w:tcPr>
          <w:p w14:paraId="57AF718C" w14:textId="77777777" w:rsidR="00C3192B" w:rsidRPr="00C3192B" w:rsidRDefault="00C3192B" w:rsidP="00C3192B">
            <w:pPr>
              <w:rPr>
                <w:rStyle w:val="Hyperlink"/>
                <w:rFonts w:hint="cs"/>
                <w:rtl/>
              </w:rPr>
            </w:pPr>
            <w:hyperlink w:anchor="Seif5" w:tooltip="הפחתה בשל התחשבות במחזור עסקאות" w:history="1">
              <w:r w:rsidRPr="00C3192B">
                <w:rPr>
                  <w:rStyle w:val="Hyperlink"/>
                </w:rPr>
                <w:t>Go</w:t>
              </w:r>
            </w:hyperlink>
          </w:p>
        </w:tc>
        <w:tc>
          <w:tcPr>
            <w:tcW w:w="850" w:type="dxa"/>
          </w:tcPr>
          <w:p w14:paraId="00A3DB42" w14:textId="77777777" w:rsidR="00C3192B" w:rsidRPr="00C3192B" w:rsidRDefault="00C3192B" w:rsidP="00C319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C3192B" w:rsidRPr="00C3192B" w14:paraId="2A7E0C88" w14:textId="77777777" w:rsidTr="00C3192B">
        <w:tblPrEx>
          <w:tblCellMar>
            <w:top w:w="0" w:type="dxa"/>
            <w:bottom w:w="0" w:type="dxa"/>
          </w:tblCellMar>
        </w:tblPrEx>
        <w:tc>
          <w:tcPr>
            <w:tcW w:w="1247" w:type="dxa"/>
          </w:tcPr>
          <w:p w14:paraId="2C0756D3" w14:textId="77777777" w:rsidR="00C3192B" w:rsidRPr="00C3192B" w:rsidRDefault="00C3192B" w:rsidP="00C3192B">
            <w:pPr>
              <w:rPr>
                <w:rFonts w:cs="Frankruhel" w:hint="cs"/>
                <w:rtl/>
              </w:rPr>
            </w:pPr>
            <w:r>
              <w:rPr>
                <w:rtl/>
              </w:rPr>
              <w:t xml:space="preserve">סעיף 4 </w:t>
            </w:r>
          </w:p>
        </w:tc>
        <w:tc>
          <w:tcPr>
            <w:tcW w:w="5669" w:type="dxa"/>
          </w:tcPr>
          <w:p w14:paraId="309A9629" w14:textId="77777777" w:rsidR="00C3192B" w:rsidRPr="00C3192B" w:rsidRDefault="00C3192B" w:rsidP="00C3192B">
            <w:pPr>
              <w:rPr>
                <w:rFonts w:cs="Frankruhel" w:hint="cs"/>
                <w:rtl/>
              </w:rPr>
            </w:pPr>
            <w:r>
              <w:rPr>
                <w:rtl/>
              </w:rPr>
              <w:t>מסמכים מצורפים לבקשה</w:t>
            </w:r>
          </w:p>
        </w:tc>
        <w:tc>
          <w:tcPr>
            <w:tcW w:w="567" w:type="dxa"/>
          </w:tcPr>
          <w:p w14:paraId="357F7940" w14:textId="77777777" w:rsidR="00C3192B" w:rsidRPr="00C3192B" w:rsidRDefault="00C3192B" w:rsidP="00C3192B">
            <w:pPr>
              <w:rPr>
                <w:rStyle w:val="Hyperlink"/>
                <w:rFonts w:hint="cs"/>
                <w:rtl/>
              </w:rPr>
            </w:pPr>
            <w:hyperlink w:anchor="Seif3" w:tooltip="מסמכים מצורפים לבקשה" w:history="1">
              <w:r w:rsidRPr="00C3192B">
                <w:rPr>
                  <w:rStyle w:val="Hyperlink"/>
                </w:rPr>
                <w:t>Go</w:t>
              </w:r>
            </w:hyperlink>
          </w:p>
        </w:tc>
        <w:tc>
          <w:tcPr>
            <w:tcW w:w="850" w:type="dxa"/>
          </w:tcPr>
          <w:p w14:paraId="765B5FFB" w14:textId="77777777" w:rsidR="00C3192B" w:rsidRPr="00C3192B" w:rsidRDefault="00C3192B" w:rsidP="00C319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C3192B" w:rsidRPr="00C3192B" w14:paraId="15991131" w14:textId="77777777" w:rsidTr="00C3192B">
        <w:tblPrEx>
          <w:tblCellMar>
            <w:top w:w="0" w:type="dxa"/>
            <w:bottom w:w="0" w:type="dxa"/>
          </w:tblCellMar>
        </w:tblPrEx>
        <w:tc>
          <w:tcPr>
            <w:tcW w:w="1247" w:type="dxa"/>
          </w:tcPr>
          <w:p w14:paraId="40B38A0F" w14:textId="77777777" w:rsidR="00C3192B" w:rsidRPr="00C3192B" w:rsidRDefault="00C3192B" w:rsidP="00C3192B">
            <w:pPr>
              <w:rPr>
                <w:rFonts w:cs="Frankruhel" w:hint="cs"/>
                <w:rtl/>
              </w:rPr>
            </w:pPr>
            <w:r>
              <w:rPr>
                <w:rtl/>
              </w:rPr>
              <w:t xml:space="preserve">סעיף 5 </w:t>
            </w:r>
          </w:p>
        </w:tc>
        <w:tc>
          <w:tcPr>
            <w:tcW w:w="5669" w:type="dxa"/>
          </w:tcPr>
          <w:p w14:paraId="42C43452" w14:textId="77777777" w:rsidR="00C3192B" w:rsidRPr="00C3192B" w:rsidRDefault="00C3192B" w:rsidP="00C3192B">
            <w:pPr>
              <w:rPr>
                <w:rFonts w:cs="Frankruhel" w:hint="cs"/>
                <w:rtl/>
              </w:rPr>
            </w:pPr>
            <w:r>
              <w:rPr>
                <w:rtl/>
              </w:rPr>
              <w:t>תנאי מקדמי להפחתה בהפרות מסוימות</w:t>
            </w:r>
          </w:p>
        </w:tc>
        <w:tc>
          <w:tcPr>
            <w:tcW w:w="567" w:type="dxa"/>
          </w:tcPr>
          <w:p w14:paraId="7C180394" w14:textId="77777777" w:rsidR="00C3192B" w:rsidRPr="00C3192B" w:rsidRDefault="00C3192B" w:rsidP="00C3192B">
            <w:pPr>
              <w:rPr>
                <w:rStyle w:val="Hyperlink"/>
                <w:rFonts w:hint="cs"/>
                <w:rtl/>
              </w:rPr>
            </w:pPr>
            <w:hyperlink w:anchor="Seif4" w:tooltip="תנאי מקדמי להפחתה בהפרות מסוימות" w:history="1">
              <w:r w:rsidRPr="00C3192B">
                <w:rPr>
                  <w:rStyle w:val="Hyperlink"/>
                </w:rPr>
                <w:t>Go</w:t>
              </w:r>
            </w:hyperlink>
          </w:p>
        </w:tc>
        <w:tc>
          <w:tcPr>
            <w:tcW w:w="850" w:type="dxa"/>
          </w:tcPr>
          <w:p w14:paraId="404E4425" w14:textId="77777777" w:rsidR="00C3192B" w:rsidRPr="00C3192B" w:rsidRDefault="00C3192B" w:rsidP="00C319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C3192B" w:rsidRPr="00C3192B" w14:paraId="367502C4" w14:textId="77777777" w:rsidTr="00C3192B">
        <w:tblPrEx>
          <w:tblCellMar>
            <w:top w:w="0" w:type="dxa"/>
            <w:bottom w:w="0" w:type="dxa"/>
          </w:tblCellMar>
        </w:tblPrEx>
        <w:tc>
          <w:tcPr>
            <w:tcW w:w="1247" w:type="dxa"/>
          </w:tcPr>
          <w:p w14:paraId="2C353ECC" w14:textId="77777777" w:rsidR="00C3192B" w:rsidRPr="00C3192B" w:rsidRDefault="00C3192B" w:rsidP="00C3192B">
            <w:pPr>
              <w:rPr>
                <w:rFonts w:cs="Frankruhel" w:hint="cs"/>
                <w:rtl/>
              </w:rPr>
            </w:pPr>
            <w:r>
              <w:rPr>
                <w:rtl/>
              </w:rPr>
              <w:t xml:space="preserve">סעיף 6 </w:t>
            </w:r>
          </w:p>
        </w:tc>
        <w:tc>
          <w:tcPr>
            <w:tcW w:w="5669" w:type="dxa"/>
          </w:tcPr>
          <w:p w14:paraId="11B6E237" w14:textId="77777777" w:rsidR="00C3192B" w:rsidRPr="00C3192B" w:rsidRDefault="00C3192B" w:rsidP="00C3192B">
            <w:pPr>
              <w:rPr>
                <w:rFonts w:cs="Frankruhel" w:hint="cs"/>
                <w:rtl/>
              </w:rPr>
            </w:pPr>
            <w:r>
              <w:rPr>
                <w:rtl/>
              </w:rPr>
              <w:t>דיווח לוועדת הפנים והגנת הסביבה של הכנסת</w:t>
            </w:r>
          </w:p>
        </w:tc>
        <w:tc>
          <w:tcPr>
            <w:tcW w:w="567" w:type="dxa"/>
          </w:tcPr>
          <w:p w14:paraId="3011241C" w14:textId="77777777" w:rsidR="00C3192B" w:rsidRPr="00C3192B" w:rsidRDefault="00C3192B" w:rsidP="00C3192B">
            <w:pPr>
              <w:rPr>
                <w:rStyle w:val="Hyperlink"/>
                <w:rFonts w:hint="cs"/>
                <w:rtl/>
              </w:rPr>
            </w:pPr>
            <w:hyperlink w:anchor="Seif6" w:tooltip="דיווח לוועדת הפנים והגנת הסביבה של הכנסת" w:history="1">
              <w:r w:rsidRPr="00C3192B">
                <w:rPr>
                  <w:rStyle w:val="Hyperlink"/>
                </w:rPr>
                <w:t>Go</w:t>
              </w:r>
            </w:hyperlink>
          </w:p>
        </w:tc>
        <w:tc>
          <w:tcPr>
            <w:tcW w:w="850" w:type="dxa"/>
          </w:tcPr>
          <w:p w14:paraId="1CA30EA1" w14:textId="77777777" w:rsidR="00C3192B" w:rsidRPr="00C3192B" w:rsidRDefault="00C3192B" w:rsidP="00C319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1F7EF98" w14:textId="77777777" w:rsidR="00E9336A" w:rsidRDefault="00E9336A">
      <w:pPr>
        <w:pStyle w:val="big-header"/>
        <w:ind w:left="0" w:right="1134"/>
        <w:rPr>
          <w:rFonts w:cs="FrankRuehl" w:hint="cs"/>
          <w:sz w:val="32"/>
          <w:rtl/>
        </w:rPr>
      </w:pPr>
    </w:p>
    <w:p w14:paraId="5FAF849E" w14:textId="77777777" w:rsidR="00260E4F" w:rsidRDefault="00260E4F" w:rsidP="00152E3C">
      <w:pPr>
        <w:pStyle w:val="big-header"/>
        <w:ind w:left="0" w:right="1134"/>
        <w:rPr>
          <w:rStyle w:val="default"/>
          <w:rFonts w:hint="cs"/>
          <w:sz w:val="22"/>
          <w:szCs w:val="22"/>
          <w:rtl/>
        </w:rPr>
      </w:pPr>
      <w:r>
        <w:rPr>
          <w:rFonts w:cs="FrankRuehl"/>
          <w:sz w:val="32"/>
          <w:rtl/>
        </w:rPr>
        <w:br w:type="page"/>
      </w:r>
      <w:r w:rsidR="00152E3C">
        <w:rPr>
          <w:rFonts w:cs="FrankRuehl" w:hint="cs"/>
          <w:sz w:val="32"/>
          <w:rtl/>
        </w:rPr>
        <w:lastRenderedPageBreak/>
        <w:t xml:space="preserve">תקנות הגנת הסביבה (פליטות והעברות לסביבה </w:t>
      </w:r>
      <w:r w:rsidR="00152E3C">
        <w:rPr>
          <w:rFonts w:cs="FrankRuehl"/>
          <w:sz w:val="32"/>
          <w:rtl/>
        </w:rPr>
        <w:t>–</w:t>
      </w:r>
      <w:r w:rsidR="00152E3C">
        <w:rPr>
          <w:rFonts w:cs="FrankRuehl" w:hint="cs"/>
          <w:sz w:val="32"/>
          <w:rtl/>
        </w:rPr>
        <w:t xml:space="preserve"> חובות דיווח ומרשם) (הפחתה של סכומי עיצום כספי), תשע"ד-2013</w:t>
      </w:r>
      <w:r>
        <w:rPr>
          <w:rStyle w:val="default"/>
          <w:sz w:val="22"/>
          <w:szCs w:val="22"/>
          <w:rtl/>
        </w:rPr>
        <w:footnoteReference w:customMarkFollows="1" w:id="1"/>
        <w:t>*</w:t>
      </w:r>
    </w:p>
    <w:p w14:paraId="6B7F788A" w14:textId="77777777" w:rsidR="00260E4F" w:rsidRDefault="00152E3C" w:rsidP="00152E3C">
      <w:pPr>
        <w:pStyle w:val="P00"/>
        <w:spacing w:before="72"/>
        <w:ind w:left="0" w:right="1134"/>
        <w:rPr>
          <w:rStyle w:val="default"/>
          <w:rFonts w:cs="FrankRuehl" w:hint="cs"/>
          <w:rtl/>
        </w:rPr>
      </w:pPr>
      <w:r>
        <w:rPr>
          <w:rStyle w:val="default"/>
          <w:rFonts w:cs="FrankRuehl" w:hint="cs"/>
          <w:rtl/>
        </w:rPr>
        <w:tab/>
        <w:t xml:space="preserve">בתוקף סמכותי לפי סעיף 21(ב) לחוק הגנת הסביבה (פליטות והעברות לסביבה </w:t>
      </w:r>
      <w:r>
        <w:rPr>
          <w:rStyle w:val="default"/>
          <w:rFonts w:cs="FrankRuehl"/>
          <w:rtl/>
        </w:rPr>
        <w:t>–</w:t>
      </w:r>
      <w:r>
        <w:rPr>
          <w:rStyle w:val="default"/>
          <w:rFonts w:cs="FrankRuehl" w:hint="cs"/>
          <w:rtl/>
        </w:rPr>
        <w:t xml:space="preserve"> חובות דיווח ומרשם), התשע"ב-2012 (להלן </w:t>
      </w:r>
      <w:r>
        <w:rPr>
          <w:rStyle w:val="default"/>
          <w:rFonts w:cs="FrankRuehl"/>
          <w:rtl/>
        </w:rPr>
        <w:t>–</w:t>
      </w:r>
      <w:r>
        <w:rPr>
          <w:rStyle w:val="default"/>
          <w:rFonts w:cs="FrankRuehl" w:hint="cs"/>
          <w:rtl/>
        </w:rPr>
        <w:t xml:space="preserve"> החוק), בהסכמת שרת המשפטים ובאישור ועדת הפנים והגנת הסביבה של הכנסת, אני מתקין תקנות אלה:</w:t>
      </w:r>
    </w:p>
    <w:p w14:paraId="1440297E" w14:textId="77777777" w:rsidR="00260E4F" w:rsidRDefault="00260E4F" w:rsidP="00152E3C">
      <w:pPr>
        <w:pStyle w:val="P00"/>
        <w:spacing w:before="72"/>
        <w:ind w:left="0" w:right="1134"/>
        <w:rPr>
          <w:rStyle w:val="default"/>
          <w:rFonts w:cs="FrankRuehl" w:hint="cs"/>
          <w:rtl/>
        </w:rPr>
      </w:pPr>
      <w:bookmarkStart w:id="0" w:name="Seif1"/>
      <w:bookmarkEnd w:id="0"/>
      <w:r>
        <w:rPr>
          <w:rFonts w:cs="Miriam"/>
          <w:lang w:val="he-IL"/>
        </w:rPr>
        <w:pict w14:anchorId="44EB177E">
          <v:rect id="_x0000_s1026" style="position:absolute;left:0;text-align:left;margin-left:464.35pt;margin-top:7.1pt;width:75.05pt;height:8.95pt;z-index:251655168" o:allowincell="f" filled="f" stroked="f" strokecolor="lime" strokeweight=".25pt">
            <v:textbox style="mso-next-textbox:#_x0000_s1026" inset="0,0,0,0">
              <w:txbxContent>
                <w:p w14:paraId="7CFF86D9" w14:textId="77777777" w:rsidR="00DB714B" w:rsidRDefault="00152E3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default"/>
          <w:rFonts w:cs="FrankRuehl"/>
          <w:rtl/>
        </w:rPr>
        <w:t>.</w:t>
      </w:r>
      <w:r>
        <w:rPr>
          <w:rStyle w:val="default"/>
          <w:rFonts w:cs="FrankRuehl"/>
          <w:rtl/>
        </w:rPr>
        <w:tab/>
      </w:r>
      <w:r w:rsidR="00152E3C">
        <w:rPr>
          <w:rStyle w:val="default"/>
          <w:rFonts w:cs="FrankRuehl" w:hint="cs"/>
          <w:rtl/>
        </w:rPr>
        <w:t xml:space="preserve">בתקנות אלה </w:t>
      </w:r>
      <w:r w:rsidR="00152E3C">
        <w:rPr>
          <w:rStyle w:val="default"/>
          <w:rFonts w:cs="FrankRuehl"/>
          <w:rtl/>
        </w:rPr>
        <w:t>–</w:t>
      </w:r>
    </w:p>
    <w:p w14:paraId="7C8474DA" w14:textId="77777777" w:rsidR="00152E3C" w:rsidRDefault="00152E3C" w:rsidP="00152E3C">
      <w:pPr>
        <w:pStyle w:val="P00"/>
        <w:spacing w:before="72"/>
        <w:ind w:left="0" w:right="1134"/>
        <w:rPr>
          <w:rStyle w:val="default"/>
          <w:rFonts w:cs="FrankRuehl" w:hint="cs"/>
          <w:rtl/>
        </w:rPr>
      </w:pPr>
      <w:r>
        <w:rPr>
          <w:rStyle w:val="default"/>
          <w:rFonts w:cs="FrankRuehl" w:hint="cs"/>
          <w:rtl/>
        </w:rPr>
        <w:tab/>
        <w:t xml:space="preserve">"אישור רואה חשבון" </w:t>
      </w:r>
      <w:r>
        <w:rPr>
          <w:rStyle w:val="default"/>
          <w:rFonts w:cs="FrankRuehl"/>
          <w:rtl/>
        </w:rPr>
        <w:t>–</w:t>
      </w:r>
      <w:r>
        <w:rPr>
          <w:rStyle w:val="default"/>
          <w:rFonts w:cs="FrankRuehl" w:hint="cs"/>
          <w:rtl/>
        </w:rPr>
        <w:t xml:space="preserve"> אישור שנתן רואה חשבון מבקר, שאינו מצוי בניגוד עניינים כלפי המפר ואינו תלוי בו, בין במישרין ובין בעקיפין, לפי תקנות רואי חשבון (ניגוד עניינים ופגיעה באי-תלות כתוצאה מעיסוק אחר), התשס"ח-2008;</w:t>
      </w:r>
    </w:p>
    <w:p w14:paraId="0083C43D" w14:textId="77777777" w:rsidR="00152E3C" w:rsidRDefault="00152E3C" w:rsidP="00152E3C">
      <w:pPr>
        <w:pStyle w:val="P00"/>
        <w:spacing w:before="72"/>
        <w:ind w:left="0" w:right="1134"/>
        <w:rPr>
          <w:rStyle w:val="default"/>
          <w:rFonts w:cs="FrankRuehl" w:hint="cs"/>
          <w:rtl/>
        </w:rPr>
      </w:pPr>
      <w:r>
        <w:rPr>
          <w:rStyle w:val="default"/>
          <w:rFonts w:cs="FrankRuehl" w:hint="cs"/>
          <w:rtl/>
        </w:rPr>
        <w:tab/>
        <w:t xml:space="preserve">"הכנסה" </w:t>
      </w:r>
      <w:r>
        <w:rPr>
          <w:rStyle w:val="default"/>
          <w:rFonts w:cs="FrankRuehl"/>
          <w:rtl/>
        </w:rPr>
        <w:t>–</w:t>
      </w:r>
      <w:r>
        <w:rPr>
          <w:rStyle w:val="default"/>
          <w:rFonts w:cs="FrankRuehl" w:hint="cs"/>
          <w:rtl/>
        </w:rPr>
        <w:t xml:space="preserve"> כהגדרתה בפקודת מס הכנסה;</w:t>
      </w:r>
    </w:p>
    <w:p w14:paraId="5A0C0125" w14:textId="77777777" w:rsidR="00152E3C" w:rsidRDefault="00152E3C" w:rsidP="00152E3C">
      <w:pPr>
        <w:pStyle w:val="P00"/>
        <w:spacing w:before="72"/>
        <w:ind w:left="0" w:right="1134"/>
        <w:rPr>
          <w:rStyle w:val="default"/>
          <w:rFonts w:cs="FrankRuehl" w:hint="cs"/>
          <w:rtl/>
        </w:rPr>
      </w:pPr>
      <w:r>
        <w:rPr>
          <w:rStyle w:val="default"/>
          <w:rFonts w:cs="FrankRuehl" w:hint="cs"/>
          <w:rtl/>
        </w:rPr>
        <w:tab/>
        <w:t xml:space="preserve">"חוק מע"מ" </w:t>
      </w:r>
      <w:r>
        <w:rPr>
          <w:rStyle w:val="default"/>
          <w:rFonts w:cs="FrankRuehl"/>
          <w:rtl/>
        </w:rPr>
        <w:t>–</w:t>
      </w:r>
      <w:r>
        <w:rPr>
          <w:rStyle w:val="default"/>
          <w:rFonts w:cs="FrankRuehl" w:hint="cs"/>
          <w:rtl/>
        </w:rPr>
        <w:t xml:space="preserve"> חוק מס ערך מוסף, התשל"ו-1975;</w:t>
      </w:r>
    </w:p>
    <w:p w14:paraId="1994CFFF" w14:textId="77777777" w:rsidR="00152E3C" w:rsidRDefault="00152E3C" w:rsidP="00152E3C">
      <w:pPr>
        <w:pStyle w:val="P00"/>
        <w:spacing w:before="72"/>
        <w:ind w:left="0" w:right="1134"/>
        <w:rPr>
          <w:rStyle w:val="default"/>
          <w:rFonts w:cs="FrankRuehl" w:hint="cs"/>
          <w:rtl/>
        </w:rPr>
      </w:pPr>
      <w:r>
        <w:rPr>
          <w:rStyle w:val="default"/>
          <w:rFonts w:cs="FrankRuehl" w:hint="cs"/>
          <w:rtl/>
        </w:rPr>
        <w:tab/>
        <w:t xml:space="preserve">"מחזור עסקאות" </w:t>
      </w:r>
      <w:r>
        <w:rPr>
          <w:rStyle w:val="default"/>
          <w:rFonts w:cs="FrankRuehl"/>
          <w:rtl/>
        </w:rPr>
        <w:t>–</w:t>
      </w:r>
    </w:p>
    <w:p w14:paraId="7CFC299F" w14:textId="77777777" w:rsidR="00152E3C" w:rsidRDefault="00152E3C" w:rsidP="00152E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תאגיד שאינו מלכ"ר </w:t>
      </w:r>
      <w:r>
        <w:rPr>
          <w:rStyle w:val="default"/>
          <w:rFonts w:cs="FrankRuehl"/>
          <w:rtl/>
        </w:rPr>
        <w:t>–</w:t>
      </w:r>
      <w:r>
        <w:rPr>
          <w:rStyle w:val="default"/>
          <w:rFonts w:cs="FrankRuehl" w:hint="cs"/>
          <w:rtl/>
        </w:rPr>
        <w:t xml:space="preserve"> מחזור עסקאות של עוסק כהגדרתו בחוק מע"מ;</w:t>
      </w:r>
    </w:p>
    <w:p w14:paraId="70D5BD9B" w14:textId="77777777" w:rsidR="00152E3C" w:rsidRDefault="00152E3C" w:rsidP="00152E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מלכ"ר </w:t>
      </w:r>
      <w:r>
        <w:rPr>
          <w:rStyle w:val="default"/>
          <w:rFonts w:cs="FrankRuehl"/>
          <w:rtl/>
        </w:rPr>
        <w:t>–</w:t>
      </w:r>
      <w:r>
        <w:rPr>
          <w:rStyle w:val="default"/>
          <w:rFonts w:cs="FrankRuehl" w:hint="cs"/>
          <w:rtl/>
        </w:rPr>
        <w:t xml:space="preserve"> כהגדרתה מחזור בתוספת השנייה לחוק העמותות, התש"ם-1980;</w:t>
      </w:r>
    </w:p>
    <w:p w14:paraId="52D7E575" w14:textId="77777777" w:rsidR="00152E3C" w:rsidRDefault="00152E3C" w:rsidP="00152E3C">
      <w:pPr>
        <w:pStyle w:val="P00"/>
        <w:spacing w:before="72"/>
        <w:ind w:left="0" w:right="1134"/>
        <w:rPr>
          <w:rStyle w:val="default"/>
          <w:rFonts w:cs="FrankRuehl" w:hint="cs"/>
          <w:rtl/>
        </w:rPr>
      </w:pPr>
      <w:r>
        <w:rPr>
          <w:rStyle w:val="default"/>
          <w:rFonts w:cs="FrankRuehl" w:hint="cs"/>
          <w:rtl/>
        </w:rPr>
        <w:tab/>
        <w:t xml:space="preserve">"מלכ"ר" </w:t>
      </w:r>
      <w:r>
        <w:rPr>
          <w:rStyle w:val="default"/>
          <w:rFonts w:cs="FrankRuehl"/>
          <w:rtl/>
        </w:rPr>
        <w:t>–</w:t>
      </w:r>
      <w:r>
        <w:rPr>
          <w:rStyle w:val="default"/>
          <w:rFonts w:cs="FrankRuehl" w:hint="cs"/>
          <w:rtl/>
        </w:rPr>
        <w:t xml:space="preserve"> כהגדרתו בחוק מע"מ;</w:t>
      </w:r>
    </w:p>
    <w:p w14:paraId="3F8AA6F9" w14:textId="77777777" w:rsidR="00152E3C" w:rsidRDefault="00152E3C" w:rsidP="00152E3C">
      <w:pPr>
        <w:pStyle w:val="P00"/>
        <w:spacing w:before="72"/>
        <w:ind w:left="0" w:right="1134"/>
        <w:rPr>
          <w:rStyle w:val="default"/>
          <w:rFonts w:cs="FrankRuehl"/>
          <w:rtl/>
        </w:rPr>
      </w:pPr>
      <w:r>
        <w:rPr>
          <w:rStyle w:val="default"/>
          <w:rFonts w:cs="FrankRuehl" w:hint="cs"/>
          <w:rtl/>
        </w:rPr>
        <w:tab/>
        <w:t xml:space="preserve">"מפר" </w:t>
      </w:r>
      <w:r>
        <w:rPr>
          <w:rStyle w:val="default"/>
          <w:rFonts w:cs="FrankRuehl"/>
          <w:rtl/>
        </w:rPr>
        <w:t>–</w:t>
      </w:r>
      <w:r>
        <w:rPr>
          <w:rStyle w:val="default"/>
          <w:rFonts w:cs="FrankRuehl" w:hint="cs"/>
          <w:rtl/>
        </w:rPr>
        <w:t xml:space="preserve"> כמשמעותו בסעיף 16 לחוק.</w:t>
      </w:r>
    </w:p>
    <w:p w14:paraId="453486C2" w14:textId="77777777" w:rsidR="00260E4F" w:rsidRDefault="00260E4F" w:rsidP="00152E3C">
      <w:pPr>
        <w:pStyle w:val="P00"/>
        <w:spacing w:before="72"/>
        <w:ind w:left="0" w:right="1134"/>
        <w:rPr>
          <w:rStyle w:val="default"/>
          <w:rFonts w:cs="FrankRuehl" w:hint="cs"/>
          <w:rtl/>
        </w:rPr>
      </w:pPr>
      <w:bookmarkStart w:id="1" w:name="Seif2"/>
      <w:bookmarkEnd w:id="1"/>
      <w:r>
        <w:rPr>
          <w:rFonts w:cs="Miriam"/>
          <w:lang w:val="he-IL"/>
        </w:rPr>
        <w:pict w14:anchorId="09F1254D">
          <v:rect id="_x0000_s1170" style="position:absolute;left:0;text-align:left;margin-left:464.35pt;margin-top:7.1pt;width:75.05pt;height:16.6pt;z-index:251656192" o:allowincell="f" filled="f" stroked="f" strokecolor="lime" strokeweight=".25pt">
            <v:textbox style="mso-next-textbox:#_x0000_s1170" inset="0,0,0,0">
              <w:txbxContent>
                <w:p w14:paraId="35831E24" w14:textId="77777777" w:rsidR="00DB714B" w:rsidRDefault="00152E3C">
                  <w:pPr>
                    <w:pStyle w:val="a7"/>
                    <w:rPr>
                      <w:rFonts w:hint="cs"/>
                      <w:noProof/>
                      <w:rtl/>
                    </w:rPr>
                  </w:pPr>
                  <w:r>
                    <w:rPr>
                      <w:rFonts w:hint="cs"/>
                      <w:rtl/>
                    </w:rPr>
                    <w:t>הפחתת סכומי העיצום הכספי</w:t>
                  </w:r>
                </w:p>
              </w:txbxContent>
            </v:textbox>
            <w10:anchorlock/>
          </v:rect>
        </w:pict>
      </w:r>
      <w:r>
        <w:rPr>
          <w:rStyle w:val="big-number"/>
          <w:rFonts w:cs="Miriam" w:hint="cs"/>
          <w:rtl/>
        </w:rPr>
        <w:t>2</w:t>
      </w:r>
      <w:r>
        <w:rPr>
          <w:rStyle w:val="default"/>
          <w:rFonts w:cs="FrankRuehl"/>
          <w:rtl/>
        </w:rPr>
        <w:t>.</w:t>
      </w:r>
      <w:r>
        <w:rPr>
          <w:rStyle w:val="default"/>
          <w:rFonts w:cs="FrankRuehl"/>
          <w:rtl/>
        </w:rPr>
        <w:tab/>
      </w:r>
      <w:r w:rsidR="00152E3C">
        <w:rPr>
          <w:rStyle w:val="default"/>
          <w:rFonts w:cs="FrankRuehl" w:hint="cs"/>
          <w:rtl/>
        </w:rPr>
        <w:t>(א)</w:t>
      </w:r>
      <w:r w:rsidR="00152E3C">
        <w:rPr>
          <w:rStyle w:val="default"/>
          <w:rFonts w:cs="FrankRuehl" w:hint="cs"/>
          <w:rtl/>
        </w:rPr>
        <w:tab/>
        <w:t>הרשם רשאי להפחית למפר את סכום העיצום הכספי, בשיעורים שלהלן, אם התקיימה אחת או יותר מנסיבות אלה:</w:t>
      </w:r>
    </w:p>
    <w:p w14:paraId="0B229453" w14:textId="77777777" w:rsidR="00152E3C" w:rsidRDefault="00152E3C" w:rsidP="00152E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המפר לא הפר הוראה מהוראות החוק או לפיו בחמש השנים שקדמו להפרה </w:t>
      </w:r>
      <w:r>
        <w:rPr>
          <w:rStyle w:val="default"/>
          <w:rFonts w:cs="FrankRuehl"/>
          <w:rtl/>
        </w:rPr>
        <w:t>–</w:t>
      </w:r>
      <w:r>
        <w:rPr>
          <w:rStyle w:val="default"/>
          <w:rFonts w:cs="FrankRuehl" w:hint="cs"/>
          <w:rtl/>
        </w:rPr>
        <w:t xml:space="preserve"> 20 אחוזים;</w:t>
      </w:r>
    </w:p>
    <w:p w14:paraId="48A0F172" w14:textId="77777777" w:rsidR="00152E3C" w:rsidRDefault="00152E3C" w:rsidP="00152E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המפר הפר הוראה מהוראות החוק או לפיו בחמש השנים שקדמו להפרה, ואולם בשנתיים שקדמו להפרה לא הפר את ההוראה שבשלה הוטל העיצום ולא הפר הוראה אחרת יותר מפעם אחת </w:t>
      </w:r>
      <w:r>
        <w:rPr>
          <w:rStyle w:val="default"/>
          <w:rFonts w:cs="FrankRuehl"/>
          <w:rtl/>
        </w:rPr>
        <w:t>–</w:t>
      </w:r>
      <w:r>
        <w:rPr>
          <w:rStyle w:val="default"/>
          <w:rFonts w:cs="FrankRuehl" w:hint="cs"/>
          <w:rtl/>
        </w:rPr>
        <w:t xml:space="preserve"> 10 אחוזים;</w:t>
      </w:r>
    </w:p>
    <w:p w14:paraId="615B6C37" w14:textId="77777777" w:rsidR="00152E3C" w:rsidRDefault="00152E3C" w:rsidP="00152E3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המפר הפסיק את ההפרה מיוזמתו ודיווח עליה לרשם </w:t>
      </w:r>
      <w:r>
        <w:rPr>
          <w:rStyle w:val="default"/>
          <w:rFonts w:cs="FrankRuehl"/>
          <w:rtl/>
        </w:rPr>
        <w:t>–</w:t>
      </w:r>
      <w:r>
        <w:rPr>
          <w:rStyle w:val="default"/>
          <w:rFonts w:cs="FrankRuehl" w:hint="cs"/>
          <w:rtl/>
        </w:rPr>
        <w:t xml:space="preserve"> 30 אחוזים;</w:t>
      </w:r>
    </w:p>
    <w:p w14:paraId="0B5376F7" w14:textId="77777777" w:rsidR="00152E3C" w:rsidRDefault="00152E3C" w:rsidP="00152E3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המפר נקט פעולות למניעת הישנות ההפרה, להנחת דעתו של הרשם </w:t>
      </w:r>
      <w:r>
        <w:rPr>
          <w:rStyle w:val="default"/>
          <w:rFonts w:cs="FrankRuehl"/>
          <w:rtl/>
        </w:rPr>
        <w:t>–</w:t>
      </w:r>
      <w:r>
        <w:rPr>
          <w:rStyle w:val="default"/>
          <w:rFonts w:cs="FrankRuehl" w:hint="cs"/>
          <w:rtl/>
        </w:rPr>
        <w:t xml:space="preserve"> 20 אחוזים;</w:t>
      </w:r>
    </w:p>
    <w:p w14:paraId="1C07944F" w14:textId="77777777" w:rsidR="00152E3C" w:rsidRDefault="00152E3C" w:rsidP="00152E3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המפר הוא יחיד והרשם שוכנע כי ההפרה נגרמה בשל נסיבות אישיות קשות המצדיקות הפחתה של העיצום הכספי או שהתקיימו נסיבות אישיות קשות המצדיקות שלא למצות את הדין עם המפר </w:t>
      </w:r>
      <w:r>
        <w:rPr>
          <w:rStyle w:val="default"/>
          <w:rFonts w:cs="FrankRuehl"/>
          <w:rtl/>
        </w:rPr>
        <w:t>–</w:t>
      </w:r>
      <w:r>
        <w:rPr>
          <w:rStyle w:val="default"/>
          <w:rFonts w:cs="FrankRuehl" w:hint="cs"/>
          <w:rtl/>
        </w:rPr>
        <w:t xml:space="preserve"> 15 אחוזים.</w:t>
      </w:r>
    </w:p>
    <w:p w14:paraId="69D1657A" w14:textId="77777777" w:rsidR="00152E3C" w:rsidRDefault="00152E3C" w:rsidP="00152E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התקיימו לגבי מפר כמה נסיבות כאמור בתקנת משנה (א), רשאי הרשם להפחית למפר מסכום העיצום הכספי את השיעורים המנויים לצד אותן נסיבות במצטבר, ובלבד ששיעור ההפחתה המצטבר לא יעלה על 50 אחוזים מסכום העיצום הכספי הקבוע בשל אותה הפרה.</w:t>
      </w:r>
    </w:p>
    <w:p w14:paraId="212EDDCD" w14:textId="77777777" w:rsidR="00260E4F" w:rsidRDefault="00260E4F" w:rsidP="00152E3C">
      <w:pPr>
        <w:pStyle w:val="P00"/>
        <w:spacing w:before="72"/>
        <w:ind w:left="0" w:right="1134"/>
        <w:rPr>
          <w:rStyle w:val="default"/>
          <w:rFonts w:cs="FrankRuehl" w:hint="cs"/>
          <w:rtl/>
        </w:rPr>
      </w:pPr>
      <w:bookmarkStart w:id="2" w:name="Seif5"/>
      <w:bookmarkEnd w:id="2"/>
      <w:r>
        <w:rPr>
          <w:rFonts w:cs="Miriam"/>
          <w:lang w:val="he-IL"/>
        </w:rPr>
        <w:pict w14:anchorId="0330BD5D">
          <v:rect id="_x0000_s1198" style="position:absolute;left:0;text-align:left;margin-left:464.35pt;margin-top:7.1pt;width:75.05pt;height:32.05pt;z-index:251659264" o:allowincell="f" filled="f" stroked="f" strokecolor="lime" strokeweight=".25pt">
            <v:textbox style="mso-next-textbox:#_x0000_s1198" inset="0,0,0,0">
              <w:txbxContent>
                <w:p w14:paraId="57E9FEBC" w14:textId="77777777" w:rsidR="00DB714B" w:rsidRDefault="00152E3C">
                  <w:pPr>
                    <w:pStyle w:val="a7"/>
                    <w:rPr>
                      <w:rFonts w:hint="cs"/>
                      <w:rtl/>
                    </w:rPr>
                  </w:pPr>
                  <w:r>
                    <w:rPr>
                      <w:rFonts w:hint="cs"/>
                      <w:rtl/>
                    </w:rPr>
                    <w:t>הפחתה בשל התחשבות במחזור עסקאות</w:t>
                  </w:r>
                </w:p>
              </w:txbxContent>
            </v:textbox>
            <w10:anchorlock/>
          </v:rect>
        </w:pict>
      </w:r>
      <w:r w:rsidR="00892DCF">
        <w:rPr>
          <w:rStyle w:val="big-number"/>
          <w:rFonts w:cs="Miriam" w:hint="cs"/>
          <w:rtl/>
        </w:rPr>
        <w:t>3</w:t>
      </w:r>
      <w:r>
        <w:rPr>
          <w:rStyle w:val="default"/>
          <w:rFonts w:cs="FrankRuehl"/>
          <w:rtl/>
        </w:rPr>
        <w:t>.</w:t>
      </w:r>
      <w:r>
        <w:rPr>
          <w:rStyle w:val="default"/>
          <w:rFonts w:cs="FrankRuehl"/>
          <w:rtl/>
        </w:rPr>
        <w:tab/>
      </w:r>
      <w:r w:rsidR="00C273A6">
        <w:rPr>
          <w:rStyle w:val="default"/>
          <w:rFonts w:cs="FrankRuehl" w:hint="cs"/>
          <w:rtl/>
        </w:rPr>
        <w:t>(א)</w:t>
      </w:r>
      <w:r w:rsidR="00C273A6">
        <w:rPr>
          <w:rStyle w:val="default"/>
          <w:rFonts w:cs="FrankRuehl" w:hint="cs"/>
          <w:rtl/>
        </w:rPr>
        <w:tab/>
      </w:r>
      <w:r w:rsidR="00152E3C">
        <w:rPr>
          <w:rStyle w:val="default"/>
          <w:rFonts w:cs="FrankRuehl" w:hint="cs"/>
          <w:rtl/>
        </w:rPr>
        <w:t>הרשם רשאי להפחית למפר שהוא אחד מן המפורטים להלן את סכום העיצום הכספי, כך שהעיצום הכספי יהיה כמפורט להלן, לפי העניין:</w:t>
      </w:r>
    </w:p>
    <w:p w14:paraId="1DFFCB34" w14:textId="77777777" w:rsidR="00152E3C" w:rsidRDefault="00152E3C" w:rsidP="00152E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לתאגיד שאינו מלכ"ר, ואשר מחזור העסקאות שלו אינו עולה על 10 מיליון שקלים חדשים </w:t>
      </w:r>
      <w:r>
        <w:rPr>
          <w:rStyle w:val="default"/>
          <w:rFonts w:cs="FrankRuehl"/>
          <w:rtl/>
        </w:rPr>
        <w:t>–</w:t>
      </w:r>
      <w:r>
        <w:rPr>
          <w:rStyle w:val="default"/>
          <w:rFonts w:cs="FrankRuehl" w:hint="cs"/>
          <w:rtl/>
        </w:rPr>
        <w:t xml:space="preserve"> 10 אחוזים ממחזור העסקאות של המפר;</w:t>
      </w:r>
    </w:p>
    <w:p w14:paraId="79235989" w14:textId="77777777" w:rsidR="00152E3C" w:rsidRDefault="00152E3C" w:rsidP="00152E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למלכ"ר שמחזור העסקאות שלו אינו עולה על 10 מיליון שקלים חדשים </w:t>
      </w:r>
      <w:r>
        <w:rPr>
          <w:rStyle w:val="default"/>
          <w:rFonts w:cs="FrankRuehl"/>
          <w:rtl/>
        </w:rPr>
        <w:t>–</w:t>
      </w:r>
      <w:r>
        <w:rPr>
          <w:rStyle w:val="default"/>
          <w:rFonts w:cs="FrankRuehl" w:hint="cs"/>
          <w:rtl/>
        </w:rPr>
        <w:t xml:space="preserve"> 5 אחוזים ממחזור העסקאות של המפר;</w:t>
      </w:r>
    </w:p>
    <w:p w14:paraId="5C2EE031" w14:textId="77777777" w:rsidR="00152E3C" w:rsidRDefault="00152E3C" w:rsidP="00152E3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לאדם אחר </w:t>
      </w:r>
      <w:r>
        <w:rPr>
          <w:rStyle w:val="default"/>
          <w:rFonts w:cs="FrankRuehl"/>
          <w:rtl/>
        </w:rPr>
        <w:t>–</w:t>
      </w:r>
      <w:r>
        <w:rPr>
          <w:rStyle w:val="default"/>
          <w:rFonts w:cs="FrankRuehl" w:hint="cs"/>
          <w:rtl/>
        </w:rPr>
        <w:t xml:space="preserve"> 5 אחוזים מההכנסה בשנת הכספים שקדמה למועד מסירת </w:t>
      </w:r>
      <w:r>
        <w:rPr>
          <w:rStyle w:val="default"/>
          <w:rFonts w:cs="FrankRuehl" w:hint="cs"/>
          <w:rtl/>
        </w:rPr>
        <w:lastRenderedPageBreak/>
        <w:t>ההודעה על הכוונה להטיל עליו עיצום כספי.</w:t>
      </w:r>
    </w:p>
    <w:p w14:paraId="0D5BA8B9" w14:textId="77777777" w:rsidR="00152E3C" w:rsidRDefault="00152E3C" w:rsidP="00152E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בין אם הופחת סכום העיצום הכספי לפי תקנה 2 ובין אם לאו.</w:t>
      </w:r>
    </w:p>
    <w:p w14:paraId="10646A6C" w14:textId="77777777" w:rsidR="00106339" w:rsidRDefault="00260E4F" w:rsidP="00152E3C">
      <w:pPr>
        <w:pStyle w:val="P00"/>
        <w:spacing w:before="72"/>
        <w:ind w:left="0" w:right="1134"/>
        <w:rPr>
          <w:rStyle w:val="default"/>
          <w:rFonts w:cs="FrankRuehl" w:hint="cs"/>
          <w:rtl/>
        </w:rPr>
      </w:pPr>
      <w:bookmarkStart w:id="3" w:name="Seif3"/>
      <w:bookmarkEnd w:id="3"/>
      <w:r>
        <w:rPr>
          <w:rFonts w:cs="Miriam"/>
          <w:lang w:val="he-IL"/>
        </w:rPr>
        <w:pict w14:anchorId="7FDD49B6">
          <v:rect id="_x0000_s1177" style="position:absolute;left:0;text-align:left;margin-left:464.35pt;margin-top:7.1pt;width:75.05pt;height:19.9pt;z-index:251657216" o:allowincell="f" filled="f" stroked="f" strokecolor="lime" strokeweight=".25pt">
            <v:textbox style="mso-next-textbox:#_x0000_s1177" inset="0,0,0,0">
              <w:txbxContent>
                <w:p w14:paraId="728C4A60" w14:textId="77777777" w:rsidR="00DB714B" w:rsidRDefault="00152E3C">
                  <w:pPr>
                    <w:spacing w:line="160" w:lineRule="exact"/>
                    <w:rPr>
                      <w:rFonts w:cs="Miriam" w:hint="cs"/>
                      <w:sz w:val="18"/>
                      <w:szCs w:val="18"/>
                      <w:rtl/>
                    </w:rPr>
                  </w:pPr>
                  <w:r>
                    <w:rPr>
                      <w:rFonts w:cs="Miriam" w:hint="cs"/>
                      <w:sz w:val="18"/>
                      <w:szCs w:val="18"/>
                      <w:rtl/>
                    </w:rPr>
                    <w:t>מסמכים מצורפים לבקשה</w:t>
                  </w:r>
                </w:p>
              </w:txbxContent>
            </v:textbox>
            <w10:anchorlock/>
          </v:rect>
        </w:pict>
      </w:r>
      <w:r w:rsidR="00892DCF">
        <w:rPr>
          <w:rStyle w:val="big-number"/>
          <w:rFonts w:cs="Miriam" w:hint="cs"/>
          <w:rtl/>
        </w:rPr>
        <w:t>4</w:t>
      </w:r>
      <w:r>
        <w:rPr>
          <w:rStyle w:val="default"/>
          <w:rFonts w:cs="FrankRuehl"/>
          <w:rtl/>
        </w:rPr>
        <w:t>.</w:t>
      </w:r>
      <w:r>
        <w:rPr>
          <w:rStyle w:val="default"/>
          <w:rFonts w:cs="FrankRuehl"/>
          <w:rtl/>
        </w:rPr>
        <w:tab/>
      </w:r>
      <w:r w:rsidR="00152E3C">
        <w:rPr>
          <w:rStyle w:val="default"/>
          <w:rFonts w:cs="FrankRuehl" w:hint="cs"/>
          <w:rtl/>
        </w:rPr>
        <w:t>(א)</w:t>
      </w:r>
      <w:r w:rsidR="00152E3C">
        <w:rPr>
          <w:rStyle w:val="default"/>
          <w:rFonts w:cs="FrankRuehl" w:hint="cs"/>
          <w:rtl/>
        </w:rPr>
        <w:tab/>
        <w:t>מפר המבקש הפחתה של סכום עיצום כספי לפי הוראות תקנות אלה, יגיש לרשם, בתוך 30 ימים ממועד מסירת ההודעה על הכוונה להטיל עליו עיצום כספי, מסמכים המאמתים את העובדות שעל יסודן מתבקשת ההפחתה כאמור</w:t>
      </w:r>
      <w:r w:rsidR="008F32B8">
        <w:rPr>
          <w:rStyle w:val="default"/>
          <w:rFonts w:cs="FrankRuehl" w:hint="cs"/>
          <w:rtl/>
        </w:rPr>
        <w:t>.</w:t>
      </w:r>
    </w:p>
    <w:p w14:paraId="775360F6" w14:textId="77777777" w:rsidR="00152E3C" w:rsidRDefault="00152E3C" w:rsidP="00152E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מהוראות תקנת משנה (א), מפר המבקש הפחתה לפי הוראות תקנה 3 יצרף לבקשתו אישור מאת רואה חשבון, לעניין גובה מחזור העסקאות או ההכנסה של המפר, לפי העניין, ולעניין תקנה 3(א)(2) </w:t>
      </w:r>
      <w:r>
        <w:rPr>
          <w:rStyle w:val="default"/>
          <w:rFonts w:cs="FrankRuehl"/>
          <w:rtl/>
        </w:rPr>
        <w:t>–</w:t>
      </w:r>
      <w:r>
        <w:rPr>
          <w:rStyle w:val="default"/>
          <w:rFonts w:cs="FrankRuehl" w:hint="cs"/>
          <w:rtl/>
        </w:rPr>
        <w:t xml:space="preserve"> גם תעודה מאת מנהל, כהגדרתו בחוק מע"מ המעידה על רישומו כמלכ"ר לפי החוק האמור.</w:t>
      </w:r>
    </w:p>
    <w:p w14:paraId="54BBB241" w14:textId="77777777" w:rsidR="00260E4F" w:rsidRDefault="00260E4F" w:rsidP="00152E3C">
      <w:pPr>
        <w:pStyle w:val="P00"/>
        <w:spacing w:before="72"/>
        <w:ind w:left="0" w:right="1134"/>
        <w:rPr>
          <w:rStyle w:val="default"/>
          <w:rFonts w:cs="FrankRuehl" w:hint="cs"/>
          <w:rtl/>
        </w:rPr>
      </w:pPr>
      <w:bookmarkStart w:id="4" w:name="Seif4"/>
      <w:bookmarkEnd w:id="4"/>
      <w:r>
        <w:rPr>
          <w:rFonts w:cs="Miriam"/>
          <w:lang w:val="he-IL"/>
        </w:rPr>
        <w:pict w14:anchorId="6761BC69">
          <v:rect id="_x0000_s1186" style="position:absolute;left:0;text-align:left;margin-left:464.35pt;margin-top:7.1pt;width:75.05pt;height:17.2pt;z-index:251658240" o:allowincell="f" filled="f" stroked="f" strokecolor="lime" strokeweight=".25pt">
            <v:textbox style="mso-next-textbox:#_x0000_s1186" inset="0,0,0,0">
              <w:txbxContent>
                <w:p w14:paraId="506CCFA4" w14:textId="77777777" w:rsidR="00DB714B" w:rsidRDefault="00152E3C">
                  <w:pPr>
                    <w:pStyle w:val="a7"/>
                    <w:rPr>
                      <w:rFonts w:hint="cs"/>
                      <w:noProof/>
                      <w:rtl/>
                    </w:rPr>
                  </w:pPr>
                  <w:r>
                    <w:rPr>
                      <w:rFonts w:hint="cs"/>
                      <w:rtl/>
                    </w:rPr>
                    <w:t>תנאי מקדמי להפחתה בהפרות מסוימות</w:t>
                  </w:r>
                </w:p>
              </w:txbxContent>
            </v:textbox>
            <w10:anchorlock/>
          </v:rect>
        </w:pict>
      </w:r>
      <w:r w:rsidR="00892DCF">
        <w:rPr>
          <w:rStyle w:val="big-number"/>
          <w:rFonts w:cs="Miriam" w:hint="cs"/>
          <w:rtl/>
        </w:rPr>
        <w:t>5</w:t>
      </w:r>
      <w:r>
        <w:rPr>
          <w:rStyle w:val="default"/>
          <w:rFonts w:cs="FrankRuehl"/>
          <w:rtl/>
        </w:rPr>
        <w:t>.</w:t>
      </w:r>
      <w:r>
        <w:rPr>
          <w:rStyle w:val="default"/>
          <w:rFonts w:cs="FrankRuehl"/>
          <w:rtl/>
        </w:rPr>
        <w:tab/>
      </w:r>
      <w:r w:rsidR="00152E3C">
        <w:rPr>
          <w:rStyle w:val="default"/>
          <w:rFonts w:cs="FrankRuehl" w:hint="cs"/>
          <w:rtl/>
        </w:rPr>
        <w:t>היתה ההפרה שבשלה הוטל העיצום, הפרה לפי הוראות סעיף 16(1) עד (6) לחוק, לא יורה הרשם על הפחתת סכום העיצום הכספי לפי תקנות אלה, אלא לאחר שהמפר קיים את חובותיו לפי הוראות הסעיפים המנויים בפסקאות האמורות.</w:t>
      </w:r>
    </w:p>
    <w:p w14:paraId="3FB24F3D" w14:textId="77777777" w:rsidR="00292321" w:rsidRDefault="00292321" w:rsidP="00152E3C">
      <w:pPr>
        <w:pStyle w:val="P00"/>
        <w:spacing w:before="72"/>
        <w:ind w:left="0" w:right="1134"/>
        <w:rPr>
          <w:rStyle w:val="default"/>
          <w:rFonts w:cs="FrankRuehl" w:hint="cs"/>
          <w:rtl/>
        </w:rPr>
      </w:pPr>
      <w:bookmarkStart w:id="5" w:name="Seif6"/>
      <w:bookmarkEnd w:id="5"/>
      <w:r>
        <w:rPr>
          <w:rFonts w:cs="Miriam"/>
          <w:lang w:val="he-IL"/>
        </w:rPr>
        <w:pict w14:anchorId="2B85EB47">
          <v:rect id="_x0000_s1222" style="position:absolute;left:0;text-align:left;margin-left:464.35pt;margin-top:7.1pt;width:75.05pt;height:25.25pt;z-index:251660288" o:allowincell="f" filled="f" stroked="f" strokecolor="lime" strokeweight=".25pt">
            <v:textbox style="mso-next-textbox:#_x0000_s1222" inset="0,0,0,0">
              <w:txbxContent>
                <w:p w14:paraId="7D250706" w14:textId="77777777" w:rsidR="00DB714B" w:rsidRDefault="00152E3C" w:rsidP="00292321">
                  <w:pPr>
                    <w:pStyle w:val="a7"/>
                    <w:rPr>
                      <w:rFonts w:hint="cs"/>
                      <w:noProof/>
                      <w:rtl/>
                    </w:rPr>
                  </w:pPr>
                  <w:r>
                    <w:rPr>
                      <w:rFonts w:hint="cs"/>
                      <w:rtl/>
                    </w:rPr>
                    <w:t>דיווח לוועדת הפנים והגנת הסביבה של הכנסת</w:t>
                  </w:r>
                </w:p>
              </w:txbxContent>
            </v:textbox>
            <w10:anchorlock/>
          </v:rect>
        </w:pict>
      </w:r>
      <w:r w:rsidR="0063133B">
        <w:rPr>
          <w:rStyle w:val="big-number"/>
          <w:rFonts w:cs="Miriam" w:hint="cs"/>
          <w:rtl/>
        </w:rPr>
        <w:t>6</w:t>
      </w:r>
      <w:r>
        <w:rPr>
          <w:rStyle w:val="default"/>
          <w:rFonts w:cs="FrankRuehl"/>
          <w:rtl/>
        </w:rPr>
        <w:t>.</w:t>
      </w:r>
      <w:r>
        <w:rPr>
          <w:rStyle w:val="default"/>
          <w:rFonts w:cs="FrankRuehl"/>
          <w:rtl/>
        </w:rPr>
        <w:tab/>
      </w:r>
      <w:r w:rsidR="00152E3C">
        <w:rPr>
          <w:rStyle w:val="default"/>
          <w:rFonts w:cs="FrankRuehl" w:hint="cs"/>
          <w:rtl/>
        </w:rPr>
        <w:t>הרשם יגיש אחת לשנה לוועדת הפנים והגנת הסביבה של הכנסת דין וחשבון על השימוש בסמכויות הנתונות לו בתקנות אלה; דיווח ראשון לפי תקנה זו יוגש לא יאוחר מיום ט' בטבת התשע"ה (31 בדצמבר 2014)</w:t>
      </w:r>
      <w:r w:rsidR="00897233">
        <w:rPr>
          <w:rStyle w:val="default"/>
          <w:rFonts w:cs="FrankRuehl" w:hint="cs"/>
          <w:rtl/>
        </w:rPr>
        <w:t>.</w:t>
      </w:r>
    </w:p>
    <w:p w14:paraId="3696B904" w14:textId="77777777" w:rsidR="00152E3C" w:rsidRPr="00152E3C" w:rsidRDefault="00152E3C" w:rsidP="00152E3C">
      <w:pPr>
        <w:pStyle w:val="P00"/>
        <w:spacing w:before="72"/>
        <w:ind w:left="0" w:right="1134"/>
        <w:rPr>
          <w:rStyle w:val="default"/>
          <w:rFonts w:cs="FrankRuehl" w:hint="cs"/>
          <w:rtl/>
        </w:rPr>
      </w:pPr>
    </w:p>
    <w:p w14:paraId="4F44B0D5" w14:textId="77777777" w:rsidR="00152E3C" w:rsidRPr="00152E3C" w:rsidRDefault="00152E3C" w:rsidP="00152E3C">
      <w:pPr>
        <w:pStyle w:val="P00"/>
        <w:spacing w:before="72"/>
        <w:ind w:left="0" w:right="1134"/>
        <w:rPr>
          <w:rStyle w:val="default"/>
          <w:rFonts w:cs="FrankRuehl" w:hint="cs"/>
          <w:rtl/>
        </w:rPr>
      </w:pPr>
    </w:p>
    <w:p w14:paraId="1940C82D" w14:textId="77777777" w:rsidR="00791538" w:rsidRPr="00A26A98" w:rsidRDefault="00897233" w:rsidP="0089723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י"ט בחשוון התשע"ד (23 באוקטובר 2013)</w:t>
      </w:r>
      <w:r w:rsidR="00791538">
        <w:rPr>
          <w:rFonts w:cs="FrankRuehl" w:hint="cs"/>
          <w:rtl/>
        </w:rPr>
        <w:tab/>
      </w:r>
      <w:r>
        <w:rPr>
          <w:rFonts w:cs="FrankRuehl" w:hint="cs"/>
          <w:rtl/>
        </w:rPr>
        <w:t>עמיר פרץ</w:t>
      </w:r>
    </w:p>
    <w:p w14:paraId="654C364B" w14:textId="77777777" w:rsidR="00791538" w:rsidRDefault="00791538" w:rsidP="00897233">
      <w:pPr>
        <w:pStyle w:val="sig-0"/>
        <w:tabs>
          <w:tab w:val="clear" w:pos="4820"/>
          <w:tab w:val="center" w:pos="5670"/>
        </w:tabs>
        <w:spacing w:before="0"/>
        <w:ind w:left="0" w:right="1134"/>
        <w:rPr>
          <w:rFonts w:cs="FrankRuehl" w:hint="cs"/>
          <w:sz w:val="22"/>
          <w:szCs w:val="22"/>
          <w:rtl/>
        </w:rPr>
      </w:pPr>
      <w:r>
        <w:rPr>
          <w:rFonts w:cs="FrankRuehl" w:hint="cs"/>
          <w:sz w:val="22"/>
          <w:szCs w:val="22"/>
          <w:rtl/>
        </w:rPr>
        <w:tab/>
        <w:t>השר להגנת הסביבה</w:t>
      </w:r>
    </w:p>
    <w:p w14:paraId="37CBD42E" w14:textId="77777777" w:rsidR="00152E3C" w:rsidRPr="00FB754D" w:rsidRDefault="00152E3C" w:rsidP="00FB754D">
      <w:pPr>
        <w:pStyle w:val="P00"/>
        <w:spacing w:before="72"/>
        <w:ind w:left="0" w:right="1134"/>
        <w:rPr>
          <w:rStyle w:val="default"/>
          <w:rFonts w:cs="FrankRuehl" w:hint="cs"/>
          <w:rtl/>
        </w:rPr>
      </w:pPr>
    </w:p>
    <w:p w14:paraId="2197C8FF" w14:textId="77777777" w:rsidR="00260E4F" w:rsidRPr="00FB754D" w:rsidRDefault="00260E4F" w:rsidP="00FB754D">
      <w:pPr>
        <w:pStyle w:val="P00"/>
        <w:spacing w:before="72"/>
        <w:ind w:left="0" w:right="1134"/>
        <w:rPr>
          <w:rStyle w:val="default"/>
          <w:rFonts w:cs="FrankRuehl" w:hint="cs"/>
          <w:rtl/>
        </w:rPr>
      </w:pPr>
    </w:p>
    <w:p w14:paraId="5706A1C5" w14:textId="77777777" w:rsidR="00C3192B" w:rsidRDefault="00C3192B" w:rsidP="00FB754D">
      <w:pPr>
        <w:pStyle w:val="P00"/>
        <w:spacing w:before="72"/>
        <w:ind w:left="0" w:right="1134"/>
        <w:rPr>
          <w:rStyle w:val="default"/>
          <w:rFonts w:cs="FrankRuehl"/>
          <w:rtl/>
        </w:rPr>
      </w:pPr>
    </w:p>
    <w:p w14:paraId="3478F92E" w14:textId="77777777" w:rsidR="00C3192B" w:rsidRDefault="00C3192B" w:rsidP="00FB754D">
      <w:pPr>
        <w:pStyle w:val="P00"/>
        <w:spacing w:before="72"/>
        <w:ind w:left="0" w:right="1134"/>
        <w:rPr>
          <w:rStyle w:val="default"/>
          <w:rFonts w:cs="FrankRuehl"/>
          <w:rtl/>
        </w:rPr>
      </w:pPr>
    </w:p>
    <w:p w14:paraId="1FFC21CB" w14:textId="77777777" w:rsidR="00C3192B" w:rsidRDefault="00C3192B" w:rsidP="00C3192B">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26A9388C" w14:textId="77777777" w:rsidR="009E5BE1" w:rsidRPr="00C3192B" w:rsidRDefault="009E5BE1" w:rsidP="00C3192B">
      <w:pPr>
        <w:pStyle w:val="P00"/>
        <w:spacing w:before="72"/>
        <w:ind w:left="0" w:right="1134"/>
        <w:jc w:val="center"/>
        <w:rPr>
          <w:rStyle w:val="default"/>
          <w:rFonts w:cs="David"/>
          <w:color w:val="0000FF"/>
          <w:szCs w:val="24"/>
          <w:u w:val="single"/>
          <w:rtl/>
        </w:rPr>
      </w:pPr>
    </w:p>
    <w:sectPr w:rsidR="009E5BE1" w:rsidRPr="00C3192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3A3C7" w14:textId="77777777" w:rsidR="009E7CA4" w:rsidRDefault="009E7CA4" w:rsidP="00260E4F">
      <w:pPr>
        <w:pStyle w:val="big-header"/>
      </w:pPr>
      <w:r>
        <w:separator/>
      </w:r>
    </w:p>
  </w:endnote>
  <w:endnote w:type="continuationSeparator" w:id="0">
    <w:p w14:paraId="6086A76E" w14:textId="77777777" w:rsidR="009E7CA4" w:rsidRDefault="009E7CA4" w:rsidP="00260E4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C63E" w14:textId="77777777" w:rsidR="00DB714B" w:rsidRDefault="00DB71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78AF117" w14:textId="77777777" w:rsidR="00DB714B" w:rsidRDefault="00DB71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85004E1" w14:textId="77777777" w:rsidR="00DB714B" w:rsidRDefault="00DB71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Z:\000-law\yael\2011\11-04-04\tav\500_471.doc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E522" w14:textId="77777777" w:rsidR="00DB714B" w:rsidRDefault="00DB71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192B">
      <w:rPr>
        <w:rFonts w:hAnsi="FrankRuehl" w:cs="FrankRuehl"/>
        <w:noProof/>
        <w:sz w:val="24"/>
        <w:szCs w:val="24"/>
        <w:rtl/>
      </w:rPr>
      <w:t>3</w:t>
    </w:r>
    <w:r>
      <w:rPr>
        <w:rFonts w:hAnsi="FrankRuehl" w:cs="FrankRuehl"/>
        <w:sz w:val="24"/>
        <w:szCs w:val="24"/>
        <w:rtl/>
      </w:rPr>
      <w:fldChar w:fldCharType="end"/>
    </w:r>
  </w:p>
  <w:p w14:paraId="3CF90392" w14:textId="77777777" w:rsidR="00DB714B" w:rsidRDefault="00DB71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80AD70D" w14:textId="77777777" w:rsidR="00DB714B" w:rsidRDefault="00DB71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Z:\000-law\yael\2011\11-04-04\tav\500_471.doc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C22F" w14:textId="77777777" w:rsidR="009E7CA4" w:rsidRDefault="009E7CA4" w:rsidP="00384914">
      <w:pPr>
        <w:pStyle w:val="big-header"/>
        <w:spacing w:before="60" w:after="0"/>
        <w:ind w:left="0" w:right="1134"/>
        <w:jc w:val="both"/>
      </w:pPr>
      <w:r>
        <w:separator/>
      </w:r>
    </w:p>
  </w:footnote>
  <w:footnote w:type="continuationSeparator" w:id="0">
    <w:p w14:paraId="74025EAA" w14:textId="77777777" w:rsidR="009E7CA4" w:rsidRDefault="009E7CA4" w:rsidP="00384914">
      <w:pPr>
        <w:pStyle w:val="big-header"/>
        <w:spacing w:before="60" w:after="0"/>
        <w:ind w:left="0" w:right="1134"/>
        <w:jc w:val="both"/>
      </w:pPr>
      <w:r>
        <w:separator/>
      </w:r>
    </w:p>
  </w:footnote>
  <w:footnote w:id="1">
    <w:p w14:paraId="4E5FBAFC" w14:textId="77777777" w:rsidR="00D25361" w:rsidRPr="00ED75D0" w:rsidRDefault="00DB714B" w:rsidP="00D253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152E3C">
        <w:rPr>
          <w:rFonts w:cs="FrankRuehl" w:hint="cs"/>
          <w:rtl/>
        </w:rPr>
        <w:t>מו</w:t>
      </w:r>
      <w:r>
        <w:rPr>
          <w:rFonts w:cs="FrankRuehl" w:hint="cs"/>
          <w:rtl/>
        </w:rPr>
        <w:t xml:space="preserve"> </w:t>
      </w:r>
      <w:hyperlink r:id="rId1" w:history="1">
        <w:r w:rsidR="00152E3C" w:rsidRPr="00D25361">
          <w:rPr>
            <w:rStyle w:val="Hyperlink"/>
            <w:rFonts w:cs="FrankRuehl" w:hint="cs"/>
            <w:rtl/>
          </w:rPr>
          <w:t>ק"ת</w:t>
        </w:r>
        <w:r w:rsidRPr="00D25361">
          <w:rPr>
            <w:rStyle w:val="Hyperlink"/>
            <w:rFonts w:cs="FrankRuehl" w:hint="cs"/>
            <w:rtl/>
          </w:rPr>
          <w:t xml:space="preserve"> תשע"</w:t>
        </w:r>
        <w:r w:rsidR="00152E3C" w:rsidRPr="00D25361">
          <w:rPr>
            <w:rStyle w:val="Hyperlink"/>
            <w:rFonts w:cs="FrankRuehl" w:hint="cs"/>
            <w:rtl/>
          </w:rPr>
          <w:t>ד</w:t>
        </w:r>
        <w:r w:rsidRPr="00D25361">
          <w:rPr>
            <w:rStyle w:val="Hyperlink"/>
            <w:rFonts w:cs="FrankRuehl" w:hint="cs"/>
            <w:rtl/>
          </w:rPr>
          <w:t xml:space="preserve"> מס' </w:t>
        </w:r>
        <w:r w:rsidR="00152E3C" w:rsidRPr="00D25361">
          <w:rPr>
            <w:rStyle w:val="Hyperlink"/>
            <w:rFonts w:cs="FrankRuehl" w:hint="cs"/>
            <w:rtl/>
          </w:rPr>
          <w:t>7303</w:t>
        </w:r>
      </w:hyperlink>
      <w:r>
        <w:rPr>
          <w:rFonts w:cs="FrankRuehl" w:hint="cs"/>
          <w:rtl/>
        </w:rPr>
        <w:t xml:space="preserve"> מיום </w:t>
      </w:r>
      <w:r w:rsidR="00152E3C">
        <w:rPr>
          <w:rFonts w:cs="FrankRuehl" w:hint="cs"/>
          <w:rtl/>
        </w:rPr>
        <w:t>11.11.2013</w:t>
      </w:r>
      <w:r>
        <w:rPr>
          <w:rFonts w:cs="FrankRuehl" w:hint="cs"/>
          <w:rtl/>
        </w:rPr>
        <w:t xml:space="preserve"> עמ' </w:t>
      </w:r>
      <w:r w:rsidR="00152E3C">
        <w:rPr>
          <w:rFonts w:cs="FrankRuehl" w:hint="cs"/>
          <w:rtl/>
        </w:rPr>
        <w:t>194</w:t>
      </w:r>
      <w:r w:rsidR="00B13805">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2F0B" w14:textId="77777777" w:rsidR="00DB714B" w:rsidRDefault="00DB714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2F48EDD" w14:textId="77777777" w:rsidR="00DB714B" w:rsidRDefault="00DB71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199444" w14:textId="77777777" w:rsidR="00DB714B" w:rsidRDefault="00DB714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AF09" w14:textId="77777777" w:rsidR="00DB714B" w:rsidRDefault="00152E3C" w:rsidP="00152E3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DB714B">
      <w:rPr>
        <w:rFonts w:hAnsi="FrankRuehl" w:cs="FrankRuehl" w:hint="cs"/>
        <w:color w:val="000000"/>
        <w:sz w:val="28"/>
        <w:szCs w:val="28"/>
        <w:rtl/>
      </w:rPr>
      <w:t xml:space="preserve"> הגנת הסביבה (פליטות והעברות לסביבה </w:t>
    </w:r>
    <w:r w:rsidR="00DB714B">
      <w:rPr>
        <w:rFonts w:hAnsi="FrankRuehl" w:cs="FrankRuehl"/>
        <w:color w:val="000000"/>
        <w:sz w:val="28"/>
        <w:szCs w:val="28"/>
        <w:rtl/>
      </w:rPr>
      <w:t>–</w:t>
    </w:r>
    <w:r w:rsidR="00DB714B">
      <w:rPr>
        <w:rFonts w:hAnsi="FrankRuehl" w:cs="FrankRuehl" w:hint="cs"/>
        <w:color w:val="000000"/>
        <w:sz w:val="28"/>
        <w:szCs w:val="28"/>
        <w:rtl/>
      </w:rPr>
      <w:t xml:space="preserve"> חובות דיווח ומרשם)</w:t>
    </w:r>
    <w:r>
      <w:rPr>
        <w:rFonts w:hAnsi="FrankRuehl" w:cs="FrankRuehl" w:hint="cs"/>
        <w:color w:val="000000"/>
        <w:sz w:val="28"/>
        <w:szCs w:val="28"/>
        <w:rtl/>
      </w:rPr>
      <w:t xml:space="preserve"> (הפחתה של סכומי עיצום כספי)</w:t>
    </w:r>
    <w:r w:rsidR="00DB714B">
      <w:rPr>
        <w:rFonts w:hAnsi="FrankRuehl" w:cs="FrankRuehl" w:hint="cs"/>
        <w:color w:val="000000"/>
        <w:sz w:val="28"/>
        <w:szCs w:val="28"/>
        <w:rtl/>
      </w:rPr>
      <w:t>, תשע"</w:t>
    </w:r>
    <w:r>
      <w:rPr>
        <w:rFonts w:hAnsi="FrankRuehl" w:cs="FrankRuehl" w:hint="cs"/>
        <w:color w:val="000000"/>
        <w:sz w:val="28"/>
        <w:szCs w:val="28"/>
        <w:rtl/>
      </w:rPr>
      <w:t>ד-2013</w:t>
    </w:r>
  </w:p>
  <w:p w14:paraId="4787B2ED" w14:textId="77777777" w:rsidR="00DB714B" w:rsidRDefault="00DB71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E812F4" w14:textId="77777777" w:rsidR="00DB714B" w:rsidRDefault="00DB714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28115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5356"/>
    <w:rsid w:val="000128B2"/>
    <w:rsid w:val="00040CE9"/>
    <w:rsid w:val="000420AA"/>
    <w:rsid w:val="00067730"/>
    <w:rsid w:val="00076D6E"/>
    <w:rsid w:val="000927E9"/>
    <w:rsid w:val="000B7EEB"/>
    <w:rsid w:val="000C66F3"/>
    <w:rsid w:val="000D09F3"/>
    <w:rsid w:val="000F3296"/>
    <w:rsid w:val="00106339"/>
    <w:rsid w:val="001321F5"/>
    <w:rsid w:val="00141AA4"/>
    <w:rsid w:val="00146293"/>
    <w:rsid w:val="00152E3C"/>
    <w:rsid w:val="0016443B"/>
    <w:rsid w:val="00164DEB"/>
    <w:rsid w:val="00176C59"/>
    <w:rsid w:val="00195EC7"/>
    <w:rsid w:val="001A648B"/>
    <w:rsid w:val="001A690C"/>
    <w:rsid w:val="001B36F1"/>
    <w:rsid w:val="001B5356"/>
    <w:rsid w:val="001E7224"/>
    <w:rsid w:val="00203DCF"/>
    <w:rsid w:val="00207061"/>
    <w:rsid w:val="00214434"/>
    <w:rsid w:val="002148F8"/>
    <w:rsid w:val="00227E7E"/>
    <w:rsid w:val="002316C1"/>
    <w:rsid w:val="00232A3D"/>
    <w:rsid w:val="00260E4F"/>
    <w:rsid w:val="002748B4"/>
    <w:rsid w:val="00274C47"/>
    <w:rsid w:val="002832AD"/>
    <w:rsid w:val="00292321"/>
    <w:rsid w:val="002B0C4D"/>
    <w:rsid w:val="002C3F6C"/>
    <w:rsid w:val="00301A10"/>
    <w:rsid w:val="00313C40"/>
    <w:rsid w:val="00361AE3"/>
    <w:rsid w:val="00384914"/>
    <w:rsid w:val="003A02FC"/>
    <w:rsid w:val="003A6046"/>
    <w:rsid w:val="003B06B3"/>
    <w:rsid w:val="003F634B"/>
    <w:rsid w:val="004049C5"/>
    <w:rsid w:val="00405EF3"/>
    <w:rsid w:val="0041255D"/>
    <w:rsid w:val="004217B2"/>
    <w:rsid w:val="0046649F"/>
    <w:rsid w:val="004717F7"/>
    <w:rsid w:val="0047761D"/>
    <w:rsid w:val="00480FA9"/>
    <w:rsid w:val="004878FB"/>
    <w:rsid w:val="0049067D"/>
    <w:rsid w:val="00491630"/>
    <w:rsid w:val="004925CF"/>
    <w:rsid w:val="0049487D"/>
    <w:rsid w:val="004A094C"/>
    <w:rsid w:val="004A099D"/>
    <w:rsid w:val="004A4143"/>
    <w:rsid w:val="004B4162"/>
    <w:rsid w:val="004D5255"/>
    <w:rsid w:val="004D7173"/>
    <w:rsid w:val="004F28A6"/>
    <w:rsid w:val="00514AAE"/>
    <w:rsid w:val="005265CE"/>
    <w:rsid w:val="00533D90"/>
    <w:rsid w:val="00542FFE"/>
    <w:rsid w:val="0054490B"/>
    <w:rsid w:val="00552F47"/>
    <w:rsid w:val="0056238D"/>
    <w:rsid w:val="00585317"/>
    <w:rsid w:val="005F5A1B"/>
    <w:rsid w:val="005F7826"/>
    <w:rsid w:val="00604778"/>
    <w:rsid w:val="00610574"/>
    <w:rsid w:val="0063133B"/>
    <w:rsid w:val="0063486E"/>
    <w:rsid w:val="00667338"/>
    <w:rsid w:val="006846F6"/>
    <w:rsid w:val="0069700A"/>
    <w:rsid w:val="006D6F55"/>
    <w:rsid w:val="0070456B"/>
    <w:rsid w:val="007159EA"/>
    <w:rsid w:val="007229AF"/>
    <w:rsid w:val="00725D8F"/>
    <w:rsid w:val="00762790"/>
    <w:rsid w:val="00763F66"/>
    <w:rsid w:val="00775AB8"/>
    <w:rsid w:val="00791538"/>
    <w:rsid w:val="00792831"/>
    <w:rsid w:val="00796613"/>
    <w:rsid w:val="007B4A11"/>
    <w:rsid w:val="007B5833"/>
    <w:rsid w:val="007D2B6D"/>
    <w:rsid w:val="007E7083"/>
    <w:rsid w:val="00841122"/>
    <w:rsid w:val="00846045"/>
    <w:rsid w:val="0087745C"/>
    <w:rsid w:val="00892DCF"/>
    <w:rsid w:val="00897233"/>
    <w:rsid w:val="008B1A3D"/>
    <w:rsid w:val="008D2E42"/>
    <w:rsid w:val="008D51B7"/>
    <w:rsid w:val="008F32B8"/>
    <w:rsid w:val="008F4EB2"/>
    <w:rsid w:val="00900757"/>
    <w:rsid w:val="00902275"/>
    <w:rsid w:val="00907FD5"/>
    <w:rsid w:val="0091025D"/>
    <w:rsid w:val="00916DCF"/>
    <w:rsid w:val="009245E4"/>
    <w:rsid w:val="00926643"/>
    <w:rsid w:val="0095236F"/>
    <w:rsid w:val="0096288A"/>
    <w:rsid w:val="009A3631"/>
    <w:rsid w:val="009D3BCC"/>
    <w:rsid w:val="009D6738"/>
    <w:rsid w:val="009E5BE1"/>
    <w:rsid w:val="009E7CA4"/>
    <w:rsid w:val="009F526D"/>
    <w:rsid w:val="00A12580"/>
    <w:rsid w:val="00A1367C"/>
    <w:rsid w:val="00A165A7"/>
    <w:rsid w:val="00A16828"/>
    <w:rsid w:val="00A25A7A"/>
    <w:rsid w:val="00A268FA"/>
    <w:rsid w:val="00A26A98"/>
    <w:rsid w:val="00A45ADD"/>
    <w:rsid w:val="00A51469"/>
    <w:rsid w:val="00A54963"/>
    <w:rsid w:val="00A70FAA"/>
    <w:rsid w:val="00A75457"/>
    <w:rsid w:val="00A84F02"/>
    <w:rsid w:val="00AC0CF1"/>
    <w:rsid w:val="00AC769C"/>
    <w:rsid w:val="00AE2155"/>
    <w:rsid w:val="00B13805"/>
    <w:rsid w:val="00B21334"/>
    <w:rsid w:val="00B257B6"/>
    <w:rsid w:val="00B26A42"/>
    <w:rsid w:val="00B278D9"/>
    <w:rsid w:val="00B3009B"/>
    <w:rsid w:val="00B31A40"/>
    <w:rsid w:val="00B354CC"/>
    <w:rsid w:val="00B4754C"/>
    <w:rsid w:val="00B63C7F"/>
    <w:rsid w:val="00B8767A"/>
    <w:rsid w:val="00BC317C"/>
    <w:rsid w:val="00BD05DD"/>
    <w:rsid w:val="00BE55BA"/>
    <w:rsid w:val="00C02EEC"/>
    <w:rsid w:val="00C273A6"/>
    <w:rsid w:val="00C3192B"/>
    <w:rsid w:val="00C35546"/>
    <w:rsid w:val="00C53F9B"/>
    <w:rsid w:val="00C616C5"/>
    <w:rsid w:val="00C857C4"/>
    <w:rsid w:val="00CA344C"/>
    <w:rsid w:val="00CA5E56"/>
    <w:rsid w:val="00CA7714"/>
    <w:rsid w:val="00CB6CE0"/>
    <w:rsid w:val="00CC34D9"/>
    <w:rsid w:val="00CD400D"/>
    <w:rsid w:val="00CF6315"/>
    <w:rsid w:val="00D07954"/>
    <w:rsid w:val="00D16F33"/>
    <w:rsid w:val="00D25361"/>
    <w:rsid w:val="00D253E9"/>
    <w:rsid w:val="00D42789"/>
    <w:rsid w:val="00D64C21"/>
    <w:rsid w:val="00D73441"/>
    <w:rsid w:val="00D77264"/>
    <w:rsid w:val="00D81A2A"/>
    <w:rsid w:val="00DB714B"/>
    <w:rsid w:val="00DE5926"/>
    <w:rsid w:val="00DF29D7"/>
    <w:rsid w:val="00E36876"/>
    <w:rsid w:val="00E45443"/>
    <w:rsid w:val="00E53F5B"/>
    <w:rsid w:val="00E72028"/>
    <w:rsid w:val="00E84DE6"/>
    <w:rsid w:val="00E9336A"/>
    <w:rsid w:val="00EC1EBD"/>
    <w:rsid w:val="00ED4F59"/>
    <w:rsid w:val="00ED75D0"/>
    <w:rsid w:val="00EE6024"/>
    <w:rsid w:val="00EF3947"/>
    <w:rsid w:val="00F22487"/>
    <w:rsid w:val="00F23BDF"/>
    <w:rsid w:val="00F266A1"/>
    <w:rsid w:val="00F64166"/>
    <w:rsid w:val="00F7294E"/>
    <w:rsid w:val="00F84D12"/>
    <w:rsid w:val="00F9786E"/>
    <w:rsid w:val="00FB754D"/>
    <w:rsid w:val="00FD0B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E687177"/>
  <w15:chartTrackingRefBased/>
  <w15:docId w15:val="{F4D5545F-E638-49BB-9AAA-D5FE8624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A7545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4166</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8257544</vt:i4>
      </vt:variant>
      <vt:variant>
        <vt:i4>0</vt:i4>
      </vt:variant>
      <vt:variant>
        <vt:i4>0</vt:i4>
      </vt:variant>
      <vt:variant>
        <vt:i4>5</vt:i4>
      </vt:variant>
      <vt:variant>
        <vt:lpwstr>http://www.nevo.co.il/Law_word/law06/TAK-7303.pdf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הגנת הסביבה (פליטות והעברות לסביבה - חובות דיווח ומרשם) (הפחתה של סכומי עיצום כספי), תשע"ד-2013</vt:lpwstr>
  </property>
  <property fmtid="{D5CDD505-2E9C-101B-9397-08002B2CF9AE}" pid="4" name="LAWNUMBER">
    <vt:lpwstr>0940</vt:lpwstr>
  </property>
  <property fmtid="{D5CDD505-2E9C-101B-9397-08002B2CF9AE}" pid="5" name="TYPE">
    <vt:lpwstr>01</vt:lpwstr>
  </property>
  <property fmtid="{D5CDD505-2E9C-101B-9397-08002B2CF9AE}" pid="6" name="CHNAME">
    <vt:lpwstr>הגנת הסביבה</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חקלאות טבע וסביבה</vt:lpwstr>
  </property>
  <property fmtid="{D5CDD505-2E9C-101B-9397-08002B2CF9AE}" pid="19" name="NOSE21">
    <vt:lpwstr>הגנת הסביבה</vt:lpwstr>
  </property>
  <property fmtid="{D5CDD505-2E9C-101B-9397-08002B2CF9AE}" pid="20" name="NOSE31">
    <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MEKOR_NAME1">
    <vt:lpwstr>חוק הגנת הסביבה (פליטות והעברות לסביבה - חובות דיווח ומרשם)</vt:lpwstr>
  </property>
  <property fmtid="{D5CDD505-2E9C-101B-9397-08002B2CF9AE}" pid="62" name="MEKOR_SAIF1">
    <vt:lpwstr>21XבX</vt:lpwstr>
  </property>
  <property fmtid="{D5CDD505-2E9C-101B-9397-08002B2CF9AE}" pid="63" name="LINKK1">
    <vt:lpwstr>http://www.nevo.co.il/Law_word/law06/TAK-7303.pdf;‎רשומות - תקנות כלליות#פורסמו ק"ת ‏תשע"ד מס' 7303 #מיום 11.11.2013 עמ' 194‏</vt:lpwstr>
  </property>
  <property fmtid="{D5CDD505-2E9C-101B-9397-08002B2CF9AE}" pid="64" name="LINKK2">
    <vt:lpwstr/>
  </property>
</Properties>
</file>