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9EEC" w14:textId="77777777" w:rsidR="00A657A4" w:rsidRDefault="00A657A4" w:rsidP="0030756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</w:t>
      </w:r>
      <w:r w:rsidR="00BB32DD">
        <w:rPr>
          <w:rFonts w:cs="FrankRuehl" w:hint="cs"/>
          <w:sz w:val="32"/>
          <w:rtl/>
        </w:rPr>
        <w:t>הדיינים</w:t>
      </w:r>
      <w:r w:rsidR="003853E0">
        <w:rPr>
          <w:rFonts w:cs="FrankRuehl" w:hint="cs"/>
          <w:sz w:val="32"/>
          <w:rtl/>
        </w:rPr>
        <w:t xml:space="preserve"> (סדרי דין בבתי הדין הרבניים בעת מצב חירום מיוחד</w:t>
      </w:r>
      <w:r>
        <w:rPr>
          <w:rFonts w:cs="FrankRuehl"/>
          <w:sz w:val="32"/>
          <w:rtl/>
        </w:rPr>
        <w:t>)</w:t>
      </w:r>
      <w:r w:rsidR="00BB32DD">
        <w:rPr>
          <w:rFonts w:cs="FrankRuehl" w:hint="cs"/>
          <w:sz w:val="32"/>
          <w:rtl/>
        </w:rPr>
        <w:t xml:space="preserve"> (הוראת שעה)</w:t>
      </w:r>
      <w:r>
        <w:rPr>
          <w:rFonts w:cs="FrankRuehl"/>
          <w:sz w:val="32"/>
          <w:rtl/>
        </w:rPr>
        <w:t xml:space="preserve">, </w:t>
      </w:r>
      <w:r w:rsidR="002827C0">
        <w:rPr>
          <w:rFonts w:cs="FrankRuehl" w:hint="cs"/>
          <w:sz w:val="32"/>
          <w:rtl/>
        </w:rPr>
        <w:t>תש"ף-2020</w:t>
      </w:r>
    </w:p>
    <w:p w14:paraId="05FE787D" w14:textId="77777777" w:rsidR="00296B63" w:rsidRPr="00296B63" w:rsidRDefault="00296B63" w:rsidP="00296B63">
      <w:pPr>
        <w:spacing w:line="320" w:lineRule="auto"/>
        <w:jc w:val="left"/>
        <w:rPr>
          <w:rFonts w:cs="FrankRuehl"/>
          <w:szCs w:val="26"/>
          <w:rtl/>
        </w:rPr>
      </w:pPr>
    </w:p>
    <w:p w14:paraId="0E610218" w14:textId="77777777" w:rsidR="00296B63" w:rsidRDefault="003853E0" w:rsidP="00296B63">
      <w:pPr>
        <w:spacing w:line="320" w:lineRule="auto"/>
        <w:jc w:val="left"/>
        <w:rPr>
          <w:rFonts w:cs="Miriam"/>
          <w:szCs w:val="22"/>
          <w:rtl/>
        </w:rPr>
      </w:pPr>
      <w:r>
        <w:rPr>
          <w:rFonts w:cs="Miriam" w:hint="cs"/>
          <w:szCs w:val="22"/>
          <w:rtl/>
        </w:rPr>
        <w:t>בתי משפט וסדרי דין</w:t>
      </w:r>
      <w:r w:rsidR="00296B63" w:rsidRPr="00296B63">
        <w:rPr>
          <w:rFonts w:cs="FrankRuehl"/>
          <w:szCs w:val="26"/>
          <w:rtl/>
        </w:rPr>
        <w:t xml:space="preserve"> – </w:t>
      </w:r>
      <w:r w:rsidR="002827C0">
        <w:rPr>
          <w:rFonts w:cs="FrankRuehl" w:hint="cs"/>
          <w:szCs w:val="26"/>
          <w:rtl/>
        </w:rPr>
        <w:t xml:space="preserve">בתי </w:t>
      </w:r>
      <w:r>
        <w:rPr>
          <w:rFonts w:cs="FrankRuehl" w:hint="cs"/>
          <w:szCs w:val="26"/>
          <w:rtl/>
        </w:rPr>
        <w:t>משפט ובתי דין</w:t>
      </w:r>
      <w:r w:rsidR="002827C0">
        <w:rPr>
          <w:rFonts w:cs="FrankRuehl" w:hint="cs"/>
          <w:szCs w:val="26"/>
          <w:rtl/>
        </w:rPr>
        <w:t xml:space="preserve"> </w:t>
      </w:r>
      <w:r w:rsidR="002827C0" w:rsidRPr="00296B63">
        <w:rPr>
          <w:rFonts w:cs="FrankRuehl"/>
          <w:szCs w:val="26"/>
          <w:rtl/>
        </w:rPr>
        <w:t>–</w:t>
      </w:r>
      <w:r w:rsidR="002827C0">
        <w:rPr>
          <w:rFonts w:cs="FrankRuehl" w:hint="cs"/>
          <w:szCs w:val="26"/>
          <w:rtl/>
        </w:rPr>
        <w:t xml:space="preserve"> </w:t>
      </w:r>
      <w:r>
        <w:rPr>
          <w:rFonts w:cs="FrankRuehl" w:hint="cs"/>
          <w:szCs w:val="26"/>
          <w:rtl/>
        </w:rPr>
        <w:t>בתי דין רבניים</w:t>
      </w:r>
    </w:p>
    <w:p w14:paraId="3A9A0C6A" w14:textId="77777777" w:rsidR="00925C28" w:rsidRPr="00296B63" w:rsidRDefault="00296B63" w:rsidP="00296B63">
      <w:pPr>
        <w:spacing w:line="320" w:lineRule="auto"/>
        <w:jc w:val="left"/>
        <w:rPr>
          <w:rFonts w:cs="Miriam"/>
          <w:szCs w:val="22"/>
          <w:rtl/>
        </w:rPr>
      </w:pPr>
      <w:r w:rsidRPr="00296B63">
        <w:rPr>
          <w:rFonts w:cs="Miriam"/>
          <w:szCs w:val="22"/>
          <w:rtl/>
        </w:rPr>
        <w:t>בטחון</w:t>
      </w:r>
      <w:r w:rsidRPr="00296B63">
        <w:rPr>
          <w:rFonts w:cs="FrankRuehl"/>
          <w:szCs w:val="26"/>
          <w:rtl/>
        </w:rPr>
        <w:t xml:space="preserve"> – שעת חירום</w:t>
      </w:r>
    </w:p>
    <w:p w14:paraId="42DB131A" w14:textId="77777777" w:rsidR="00A657A4" w:rsidRDefault="00A657A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670C7" w:rsidRPr="00E670C7" w14:paraId="019A8FF4" w14:textId="77777777" w:rsidTr="00E670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78A90E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4FA6B68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5F74F26" w14:textId="77777777" w:rsidR="00E670C7" w:rsidRPr="00E670C7" w:rsidRDefault="00E670C7" w:rsidP="00E670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E670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A41A88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70C7" w:rsidRPr="00E670C7" w14:paraId="3BA45A10" w14:textId="77777777" w:rsidTr="00E670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912E21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9A35B17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החלת התקנות</w:t>
            </w:r>
          </w:p>
        </w:tc>
        <w:tc>
          <w:tcPr>
            <w:tcW w:w="567" w:type="dxa"/>
          </w:tcPr>
          <w:p w14:paraId="6AEA620C" w14:textId="77777777" w:rsidR="00E670C7" w:rsidRPr="00E670C7" w:rsidRDefault="00E670C7" w:rsidP="00E670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חלת התקנות" w:history="1">
              <w:r w:rsidRPr="00E670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C0630A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70C7" w:rsidRPr="00E670C7" w14:paraId="5DF2C50C" w14:textId="77777777" w:rsidTr="00E670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1FF314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3BD02E3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ענינים שבהם יקוימו הליכים</w:t>
            </w:r>
          </w:p>
        </w:tc>
        <w:tc>
          <w:tcPr>
            <w:tcW w:w="567" w:type="dxa"/>
          </w:tcPr>
          <w:p w14:paraId="05246FEC" w14:textId="77777777" w:rsidR="00E670C7" w:rsidRPr="00E670C7" w:rsidRDefault="00E670C7" w:rsidP="00E670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נינים שבהם יקוימו הליכים" w:history="1">
              <w:r w:rsidRPr="00E670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E65FB6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70C7" w:rsidRPr="00E670C7" w14:paraId="2BEFA841" w14:textId="77777777" w:rsidTr="00E670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7E47D5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896947E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הארכת מועדים</w:t>
            </w:r>
          </w:p>
        </w:tc>
        <w:tc>
          <w:tcPr>
            <w:tcW w:w="567" w:type="dxa"/>
          </w:tcPr>
          <w:p w14:paraId="63CB5EA4" w14:textId="77777777" w:rsidR="00E670C7" w:rsidRPr="00E670C7" w:rsidRDefault="00E670C7" w:rsidP="00E670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ארכת מועדים" w:history="1">
              <w:r w:rsidRPr="00E670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FAB49D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70C7" w:rsidRPr="00E670C7" w14:paraId="4691E21F" w14:textId="77777777" w:rsidTr="00E670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168874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F7D7E85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567" w:type="dxa"/>
          </w:tcPr>
          <w:p w14:paraId="5C6B6684" w14:textId="77777777" w:rsidR="00E670C7" w:rsidRPr="00E670C7" w:rsidRDefault="00E670C7" w:rsidP="00E670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גרה" w:history="1">
              <w:r w:rsidRPr="00E670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48CA9E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70C7" w:rsidRPr="00E670C7" w14:paraId="003CDA5F" w14:textId="77777777" w:rsidTr="00E670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9C871E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0F86B28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1533AE88" w14:textId="77777777" w:rsidR="00E670C7" w:rsidRPr="00E670C7" w:rsidRDefault="00E670C7" w:rsidP="00E670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וקף" w:history="1">
              <w:r w:rsidRPr="00E670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BB5871" w14:textId="77777777" w:rsidR="00E670C7" w:rsidRPr="00E670C7" w:rsidRDefault="00E670C7" w:rsidP="00E670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992109B" w14:textId="77777777" w:rsidR="00A657A4" w:rsidRDefault="00A657A4">
      <w:pPr>
        <w:pStyle w:val="big-header"/>
        <w:ind w:left="0" w:right="1134"/>
        <w:rPr>
          <w:rFonts w:cs="FrankRuehl"/>
          <w:sz w:val="32"/>
          <w:rtl/>
        </w:rPr>
      </w:pPr>
    </w:p>
    <w:p w14:paraId="3393D697" w14:textId="77777777" w:rsidR="00A657A4" w:rsidRPr="00925C28" w:rsidRDefault="00A657A4" w:rsidP="00925C28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3853E0">
        <w:rPr>
          <w:rFonts w:cs="FrankRuehl"/>
          <w:sz w:val="32"/>
          <w:rtl/>
        </w:rPr>
        <w:lastRenderedPageBreak/>
        <w:t xml:space="preserve">תקנות </w:t>
      </w:r>
      <w:r w:rsidR="00BB32DD">
        <w:rPr>
          <w:rFonts w:cs="FrankRuehl" w:hint="cs"/>
          <w:sz w:val="32"/>
          <w:rtl/>
        </w:rPr>
        <w:t>הדיינים</w:t>
      </w:r>
      <w:r w:rsidR="003853E0">
        <w:rPr>
          <w:rFonts w:cs="FrankRuehl" w:hint="cs"/>
          <w:sz w:val="32"/>
          <w:rtl/>
        </w:rPr>
        <w:t xml:space="preserve"> (סדרי דין בבתי הדין הרבניים בעת מצב חירום מיוחד</w:t>
      </w:r>
      <w:r w:rsidR="002827C0">
        <w:rPr>
          <w:rFonts w:cs="FrankRuehl"/>
          <w:sz w:val="32"/>
          <w:rtl/>
        </w:rPr>
        <w:t>)</w:t>
      </w:r>
      <w:r w:rsidR="00BB32DD">
        <w:rPr>
          <w:rFonts w:cs="FrankRuehl" w:hint="cs"/>
          <w:sz w:val="32"/>
          <w:rtl/>
        </w:rPr>
        <w:t xml:space="preserve"> (הוראת שעה)</w:t>
      </w:r>
      <w:r w:rsidR="002827C0">
        <w:rPr>
          <w:rFonts w:cs="FrankRuehl"/>
          <w:sz w:val="32"/>
          <w:rtl/>
        </w:rPr>
        <w:t xml:space="preserve">, </w:t>
      </w:r>
      <w:r w:rsidR="002827C0">
        <w:rPr>
          <w:rFonts w:cs="FrankRuehl" w:hint="cs"/>
          <w:sz w:val="32"/>
          <w:rtl/>
        </w:rPr>
        <w:t>תש"ף-2020</w:t>
      </w:r>
      <w:r w:rsidR="0030756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99C1D45" w14:textId="77777777" w:rsidR="00A657A4" w:rsidRDefault="00A657A4" w:rsidP="003075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</w:t>
      </w:r>
      <w:r w:rsidR="00DD3EE4">
        <w:rPr>
          <w:rStyle w:val="default"/>
          <w:rFonts w:cs="FrankRuehl" w:hint="cs"/>
          <w:rtl/>
        </w:rPr>
        <w:t>סעיפים 13 ו-27(א)(1) לחוק הדיינים, התשט"ו-1955, בהסכמת נשיא בית הדין הרבני הגדול, בהתייעצות עם חבר הדיינים של בית הדין הרבני הגדול ומועצת הרבנות הראשית לישראל, ובאישור ועדת החוקה חוק ומשפט של הכנסת, אני מתקין תקנות אלה</w:t>
      </w:r>
      <w:r>
        <w:rPr>
          <w:rStyle w:val="default"/>
          <w:rFonts w:cs="FrankRuehl" w:hint="cs"/>
          <w:rtl/>
        </w:rPr>
        <w:t>:</w:t>
      </w:r>
    </w:p>
    <w:p w14:paraId="051BC5AC" w14:textId="77777777" w:rsidR="00A657A4" w:rsidRDefault="00A657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E0E434A">
          <v:rect id="_x0000_s1026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14:paraId="58D2D676" w14:textId="77777777" w:rsidR="00A657A4" w:rsidRDefault="00A657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 w:rsidR="0030756D">
        <w:rPr>
          <w:rStyle w:val="default"/>
          <w:rFonts w:cs="FrankRuehl" w:hint="cs"/>
          <w:rtl/>
        </w:rPr>
        <w:t xml:space="preserve">קנות אלה </w:t>
      </w:r>
      <w:r w:rsidR="0030756D">
        <w:rPr>
          <w:rStyle w:val="default"/>
          <w:rFonts w:cs="FrankRuehl"/>
          <w:rtl/>
        </w:rPr>
        <w:t>–</w:t>
      </w:r>
    </w:p>
    <w:p w14:paraId="157B16A7" w14:textId="77777777" w:rsidR="00A657A4" w:rsidRDefault="00A65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ית דין" </w:t>
      </w:r>
      <w:r w:rsidR="001D341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בית </w:t>
      </w:r>
      <w:r w:rsidR="001B7C4F">
        <w:rPr>
          <w:rStyle w:val="default"/>
          <w:rFonts w:cs="FrankRuehl" w:hint="cs"/>
          <w:rtl/>
        </w:rPr>
        <w:t xml:space="preserve">דין </w:t>
      </w:r>
      <w:r w:rsidR="00FB687F">
        <w:rPr>
          <w:rStyle w:val="default"/>
          <w:rFonts w:cs="FrankRuehl" w:hint="cs"/>
          <w:rtl/>
        </w:rPr>
        <w:t>רבני אזורי ובית הדין הרבני הגדול</w:t>
      </w:r>
      <w:r>
        <w:rPr>
          <w:rStyle w:val="default"/>
          <w:rFonts w:cs="FrankRuehl" w:hint="cs"/>
          <w:rtl/>
        </w:rPr>
        <w:t>;</w:t>
      </w:r>
    </w:p>
    <w:p w14:paraId="2E20BCDE" w14:textId="77777777" w:rsidR="00A657A4" w:rsidRDefault="001D3413" w:rsidP="001D34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מצב חירום מיוחד"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A657A4">
        <w:rPr>
          <w:rStyle w:val="default"/>
          <w:rFonts w:cs="FrankRuehl" w:hint="cs"/>
          <w:rtl/>
        </w:rPr>
        <w:t xml:space="preserve">מצב שבו </w:t>
      </w:r>
      <w:r w:rsidR="001B7C4F">
        <w:rPr>
          <w:rStyle w:val="default"/>
          <w:rFonts w:cs="FrankRuehl" w:hint="cs"/>
          <w:rtl/>
        </w:rPr>
        <w:t>ה</w:t>
      </w:r>
      <w:r w:rsidR="00A657A4">
        <w:rPr>
          <w:rStyle w:val="default"/>
          <w:rFonts w:cs="FrankRuehl" w:hint="cs"/>
          <w:rtl/>
        </w:rPr>
        <w:t>שתבשו סדרי החיים התקינים במדינה או בחלק ממנה מחמת מצב הב</w:t>
      </w:r>
      <w:r w:rsidR="001B7C4F">
        <w:rPr>
          <w:rStyle w:val="default"/>
          <w:rFonts w:cs="FrankRuehl" w:hint="cs"/>
          <w:rtl/>
        </w:rPr>
        <w:t>י</w:t>
      </w:r>
      <w:r w:rsidR="00A657A4">
        <w:rPr>
          <w:rStyle w:val="default"/>
          <w:rFonts w:cs="FrankRuehl" w:hint="cs"/>
          <w:rtl/>
        </w:rPr>
        <w:t>טחון</w:t>
      </w:r>
      <w:r w:rsidRPr="001D3413">
        <w:rPr>
          <w:rStyle w:val="default"/>
          <w:rFonts w:cs="FrankRuehl" w:hint="cs"/>
          <w:rtl/>
        </w:rPr>
        <w:t>, מחמת חשש ממשי לפגיעה חמורה בבריאות הציבור או מחמת פגע טבע</w:t>
      </w:r>
      <w:r w:rsidR="00FB687F">
        <w:rPr>
          <w:rStyle w:val="default"/>
          <w:rFonts w:cs="FrankRuehl" w:hint="cs"/>
          <w:rtl/>
        </w:rPr>
        <w:t>, ובשל כך לא ניתן לקיים פעילות שגרתית בבתי הדין</w:t>
      </w:r>
      <w:r w:rsidR="001B7C4F">
        <w:rPr>
          <w:rStyle w:val="default"/>
          <w:rFonts w:cs="FrankRuehl" w:hint="cs"/>
          <w:rtl/>
        </w:rPr>
        <w:t>;</w:t>
      </w:r>
    </w:p>
    <w:p w14:paraId="38FA4CF7" w14:textId="77777777" w:rsidR="001B7C4F" w:rsidRDefault="001B7C4F" w:rsidP="001D34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"ראש בית הדין"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B687F">
        <w:rPr>
          <w:rStyle w:val="default"/>
          <w:rFonts w:cs="FrankRuehl" w:hint="cs"/>
          <w:rtl/>
        </w:rPr>
        <w:t>כל אחד מאלה, לפי העניין:</w:t>
      </w:r>
    </w:p>
    <w:p w14:paraId="75678209" w14:textId="77777777" w:rsidR="00FB687F" w:rsidRDefault="00FB687F" w:rsidP="00FB687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בית הדין הרבני הגדול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נשיא בית הדין הרבני הגדול או דיין אחר של בית הדין הרבני הגדול שהנשיא קבע לכך;</w:t>
      </w:r>
    </w:p>
    <w:p w14:paraId="1EF47919" w14:textId="77777777" w:rsidR="00FB687F" w:rsidRDefault="00FB687F" w:rsidP="00FB687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בית דין רבני אזורי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ראש אבות בית דין רבני אזורי שבו הוא מכהן, ואם אין בבית הדין ראש אבות בית דין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אב בית הדין הרבני האזורי שבו הוא מכהן; מכהנים בבית דין רבני כמה אבות בית דין, יהיה ראש בית הדין הוותיק שבהם, ובין בעלי ותק שווה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הקשיש שבהם.</w:t>
      </w:r>
    </w:p>
    <w:p w14:paraId="23D6883B" w14:textId="77777777" w:rsidR="00A657A4" w:rsidRDefault="00A65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43834FE">
          <v:rect id="_x0000_s1027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14:paraId="0D75D9BD" w14:textId="77777777" w:rsidR="00A657A4" w:rsidRDefault="00A657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קנות 3 עד 5, כולן או מקצתן, יחולו על בתי </w:t>
      </w:r>
      <w:r w:rsidR="001B7C4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דין, כולם או מקצתם, אם פרסם </w:t>
      </w:r>
      <w:r w:rsidR="00FB687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שר </w:t>
      </w:r>
      <w:r w:rsidR="00FB687F">
        <w:rPr>
          <w:rStyle w:val="default"/>
          <w:rFonts w:cs="FrankRuehl" w:hint="cs"/>
          <w:rtl/>
        </w:rPr>
        <w:t>לשירותי דת</w:t>
      </w:r>
      <w:r>
        <w:rPr>
          <w:rStyle w:val="default"/>
          <w:rFonts w:cs="FrankRuehl" w:hint="cs"/>
          <w:rtl/>
        </w:rPr>
        <w:t xml:space="preserve"> ה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עה על כך בשל מצב חירום מיוחד (להלן</w:t>
      </w:r>
      <w:r w:rsidR="00DD3EE4">
        <w:rPr>
          <w:rStyle w:val="default"/>
          <w:rFonts w:cs="FrankRuehl" w:hint="cs"/>
          <w:rtl/>
        </w:rPr>
        <w:t xml:space="preserve"> </w:t>
      </w:r>
      <w:r w:rsidR="001B7C4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ההודעה)</w:t>
      </w:r>
      <w:r w:rsidR="00390171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.</w:t>
      </w:r>
    </w:p>
    <w:p w14:paraId="7834F23B" w14:textId="77777777" w:rsidR="00A657A4" w:rsidRDefault="00A65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חולתן של התקנות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 בתקנת משנה (א) תהיה מן המועד שנקבע בהודעה, אף אם קדם לפרסומה</w:t>
      </w:r>
      <w:r w:rsidR="00FB687F">
        <w:rPr>
          <w:rStyle w:val="default"/>
          <w:rFonts w:cs="FrankRuehl" w:hint="cs"/>
          <w:rtl/>
        </w:rPr>
        <w:t xml:space="preserve"> ברשומות</w:t>
      </w:r>
      <w:r>
        <w:rPr>
          <w:rStyle w:val="default"/>
          <w:rFonts w:cs="FrankRuehl" w:hint="cs"/>
          <w:rtl/>
        </w:rPr>
        <w:t>, ועד למועד שייקבע.</w:t>
      </w:r>
    </w:p>
    <w:p w14:paraId="223DC77C" w14:textId="77777777" w:rsidR="001B7C4F" w:rsidRDefault="001B7C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פרסום הודעה כאמור בתקנת משנה (א) ייעשה בסמוך, ככל האפשר, למועד חתימתה, באתר האינטרנט של </w:t>
      </w:r>
      <w:r w:rsidR="00FB687F">
        <w:rPr>
          <w:rStyle w:val="default"/>
          <w:rFonts w:cs="FrankRuehl" w:hint="cs"/>
          <w:rtl/>
        </w:rPr>
        <w:t>בתי הדין הרבניים,</w:t>
      </w:r>
      <w:r>
        <w:rPr>
          <w:rStyle w:val="default"/>
          <w:rFonts w:cs="FrankRuehl" w:hint="cs"/>
          <w:rtl/>
        </w:rPr>
        <w:t xml:space="preserve"> וכן בשידורי רדיו או טלוויזיה או בשני עיתונים יומיים וכמו כן ייעשה ברשומות; הנוסח שפורסם ברשומות הוא המחייב אף אם קדם לו פרסום בדרך אחרת.</w:t>
      </w:r>
    </w:p>
    <w:p w14:paraId="371A91E0" w14:textId="77777777" w:rsidR="00A657A4" w:rsidRDefault="00A65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1B55B637">
          <v:rect id="_x0000_s1028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0B1ACE10" w14:textId="77777777" w:rsidR="00A657A4" w:rsidRDefault="00A657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ינים שבהם יקוימו הליכים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1B7C4F">
        <w:rPr>
          <w:rStyle w:val="default"/>
          <w:rFonts w:cs="FrankRuehl" w:hint="cs"/>
          <w:rtl/>
        </w:rPr>
        <w:t>בתקופת ת</w:t>
      </w:r>
      <w:r w:rsidR="00A741A5">
        <w:rPr>
          <w:rStyle w:val="default"/>
          <w:rFonts w:cs="FrankRuehl" w:hint="cs"/>
          <w:rtl/>
        </w:rPr>
        <w:t>ו</w:t>
      </w:r>
      <w:r w:rsidR="001B7C4F">
        <w:rPr>
          <w:rStyle w:val="default"/>
          <w:rFonts w:cs="FrankRuehl" w:hint="cs"/>
          <w:rtl/>
        </w:rPr>
        <w:t xml:space="preserve">קפה של ההודעה </w:t>
      </w:r>
      <w:r w:rsidR="00A741A5">
        <w:rPr>
          <w:rStyle w:val="default"/>
          <w:rFonts w:cs="FrankRuehl" w:hint="cs"/>
          <w:rtl/>
        </w:rPr>
        <w:t xml:space="preserve">יקוימו דיונים </w:t>
      </w:r>
      <w:r w:rsidR="001B7C4F">
        <w:rPr>
          <w:rStyle w:val="default"/>
          <w:rFonts w:cs="FrankRuehl" w:hint="cs"/>
          <w:rtl/>
        </w:rPr>
        <w:t xml:space="preserve">רק </w:t>
      </w:r>
      <w:r w:rsidR="00A741A5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ענ</w:t>
      </w:r>
      <w:r w:rsidR="001B7C4F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ינים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מפורטים להלן:</w:t>
      </w:r>
    </w:p>
    <w:p w14:paraId="115B1033" w14:textId="77777777" w:rsidR="00A657A4" w:rsidRDefault="00A65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 w:rsidR="006E64FF">
        <w:rPr>
          <w:rStyle w:val="default"/>
          <w:rFonts w:cs="FrankRuehl" w:hint="cs"/>
          <w:rtl/>
        </w:rPr>
        <w:t xml:space="preserve">בקשות לסעדים זמניים שנועדו לשמר מצב קיים, לרבות צו לעיכוב יציאה מן הארץ וסעד דחוף </w:t>
      </w:r>
      <w:r w:rsidR="00E44C18">
        <w:rPr>
          <w:rStyle w:val="default"/>
          <w:rFonts w:cs="FrankRuehl" w:hint="cs"/>
          <w:rtl/>
        </w:rPr>
        <w:t>ב</w:t>
      </w:r>
      <w:r w:rsidR="006E64FF">
        <w:rPr>
          <w:rStyle w:val="default"/>
          <w:rFonts w:cs="FrankRuehl" w:hint="cs"/>
          <w:rtl/>
        </w:rPr>
        <w:t xml:space="preserve">עניין </w:t>
      </w:r>
      <w:r w:rsidR="00E44C18">
        <w:rPr>
          <w:rStyle w:val="default"/>
          <w:rFonts w:cs="FrankRuehl" w:hint="cs"/>
          <w:rtl/>
        </w:rPr>
        <w:t xml:space="preserve">החזקת </w:t>
      </w:r>
      <w:r w:rsidR="006E64FF">
        <w:rPr>
          <w:rStyle w:val="default"/>
          <w:rFonts w:cs="FrankRuehl" w:hint="cs"/>
          <w:rtl/>
        </w:rPr>
        <w:t>ילדים</w:t>
      </w:r>
      <w:r w:rsidR="00E44C18">
        <w:rPr>
          <w:rStyle w:val="default"/>
          <w:rFonts w:cs="FrankRuehl" w:hint="cs"/>
          <w:rtl/>
        </w:rPr>
        <w:t>, חלוקת זמני שהות בין הורים וקביעת סדרי קשר</w:t>
      </w:r>
      <w:r>
        <w:rPr>
          <w:rStyle w:val="default"/>
          <w:rFonts w:cs="FrankRuehl" w:hint="cs"/>
          <w:rtl/>
        </w:rPr>
        <w:t>;</w:t>
      </w:r>
    </w:p>
    <w:p w14:paraId="6D89357D" w14:textId="77777777" w:rsidR="00A657A4" w:rsidRDefault="00A65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 w:rsidR="006E64FF">
        <w:rPr>
          <w:rStyle w:val="default"/>
          <w:rFonts w:cs="FrankRuehl" w:hint="cs"/>
          <w:rtl/>
        </w:rPr>
        <w:t>בקשות לסעד דחוף המנויות בתקנה 12(א) לתקנות להסדר התדיינויות בסכסוכי משפחה (הוראת שעה), התשע"ו-2016;</w:t>
      </w:r>
    </w:p>
    <w:p w14:paraId="43D5E8C2" w14:textId="77777777" w:rsidR="006E64FF" w:rsidRDefault="006E64F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בקשות דחופות לקיצור תקופת עיכוב ההליכים כמשמעותה ב</w:t>
      </w:r>
      <w:r w:rsidR="00E44C18">
        <w:rPr>
          <w:rStyle w:val="default"/>
          <w:rFonts w:cs="FrankRuehl" w:hint="cs"/>
          <w:rtl/>
        </w:rPr>
        <w:t>סעיף 3(ב) ל</w:t>
      </w:r>
      <w:r>
        <w:rPr>
          <w:rStyle w:val="default"/>
          <w:rFonts w:cs="FrankRuehl" w:hint="cs"/>
          <w:rtl/>
        </w:rPr>
        <w:t>חוק להסדר התדיינויות בסכסוכי משפחה (הוראת שעה), התשע"ה-2014, כמפורט להלן:</w:t>
      </w:r>
    </w:p>
    <w:p w14:paraId="004F2722" w14:textId="77777777" w:rsidR="006E64FF" w:rsidRDefault="006E64FF" w:rsidP="006E64FF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דחופה בעניין העברת ילד למסגרת חינוכית;</w:t>
      </w:r>
    </w:p>
    <w:p w14:paraId="779CEFDB" w14:textId="77777777" w:rsidR="006E64FF" w:rsidRDefault="006E64FF" w:rsidP="006E64FF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דחופה לעניין טיפול פסיכולוגי בקטין;</w:t>
      </w:r>
    </w:p>
    <w:p w14:paraId="5AAAA0B7" w14:textId="77777777" w:rsidR="00E44C18" w:rsidRDefault="00E44C18" w:rsidP="006E64FF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דחופה במקרה חריג שבו המליצה יחידת הסיוע לאפשר הגשת תובענה בעניין מסוים מן הטעם שהמתנה לתום תקופת עיכוב ההליכים תגרום נזק של ממש לצדדים או לילדיהם;</w:t>
      </w:r>
    </w:p>
    <w:p w14:paraId="5EE473F4" w14:textId="77777777" w:rsidR="006E64FF" w:rsidRDefault="006E64F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בקשות דחופות לפי חוק בתי דין דתיים (כפיית ציות ודרכי דיון), התשט"ז-1956;</w:t>
      </w:r>
    </w:p>
    <w:p w14:paraId="7D4151EC" w14:textId="77777777" w:rsidR="006E64FF" w:rsidRDefault="006E64F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בקשות דחופות לפי </w:t>
      </w:r>
      <w:r w:rsidR="002E3F4A">
        <w:rPr>
          <w:rStyle w:val="default"/>
          <w:rFonts w:cs="FrankRuehl" w:hint="cs"/>
          <w:rtl/>
        </w:rPr>
        <w:t>חוק שיפוט בתי דין רבניים (נישואין וגירושין), התשי"ג-1953</w:t>
      </w:r>
      <w:r w:rsidR="00E44C18">
        <w:rPr>
          <w:rStyle w:val="default"/>
          <w:rFonts w:cs="FrankRuehl" w:hint="cs"/>
          <w:rtl/>
        </w:rPr>
        <w:t>, שנועדו למנוע עיגון</w:t>
      </w:r>
      <w:r w:rsidR="002E3F4A">
        <w:rPr>
          <w:rStyle w:val="default"/>
          <w:rFonts w:cs="FrankRuehl" w:hint="cs"/>
          <w:rtl/>
        </w:rPr>
        <w:t>;</w:t>
      </w:r>
    </w:p>
    <w:p w14:paraId="4DF0B55B" w14:textId="77777777" w:rsidR="002E3F4A" w:rsidRDefault="002E3F4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הליכים לפי חוק למניעת אלימות במשפחה, התשנ"א-1991, ולפי חוק מניעת הטרדה מאיימת, התשס"ב-2001;</w:t>
      </w:r>
    </w:p>
    <w:p w14:paraId="266A502F" w14:textId="77777777" w:rsidR="002E3F4A" w:rsidRDefault="002E3F4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בקשות דחופות לבירור יהדות כשכבר נקבע מועד קרוב לעריכת הנישואין;</w:t>
      </w:r>
    </w:p>
    <w:p w14:paraId="5792D2AB" w14:textId="77777777" w:rsidR="00E44C18" w:rsidRDefault="00E44C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בקשות דחופות לאישור הסכם גירושין או מתן היתר נישואין;</w:t>
      </w:r>
    </w:p>
    <w:p w14:paraId="36A8E1C8" w14:textId="77777777" w:rsidR="002E3F4A" w:rsidRDefault="002E3F4A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E44C18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סידור גט</w:t>
      </w:r>
      <w:r w:rsidR="007B6611">
        <w:rPr>
          <w:rStyle w:val="default"/>
          <w:rFonts w:cs="FrankRuehl" w:hint="cs"/>
          <w:rtl/>
        </w:rPr>
        <w:t>;</w:t>
      </w:r>
    </w:p>
    <w:p w14:paraId="07EA9292" w14:textId="77777777" w:rsidR="007B6611" w:rsidRDefault="007B6611" w:rsidP="007B661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D658D0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10)</w:t>
      </w:r>
      <w:r>
        <w:rPr>
          <w:rStyle w:val="default"/>
          <w:rFonts w:cs="FrankRuehl"/>
          <w:rtl/>
        </w:rPr>
        <w:tab/>
      </w:r>
      <w:r w:rsidR="00E44C18">
        <w:rPr>
          <w:rStyle w:val="default"/>
          <w:rFonts w:cs="FrankRuehl" w:hint="cs"/>
          <w:rtl/>
        </w:rPr>
        <w:t>עניינים שדיין יחיד מוסמך לדון בהם לפי תקנות הדיינים (עניינים שניתן לדון בהם בדיין אחד), התש"ן-1990</w:t>
      </w:r>
      <w:r>
        <w:rPr>
          <w:rStyle w:val="default"/>
          <w:rFonts w:cs="FrankRuehl" w:hint="cs"/>
          <w:rtl/>
        </w:rPr>
        <w:t>.</w:t>
      </w:r>
    </w:p>
    <w:p w14:paraId="4D05A781" w14:textId="77777777" w:rsidR="001B7C4F" w:rsidRDefault="001B7C4F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(ב)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הדחיפות לעניין תקנת משנה (א)</w:t>
      </w:r>
      <w:r w:rsidR="00E44C18">
        <w:rPr>
          <w:rFonts w:cs="FrankRuehl" w:hint="cs"/>
          <w:sz w:val="26"/>
          <w:rtl/>
        </w:rPr>
        <w:t xml:space="preserve">(1), </w:t>
      </w:r>
      <w:r w:rsidR="002E3F4A">
        <w:rPr>
          <w:rFonts w:cs="FrankRuehl" w:hint="cs"/>
          <w:sz w:val="26"/>
          <w:rtl/>
        </w:rPr>
        <w:t>(3) עד (5) ו-(7)</w:t>
      </w:r>
      <w:r>
        <w:rPr>
          <w:rFonts w:cs="FrankRuehl" w:hint="cs"/>
          <w:sz w:val="26"/>
          <w:rtl/>
        </w:rPr>
        <w:t xml:space="preserve"> תיקבע בידי ראש בית הדין.</w:t>
      </w:r>
    </w:p>
    <w:p w14:paraId="6CF7F01A" w14:textId="77777777" w:rsidR="00A657A4" w:rsidRDefault="00A65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 w:rsidR="001B7C4F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ועד דיון בעני</w:t>
      </w:r>
      <w:r w:rsidR="001B7C4F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שאינו מן העני</w:t>
      </w:r>
      <w:r w:rsidR="001B7C4F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נים המפורטים בתקנת משנה (א)</w:t>
      </w:r>
      <w:r w:rsidR="001B7C4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שנקבע לתקופת ת</w:t>
      </w:r>
      <w:r w:rsidR="001B7C4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קפה של ההודעה </w:t>
      </w:r>
      <w:r w:rsidR="001D341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</w:t>
      </w:r>
      <w:r>
        <w:rPr>
          <w:rStyle w:val="default"/>
          <w:rFonts w:cs="FrankRuehl"/>
          <w:rtl/>
        </w:rPr>
        <w:t>טל</w:t>
      </w:r>
      <w:r>
        <w:rPr>
          <w:rStyle w:val="default"/>
          <w:rFonts w:cs="FrankRuehl" w:hint="cs"/>
          <w:rtl/>
        </w:rPr>
        <w:t>; מועד דיון לעני</w:t>
      </w:r>
      <w:r w:rsidR="001B7C4F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כאמור ייקבע מחדש לאחר תום תקופת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</w:t>
      </w:r>
      <w:r w:rsidR="001B7C4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קפה של ההודעה.</w:t>
      </w:r>
    </w:p>
    <w:p w14:paraId="7EC31964" w14:textId="77777777" w:rsidR="00E44C18" w:rsidRDefault="001B7C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בתקנת משנה (א), רשאי ראש בית הדין, מטעמים שיירשמו, </w:t>
      </w:r>
      <w:r w:rsidR="00E44C18">
        <w:rPr>
          <w:rStyle w:val="default"/>
          <w:rFonts w:cs="FrankRuehl" w:hint="cs"/>
          <w:rtl/>
        </w:rPr>
        <w:t xml:space="preserve">ובכלל זה דחיפות העניין והיכולת לשמור על כללי הזהירות הנדרשים בשל קיומו של מצב החירום, לקבוע </w:t>
      </w:r>
      <w:r w:rsidR="00E44C18">
        <w:rPr>
          <w:rStyle w:val="default"/>
          <w:rFonts w:cs="FrankRuehl"/>
          <w:rtl/>
        </w:rPr>
        <w:t>–</w:t>
      </w:r>
    </w:p>
    <w:p w14:paraId="1DB20C96" w14:textId="77777777" w:rsidR="00192E1C" w:rsidRDefault="00192E1C" w:rsidP="00192E1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כי הליך מסוים הנמנה עם העניינים המפורטים בתקנת משנה (א)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יידון;</w:t>
      </w:r>
    </w:p>
    <w:p w14:paraId="5299A8B0" w14:textId="77777777" w:rsidR="00192E1C" w:rsidRDefault="00192E1C" w:rsidP="00192E1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כי הליך מסוים שאינו נמנה עם העניינים המפורטים בתקנת משנה (א)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יידון;</w:t>
      </w:r>
    </w:p>
    <w:p w14:paraId="6BE94BBD" w14:textId="77777777" w:rsidR="00192E1C" w:rsidRDefault="00192E1C" w:rsidP="00192E1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כי בהליך מסוים יתקיים דיון במותב של שלושה.</w:t>
      </w:r>
    </w:p>
    <w:p w14:paraId="700B8FC3" w14:textId="77777777" w:rsidR="00A657A4" w:rsidRDefault="00A65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423C0976">
          <v:rect id="_x0000_s1029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5F15D674" w14:textId="77777777" w:rsidR="00A657A4" w:rsidRDefault="00A657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רכת מועדים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ת</w:t>
      </w:r>
      <w:r w:rsidR="001B7C4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קפה של ההודעה לא תבוא במני</w:t>
      </w:r>
      <w:r w:rsidR="001B7C4F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הימים לעשיית דבר שבסדרי דין או בנוהג</w:t>
      </w:r>
      <w:r w:rsidR="001B7C4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שנקבע</w:t>
      </w:r>
      <w:r w:rsidR="001B7C4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בחיקוק או ש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 xml:space="preserve">ע בית </w:t>
      </w:r>
      <w:r w:rsidR="001B7C4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דין</w:t>
      </w:r>
      <w:r w:rsidR="001B7C4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2E3F4A">
        <w:rPr>
          <w:rStyle w:val="default"/>
          <w:rFonts w:cs="FrankRuehl" w:hint="cs"/>
          <w:rtl/>
        </w:rPr>
        <w:t>ובכלל זה מניין ימי תקופת עיכוב ההליכים בהתאם לחוק להסדר התדיינויות בסכסוכי משפחה (הוראת שעה), התשע"ה-2014, אלא אם כן קבע בית הדין</w:t>
      </w:r>
      <w:r w:rsidR="001B7C4F">
        <w:rPr>
          <w:rStyle w:val="default"/>
          <w:rFonts w:cs="FrankRuehl" w:hint="cs"/>
          <w:rtl/>
        </w:rPr>
        <w:t xml:space="preserve"> אחרת </w:t>
      </w:r>
      <w:r w:rsidR="002E3F4A">
        <w:rPr>
          <w:rStyle w:val="default"/>
          <w:rFonts w:cs="FrankRuehl" w:hint="cs"/>
          <w:rtl/>
        </w:rPr>
        <w:t>בהחלטה, מטעמים מיוחדים שיירשמו</w:t>
      </w:r>
      <w:r>
        <w:rPr>
          <w:rStyle w:val="default"/>
          <w:rFonts w:cs="FrankRuehl" w:hint="cs"/>
          <w:rtl/>
        </w:rPr>
        <w:t>.</w:t>
      </w:r>
    </w:p>
    <w:p w14:paraId="069720A8" w14:textId="77777777" w:rsidR="00A657A4" w:rsidRDefault="00A657A4" w:rsidP="003075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1443D786">
          <v:rect id="_x0000_s1030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64FB8DDE" w14:textId="77777777" w:rsidR="00A657A4" w:rsidRDefault="00A657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אג</w:t>
      </w:r>
      <w:r>
        <w:rPr>
          <w:rStyle w:val="default"/>
          <w:rFonts w:cs="FrankRuehl" w:hint="cs"/>
          <w:rtl/>
        </w:rPr>
        <w:t>רה שיש לשלמה</w:t>
      </w:r>
      <w:r w:rsidR="002E3F4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לפני תחילת </w:t>
      </w:r>
      <w:r w:rsidR="001B7C4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ליך</w:t>
      </w:r>
      <w:r w:rsidR="002E3F4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 תקנות </w:t>
      </w:r>
      <w:r w:rsidR="002E3F4A">
        <w:rPr>
          <w:rStyle w:val="default"/>
          <w:rFonts w:cs="FrankRuehl" w:hint="cs"/>
          <w:rtl/>
        </w:rPr>
        <w:t>הדיינים (אגרות), התשי"ז-1957</w:t>
      </w:r>
      <w:r>
        <w:rPr>
          <w:rStyle w:val="default"/>
          <w:rFonts w:cs="FrankRuehl" w:hint="cs"/>
          <w:rtl/>
        </w:rPr>
        <w:t>, יידחה תשלומה עד תום תקופת ת</w:t>
      </w:r>
      <w:r w:rsidR="001B7C4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קפה של ההודעה, </w:t>
      </w:r>
      <w:r w:rsidR="002E3F4A">
        <w:rPr>
          <w:rStyle w:val="default"/>
          <w:rFonts w:cs="FrankRuehl" w:hint="cs"/>
          <w:rtl/>
        </w:rPr>
        <w:t>אם הוגשה יחד עם פתיחת ההליך בקשה לכך</w:t>
      </w:r>
      <w:r>
        <w:rPr>
          <w:rStyle w:val="default"/>
          <w:rFonts w:cs="FrankRuehl" w:hint="cs"/>
          <w:rtl/>
        </w:rPr>
        <w:t>.</w:t>
      </w:r>
    </w:p>
    <w:p w14:paraId="6ECC8766" w14:textId="77777777" w:rsidR="003853E0" w:rsidRDefault="003853E0" w:rsidP="003853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lang w:val="he-IL"/>
        </w:rPr>
        <w:pict w14:anchorId="09AFF97D">
          <v:rect id="_x0000_s1031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14:paraId="0B1C77FA" w14:textId="77777777" w:rsidR="003853E0" w:rsidRDefault="002E3F4A" w:rsidP="003853E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2E3F4A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2E3F4A">
        <w:rPr>
          <w:rStyle w:val="default"/>
          <w:rFonts w:cs="FrankRuehl" w:hint="cs"/>
          <w:rtl/>
        </w:rPr>
        <w:t xml:space="preserve">תוקפן של תקנות </w:t>
      </w:r>
      <w:r w:rsidR="00192E1C">
        <w:rPr>
          <w:rStyle w:val="default"/>
          <w:rFonts w:cs="FrankRuehl" w:hint="cs"/>
          <w:rtl/>
        </w:rPr>
        <w:t>אלה לשנה אחת מיום פרסומן</w:t>
      </w:r>
      <w:r>
        <w:rPr>
          <w:rStyle w:val="default"/>
          <w:rFonts w:cs="FrankRuehl" w:hint="cs"/>
          <w:rtl/>
        </w:rPr>
        <w:t>.</w:t>
      </w:r>
    </w:p>
    <w:p w14:paraId="37734100" w14:textId="77777777" w:rsidR="003853E0" w:rsidRDefault="003853E0" w:rsidP="003075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917B09" w14:textId="77777777" w:rsidR="00A657A4" w:rsidRDefault="00A657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29E088" w14:textId="77777777" w:rsidR="00A657A4" w:rsidRDefault="00BD6EA1" w:rsidP="001B7C4F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כ"ו בסיוון התש"ף (18 ביוני</w:t>
      </w:r>
      <w:r w:rsidR="001B7C4F">
        <w:rPr>
          <w:rFonts w:cs="FrankRuehl" w:hint="cs"/>
          <w:sz w:val="26"/>
          <w:rtl/>
        </w:rPr>
        <w:t xml:space="preserve"> 2020</w:t>
      </w:r>
      <w:r w:rsidR="00A657A4">
        <w:rPr>
          <w:rFonts w:cs="FrankRuehl" w:hint="cs"/>
          <w:sz w:val="26"/>
          <w:rtl/>
        </w:rPr>
        <w:t>)</w:t>
      </w:r>
      <w:r w:rsidR="00A657A4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יעקב אביטן</w:t>
      </w:r>
    </w:p>
    <w:p w14:paraId="1C97C090" w14:textId="77777777" w:rsidR="00A657A4" w:rsidRDefault="00A657A4" w:rsidP="001B7C4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 w:rsidR="00BD6EA1">
        <w:rPr>
          <w:rFonts w:cs="FrankRuehl" w:hint="cs"/>
          <w:sz w:val="22"/>
          <w:rtl/>
        </w:rPr>
        <w:t>השר לשירותי דת</w:t>
      </w:r>
    </w:p>
    <w:p w14:paraId="04C3113C" w14:textId="77777777" w:rsidR="00DD3EE4" w:rsidRPr="0030756D" w:rsidRDefault="00DD3EE4" w:rsidP="003075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78D1C2" w14:textId="77777777" w:rsidR="00A657A4" w:rsidRPr="0030756D" w:rsidRDefault="00A657A4" w:rsidP="003075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13EAB4" w14:textId="77777777" w:rsidR="00A657A4" w:rsidRPr="0030756D" w:rsidRDefault="00A657A4" w:rsidP="003075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4F1FAC18" w14:textId="77777777" w:rsidR="00E670C7" w:rsidRDefault="00E670C7" w:rsidP="003075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19F11C" w14:textId="77777777" w:rsidR="00E670C7" w:rsidRDefault="00E670C7" w:rsidP="003075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43713A" w14:textId="77777777" w:rsidR="00E670C7" w:rsidRDefault="00E670C7" w:rsidP="00E670C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15B7E6F" w14:textId="77777777" w:rsidR="00761C26" w:rsidRPr="00E670C7" w:rsidRDefault="00761C26" w:rsidP="00E670C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61C26" w:rsidRPr="00E670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42E5" w14:textId="77777777" w:rsidR="002D6B32" w:rsidRDefault="002D6B32">
      <w:pPr>
        <w:spacing w:line="240" w:lineRule="auto"/>
      </w:pPr>
      <w:r>
        <w:separator/>
      </w:r>
    </w:p>
  </w:endnote>
  <w:endnote w:type="continuationSeparator" w:id="0">
    <w:p w14:paraId="4F4F132D" w14:textId="77777777" w:rsidR="002D6B32" w:rsidRDefault="002D6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43E6" w14:textId="77777777" w:rsidR="00A657A4" w:rsidRDefault="00A657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CEBAD3" w14:textId="77777777" w:rsidR="00A657A4" w:rsidRDefault="00A657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E21CA1" w14:textId="77777777" w:rsidR="00A657A4" w:rsidRDefault="00A657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3C7B">
      <w:rPr>
        <w:rFonts w:cs="TopType Jerushalmi"/>
        <w:noProof/>
        <w:color w:val="000000"/>
        <w:sz w:val="14"/>
        <w:szCs w:val="14"/>
      </w:rPr>
      <w:t>Z:\000000000000-law\yael\08-10-12\042_020.doc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E957" w14:textId="77777777" w:rsidR="00A657A4" w:rsidRDefault="00A657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670C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4C7B121" w14:textId="77777777" w:rsidR="00A657A4" w:rsidRDefault="00A657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BE32903" w14:textId="77777777" w:rsidR="00A657A4" w:rsidRDefault="00A657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3C7B">
      <w:rPr>
        <w:rFonts w:cs="TopType Jerushalmi"/>
        <w:noProof/>
        <w:color w:val="000000"/>
        <w:sz w:val="14"/>
        <w:szCs w:val="14"/>
      </w:rPr>
      <w:t>Z:\000000000000-law\yael\08-10-12\042_020.doc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2E0AA" w14:textId="77777777" w:rsidR="002D6B32" w:rsidRDefault="002D6B32" w:rsidP="0030756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E147CE" w14:textId="77777777" w:rsidR="002D6B32" w:rsidRDefault="002D6B32">
      <w:pPr>
        <w:spacing w:line="240" w:lineRule="auto"/>
      </w:pPr>
      <w:r>
        <w:continuationSeparator/>
      </w:r>
    </w:p>
  </w:footnote>
  <w:footnote w:id="1">
    <w:p w14:paraId="3C22038A" w14:textId="77777777" w:rsidR="009245A1" w:rsidRPr="0030756D" w:rsidRDefault="0030756D" w:rsidP="009245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0756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245A1">
          <w:rPr>
            <w:rStyle w:val="Hyperlink"/>
            <w:rFonts w:cs="FrankRuehl" w:hint="cs"/>
            <w:rtl/>
          </w:rPr>
          <w:t>ק"ת תש</w:t>
        </w:r>
        <w:r w:rsidR="002827C0" w:rsidRPr="009245A1">
          <w:rPr>
            <w:rStyle w:val="Hyperlink"/>
            <w:rFonts w:cs="FrankRuehl" w:hint="cs"/>
            <w:rtl/>
          </w:rPr>
          <w:t>"ף</w:t>
        </w:r>
        <w:r w:rsidRPr="009245A1">
          <w:rPr>
            <w:rStyle w:val="Hyperlink"/>
            <w:rFonts w:cs="FrankRuehl" w:hint="cs"/>
            <w:rtl/>
          </w:rPr>
          <w:t xml:space="preserve"> מס' </w:t>
        </w:r>
        <w:r w:rsidR="00BB32DD" w:rsidRPr="009245A1">
          <w:rPr>
            <w:rStyle w:val="Hyperlink"/>
            <w:rFonts w:cs="FrankRuehl" w:hint="cs"/>
            <w:rtl/>
          </w:rPr>
          <w:t>8621</w:t>
        </w:r>
      </w:hyperlink>
      <w:r>
        <w:rPr>
          <w:rFonts w:cs="FrankRuehl" w:hint="cs"/>
          <w:rtl/>
        </w:rPr>
        <w:t xml:space="preserve"> מיום </w:t>
      </w:r>
      <w:r w:rsidR="00BB32DD">
        <w:rPr>
          <w:rFonts w:cs="FrankRuehl" w:hint="cs"/>
          <w:rtl/>
        </w:rPr>
        <w:t>25.6</w:t>
      </w:r>
      <w:r w:rsidR="002827C0">
        <w:rPr>
          <w:rFonts w:cs="FrankRuehl" w:hint="cs"/>
          <w:rtl/>
        </w:rPr>
        <w:t>.2020</w:t>
      </w:r>
      <w:r>
        <w:rPr>
          <w:rFonts w:cs="FrankRuehl" w:hint="cs"/>
          <w:rtl/>
        </w:rPr>
        <w:t xml:space="preserve"> עמ' </w:t>
      </w:r>
      <w:r w:rsidR="00BB32DD">
        <w:rPr>
          <w:rFonts w:cs="FrankRuehl" w:hint="cs"/>
          <w:rtl/>
        </w:rPr>
        <w:t>1634</w:t>
      </w:r>
      <w:r>
        <w:rPr>
          <w:rFonts w:cs="FrankRuehl" w:hint="cs"/>
          <w:rtl/>
        </w:rPr>
        <w:t>.</w:t>
      </w:r>
    </w:p>
  </w:footnote>
  <w:footnote w:id="2">
    <w:p w14:paraId="7FEE977A" w14:textId="77777777" w:rsidR="00390171" w:rsidRDefault="00390171" w:rsidP="003901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390171">
        <w:rPr>
          <w:rFonts w:ascii="FrankRuehl" w:hAnsi="FrankRuehl" w:cs="FrankRuehl"/>
          <w:rtl/>
        </w:rPr>
        <w:t xml:space="preserve"> ר' הודעה מיום 11.10.2020 עד יום 15.10.2020: </w:t>
      </w:r>
      <w:hyperlink r:id="rId2" w:history="1">
        <w:r w:rsidRPr="00390171">
          <w:rPr>
            <w:rStyle w:val="Hyperlink"/>
            <w:rFonts w:ascii="FrankRuehl" w:hAnsi="FrankRuehl" w:cs="FrankRuehl" w:hint="cs"/>
            <w:rtl/>
          </w:rPr>
          <w:t xml:space="preserve">י"פ תשפ"א מס' </w:t>
        </w:r>
        <w:r w:rsidRPr="00390171">
          <w:rPr>
            <w:rStyle w:val="Hyperlink"/>
            <w:rFonts w:cs="FrankRuehl" w:hint="cs"/>
            <w:rtl/>
          </w:rPr>
          <w:t>9138</w:t>
        </w:r>
      </w:hyperlink>
      <w:r w:rsidRPr="00390171">
        <w:rPr>
          <w:rFonts w:ascii="FrankRuehl" w:hAnsi="FrankRuehl" w:cs="FrankRuehl"/>
          <w:rtl/>
        </w:rPr>
        <w:t xml:space="preserve"> מיום 8.10.2020 עמ' 270.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08AB2" w14:textId="77777777" w:rsidR="00A657A4" w:rsidRDefault="00A657A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בית הדין לעבודה (סדרי דין במצב חירום מיוחד), תשנ"א- 1991</w:t>
    </w:r>
  </w:p>
  <w:p w14:paraId="5A158A61" w14:textId="77777777" w:rsidR="00A657A4" w:rsidRDefault="00A657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6AA287" w14:textId="77777777" w:rsidR="00A657A4" w:rsidRDefault="00A657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5C9C" w14:textId="77777777" w:rsidR="00A657A4" w:rsidRDefault="00A657A4" w:rsidP="003075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</w:t>
    </w:r>
    <w:r w:rsidR="00BB32DD">
      <w:rPr>
        <w:rFonts w:hAnsi="FrankRuehl" w:cs="FrankRuehl" w:hint="cs"/>
        <w:color w:val="000000"/>
        <w:sz w:val="28"/>
        <w:szCs w:val="28"/>
        <w:rtl/>
      </w:rPr>
      <w:t>הדיינים</w:t>
    </w:r>
    <w:r>
      <w:rPr>
        <w:rFonts w:hAnsi="FrankRuehl" w:cs="FrankRuehl"/>
        <w:color w:val="000000"/>
        <w:sz w:val="28"/>
        <w:szCs w:val="28"/>
        <w:rtl/>
      </w:rPr>
      <w:t xml:space="preserve"> (סדרי דין </w:t>
    </w:r>
    <w:r w:rsidR="003853E0">
      <w:rPr>
        <w:rFonts w:hAnsi="FrankRuehl" w:cs="FrankRuehl" w:hint="cs"/>
        <w:color w:val="000000"/>
        <w:sz w:val="28"/>
        <w:szCs w:val="28"/>
        <w:rtl/>
      </w:rPr>
      <w:t xml:space="preserve">בבתי הדין הרבניים </w:t>
    </w:r>
    <w:r>
      <w:rPr>
        <w:rFonts w:hAnsi="FrankRuehl" w:cs="FrankRuehl"/>
        <w:color w:val="000000"/>
        <w:sz w:val="28"/>
        <w:szCs w:val="28"/>
        <w:rtl/>
      </w:rPr>
      <w:t>ב</w:t>
    </w:r>
    <w:r w:rsidR="003853E0">
      <w:rPr>
        <w:rFonts w:hAnsi="FrankRuehl" w:cs="FrankRuehl" w:hint="cs"/>
        <w:color w:val="000000"/>
        <w:sz w:val="28"/>
        <w:szCs w:val="28"/>
        <w:rtl/>
      </w:rPr>
      <w:t xml:space="preserve">עת </w:t>
    </w:r>
    <w:r>
      <w:rPr>
        <w:rFonts w:hAnsi="FrankRuehl" w:cs="FrankRuehl"/>
        <w:color w:val="000000"/>
        <w:sz w:val="28"/>
        <w:szCs w:val="28"/>
        <w:rtl/>
      </w:rPr>
      <w:t>מצב חירום מיוחד)</w:t>
    </w:r>
    <w:r w:rsidR="00BB32DD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 w:rsidR="002827C0">
      <w:rPr>
        <w:rFonts w:hAnsi="FrankRuehl" w:cs="FrankRuehl" w:hint="cs"/>
        <w:color w:val="000000"/>
        <w:sz w:val="28"/>
        <w:szCs w:val="28"/>
        <w:rtl/>
      </w:rPr>
      <w:t>תש"ף-2020</w:t>
    </w:r>
  </w:p>
  <w:p w14:paraId="62DC94AD" w14:textId="77777777" w:rsidR="00A657A4" w:rsidRDefault="00A657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40A00B" w14:textId="77777777" w:rsidR="00A657A4" w:rsidRDefault="00A657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E36"/>
    <w:rsid w:val="000B46A2"/>
    <w:rsid w:val="00192E1C"/>
    <w:rsid w:val="001B7C4F"/>
    <w:rsid w:val="001D3413"/>
    <w:rsid w:val="0022219C"/>
    <w:rsid w:val="002827C0"/>
    <w:rsid w:val="00296B63"/>
    <w:rsid w:val="002D6B32"/>
    <w:rsid w:val="002E3F4A"/>
    <w:rsid w:val="0030756D"/>
    <w:rsid w:val="003853E0"/>
    <w:rsid w:val="00390171"/>
    <w:rsid w:val="003C3E36"/>
    <w:rsid w:val="0042782B"/>
    <w:rsid w:val="00484FDE"/>
    <w:rsid w:val="005F2F01"/>
    <w:rsid w:val="006E64FF"/>
    <w:rsid w:val="00761C26"/>
    <w:rsid w:val="0078689E"/>
    <w:rsid w:val="007B6611"/>
    <w:rsid w:val="00914DE6"/>
    <w:rsid w:val="009245A1"/>
    <w:rsid w:val="00925C28"/>
    <w:rsid w:val="0095511A"/>
    <w:rsid w:val="00990F77"/>
    <w:rsid w:val="009A1A24"/>
    <w:rsid w:val="00A01E80"/>
    <w:rsid w:val="00A06D7A"/>
    <w:rsid w:val="00A53C7B"/>
    <w:rsid w:val="00A657A4"/>
    <w:rsid w:val="00A741A5"/>
    <w:rsid w:val="00AF6DA3"/>
    <w:rsid w:val="00BB32DD"/>
    <w:rsid w:val="00BC69AD"/>
    <w:rsid w:val="00BD6EA1"/>
    <w:rsid w:val="00CA0D3B"/>
    <w:rsid w:val="00CE3971"/>
    <w:rsid w:val="00CE4FA1"/>
    <w:rsid w:val="00CE697E"/>
    <w:rsid w:val="00D25AE8"/>
    <w:rsid w:val="00DD3EE4"/>
    <w:rsid w:val="00E4463E"/>
    <w:rsid w:val="00E44C18"/>
    <w:rsid w:val="00E670C7"/>
    <w:rsid w:val="00EE5F00"/>
    <w:rsid w:val="00F4674E"/>
    <w:rsid w:val="00F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21F900"/>
  <w15:chartTrackingRefBased/>
  <w15:docId w15:val="{97C424AC-B440-4E68-9DB0-3993FDC3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30756D"/>
    <w:rPr>
      <w:sz w:val="20"/>
      <w:szCs w:val="20"/>
    </w:rPr>
  </w:style>
  <w:style w:type="character" w:styleId="a6">
    <w:name w:val="footnote reference"/>
    <w:semiHidden/>
    <w:rsid w:val="0030756D"/>
    <w:rPr>
      <w:vertAlign w:val="superscript"/>
    </w:rPr>
  </w:style>
  <w:style w:type="character" w:styleId="a7">
    <w:name w:val="Unresolved Mention"/>
    <w:uiPriority w:val="99"/>
    <w:semiHidden/>
    <w:unhideWhenUsed/>
    <w:rsid w:val="001D3413"/>
    <w:rPr>
      <w:color w:val="605E5C"/>
      <w:shd w:val="clear" w:color="auto" w:fill="E1DFDD"/>
    </w:rPr>
  </w:style>
  <w:style w:type="character" w:customStyle="1" w:styleId="P000">
    <w:name w:val="P00 תו"/>
    <w:link w:val="P00"/>
    <w:rsid w:val="007B6611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10/yalkut-9138.pdf" TargetMode="External"/><Relationship Id="rId1" Type="http://schemas.openxmlformats.org/officeDocument/2006/relationships/hyperlink" Target="https://www.nevo.co.il/law_word/law06/tak-86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F548-0726-4005-8C24-79DD780B5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4718</CharactersWithSpaces>
  <SharedDoc>false</SharedDoc>
  <HLinks>
    <vt:vector size="54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1245301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https://www.nevo.co.il/law_word/law10/yalkut-9138.pdf</vt:lpwstr>
      </vt:variant>
      <vt:variant>
        <vt:lpwstr/>
      </vt:variant>
      <vt:variant>
        <vt:i4>7405592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שעת חירום</vt:lpwstr>
  </property>
  <property fmtid="{D5CDD505-2E9C-101B-9397-08002B2CF9AE}" pid="4" name="LAWNAME">
    <vt:lpwstr>תקנות הדיינים (סדרי דין בבתי הדין הרבניים בעת מצב חירום מיוחד) (הוראת שעה), תש"ף-2020</vt:lpwstr>
  </property>
  <property fmtid="{D5CDD505-2E9C-101B-9397-08002B2CF9AE}" pid="5" name="LAWNUMBER">
    <vt:lpwstr>0311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41">
    <vt:lpwstr/>
  </property>
  <property fmtid="{D5CDD505-2E9C-101B-9397-08002B2CF9AE}" pid="10" name="NOSE12">
    <vt:lpwstr>בתי משפט וסדרי דין</vt:lpwstr>
  </property>
  <property fmtid="{D5CDD505-2E9C-101B-9397-08002B2CF9AE}" pid="11" name="NOSE22">
    <vt:lpwstr>בתי משפט ובתי דין</vt:lpwstr>
  </property>
  <property fmtid="{D5CDD505-2E9C-101B-9397-08002B2CF9AE}" pid="12" name="NOSE32">
    <vt:lpwstr>בתי דין רבניים</vt:lpwstr>
  </property>
  <property fmtid="{D5CDD505-2E9C-101B-9397-08002B2CF9AE}" pid="13" name="NOSE43">
    <vt:lpwstr/>
  </property>
  <property fmtid="{D5CDD505-2E9C-101B-9397-08002B2CF9AE}" pid="14" name="NOSE34">
    <vt:lpwstr/>
  </property>
  <property fmtid="{D5CDD505-2E9C-101B-9397-08002B2CF9AE}" pid="15" name="NOSE44">
    <vt:lpwstr/>
  </property>
  <property fmtid="{D5CDD505-2E9C-101B-9397-08002B2CF9AE}" pid="16" name="NOSE45">
    <vt:lpwstr/>
  </property>
  <property fmtid="{D5CDD505-2E9C-101B-9397-08002B2CF9AE}" pid="17" name="NOSE16">
    <vt:lpwstr/>
  </property>
  <property fmtid="{D5CDD505-2E9C-101B-9397-08002B2CF9AE}" pid="18" name="NOSE26">
    <vt:lpwstr/>
  </property>
  <property fmtid="{D5CDD505-2E9C-101B-9397-08002B2CF9AE}" pid="19" name="NOSE36">
    <vt:lpwstr/>
  </property>
  <property fmtid="{D5CDD505-2E9C-101B-9397-08002B2CF9AE}" pid="20" name="NOSE46">
    <vt:lpwstr/>
  </property>
  <property fmtid="{D5CDD505-2E9C-101B-9397-08002B2CF9AE}" pid="21" name="NOSE17">
    <vt:lpwstr/>
  </property>
  <property fmtid="{D5CDD505-2E9C-101B-9397-08002B2CF9AE}" pid="22" name="NOSE27">
    <vt:lpwstr/>
  </property>
  <property fmtid="{D5CDD505-2E9C-101B-9397-08002B2CF9AE}" pid="23" name="NOSE37">
    <vt:lpwstr/>
  </property>
  <property fmtid="{D5CDD505-2E9C-101B-9397-08002B2CF9AE}" pid="24" name="NOSE47">
    <vt:lpwstr/>
  </property>
  <property fmtid="{D5CDD505-2E9C-101B-9397-08002B2CF9AE}" pid="25" name="NOSE18">
    <vt:lpwstr/>
  </property>
  <property fmtid="{D5CDD505-2E9C-101B-9397-08002B2CF9AE}" pid="26" name="NOSE28">
    <vt:lpwstr/>
  </property>
  <property fmtid="{D5CDD505-2E9C-101B-9397-08002B2CF9AE}" pid="27" name="NOSE38">
    <vt:lpwstr/>
  </property>
  <property fmtid="{D5CDD505-2E9C-101B-9397-08002B2CF9AE}" pid="28" name="NOSE48">
    <vt:lpwstr/>
  </property>
  <property fmtid="{D5CDD505-2E9C-101B-9397-08002B2CF9AE}" pid="29" name="NOSE19">
    <vt:lpwstr/>
  </property>
  <property fmtid="{D5CDD505-2E9C-101B-9397-08002B2CF9AE}" pid="30" name="NOSE29">
    <vt:lpwstr/>
  </property>
  <property fmtid="{D5CDD505-2E9C-101B-9397-08002B2CF9AE}" pid="31" name="NOSE39">
    <vt:lpwstr/>
  </property>
  <property fmtid="{D5CDD505-2E9C-101B-9397-08002B2CF9AE}" pid="32" name="NOSE49">
    <vt:lpwstr/>
  </property>
  <property fmtid="{D5CDD505-2E9C-101B-9397-08002B2CF9AE}" pid="33" name="NOSE110">
    <vt:lpwstr/>
  </property>
  <property fmtid="{D5CDD505-2E9C-101B-9397-08002B2CF9AE}" pid="34" name="NOSE210">
    <vt:lpwstr/>
  </property>
  <property fmtid="{D5CDD505-2E9C-101B-9397-08002B2CF9AE}" pid="35" name="NOSE310">
    <vt:lpwstr/>
  </property>
  <property fmtid="{D5CDD505-2E9C-101B-9397-08002B2CF9AE}" pid="36" name="NOSE410">
    <vt:lpwstr/>
  </property>
  <property fmtid="{D5CDD505-2E9C-101B-9397-08002B2CF9AE}" pid="37" name="MEKORSAMCHUT">
    <vt:lpwstr/>
  </property>
  <property fmtid="{D5CDD505-2E9C-101B-9397-08002B2CF9AE}" pid="38" name="LINKK3">
    <vt:lpwstr/>
  </property>
  <property fmtid="{D5CDD505-2E9C-101B-9397-08002B2CF9AE}" pid="39" name="LINKK4">
    <vt:lpwstr/>
  </property>
  <property fmtid="{D5CDD505-2E9C-101B-9397-08002B2CF9AE}" pid="40" name="LINKK5">
    <vt:lpwstr/>
  </property>
  <property fmtid="{D5CDD505-2E9C-101B-9397-08002B2CF9AE}" pid="41" name="LINKK6">
    <vt:lpwstr/>
  </property>
  <property fmtid="{D5CDD505-2E9C-101B-9397-08002B2CF9AE}" pid="42" name="LINKK7">
    <vt:lpwstr/>
  </property>
  <property fmtid="{D5CDD505-2E9C-101B-9397-08002B2CF9AE}" pid="43" name="LINKK8">
    <vt:lpwstr/>
  </property>
  <property fmtid="{D5CDD505-2E9C-101B-9397-08002B2CF9AE}" pid="44" name="LINKK9">
    <vt:lpwstr/>
  </property>
  <property fmtid="{D5CDD505-2E9C-101B-9397-08002B2CF9AE}" pid="45" name="LINKK10">
    <vt:lpwstr/>
  </property>
  <property fmtid="{D5CDD505-2E9C-101B-9397-08002B2CF9AE}" pid="46" name="LINKI1">
    <vt:lpwstr/>
  </property>
  <property fmtid="{D5CDD505-2E9C-101B-9397-08002B2CF9AE}" pid="47" name="LINKI2">
    <vt:lpwstr/>
  </property>
  <property fmtid="{D5CDD505-2E9C-101B-9397-08002B2CF9AE}" pid="48" name="LINKI3">
    <vt:lpwstr/>
  </property>
  <property fmtid="{D5CDD505-2E9C-101B-9397-08002B2CF9AE}" pid="49" name="LINKI4">
    <vt:lpwstr/>
  </property>
  <property fmtid="{D5CDD505-2E9C-101B-9397-08002B2CF9AE}" pid="50" name="LINKI5">
    <vt:lpwstr/>
  </property>
  <property fmtid="{D5CDD505-2E9C-101B-9397-08002B2CF9AE}" pid="51" name="MEKOR_NAME1">
    <vt:lpwstr>חוק הדיינים, תשט"ו-1955</vt:lpwstr>
  </property>
  <property fmtid="{D5CDD505-2E9C-101B-9397-08002B2CF9AE}" pid="52" name="MEKOR_LAWID1">
    <vt:lpwstr>71521</vt:lpwstr>
  </property>
  <property fmtid="{D5CDD505-2E9C-101B-9397-08002B2CF9AE}" pid="53" name="MEKOR_SAIF1">
    <vt:lpwstr>13X;27XאX1X</vt:lpwstr>
  </property>
  <property fmtid="{D5CDD505-2E9C-101B-9397-08002B2CF9AE}" pid="54" name="LINKK1">
    <vt:lpwstr>https://www.nevo.co.il/law_word/law06/tak-8621.pdf‏;רשומות - תקנות כלליות#פורסמו ק"ת תש"ף מס' ‏‏8621 #מיום 25.6.2020 עמ' 1634‏</vt:lpwstr>
  </property>
  <property fmtid="{D5CDD505-2E9C-101B-9397-08002B2CF9AE}" pid="55" name="LINKK2">
    <vt:lpwstr/>
  </property>
</Properties>
</file>