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62D70" w14:textId="77777777" w:rsidR="009C17D8" w:rsidRDefault="00194F50" w:rsidP="00194F50">
      <w:pPr>
        <w:pStyle w:val="big-header"/>
        <w:ind w:left="0" w:right="1134"/>
        <w:rPr>
          <w:rFonts w:cs="FrankRuehl" w:hint="cs"/>
          <w:sz w:val="32"/>
          <w:rtl/>
        </w:rPr>
      </w:pPr>
      <w:r>
        <w:rPr>
          <w:rFonts w:cs="FrankRuehl" w:hint="cs"/>
          <w:sz w:val="32"/>
          <w:rtl/>
        </w:rPr>
        <w:t>תקנות</w:t>
      </w:r>
      <w:r w:rsidR="00007311">
        <w:rPr>
          <w:rFonts w:cs="FrankRuehl" w:hint="cs"/>
          <w:sz w:val="32"/>
          <w:rtl/>
        </w:rPr>
        <w:t xml:space="preserve"> ההנדסאים והטכנאים המוסמכים</w:t>
      </w:r>
      <w:r>
        <w:rPr>
          <w:rFonts w:cs="FrankRuehl" w:hint="cs"/>
          <w:sz w:val="32"/>
          <w:rtl/>
        </w:rPr>
        <w:t xml:space="preserve"> (דרכי מינוי, תקופת כהונה, סייגים למינוי של ועדת משמעת)</w:t>
      </w:r>
      <w:r w:rsidR="009C17D8">
        <w:rPr>
          <w:rFonts w:cs="FrankRuehl"/>
          <w:sz w:val="32"/>
          <w:rtl/>
        </w:rPr>
        <w:t xml:space="preserve">, </w:t>
      </w:r>
      <w:r w:rsidR="005B5BB0">
        <w:rPr>
          <w:rFonts w:cs="FrankRuehl" w:hint="cs"/>
          <w:sz w:val="32"/>
          <w:rtl/>
        </w:rPr>
        <w:t>תשע"</w:t>
      </w:r>
      <w:r>
        <w:rPr>
          <w:rFonts w:cs="FrankRuehl" w:hint="cs"/>
          <w:sz w:val="32"/>
          <w:rtl/>
        </w:rPr>
        <w:t>ז</w:t>
      </w:r>
      <w:r w:rsidR="005B5BB0">
        <w:rPr>
          <w:rFonts w:cs="FrankRuehl" w:hint="cs"/>
          <w:sz w:val="32"/>
          <w:rtl/>
        </w:rPr>
        <w:t>-201</w:t>
      </w:r>
      <w:r>
        <w:rPr>
          <w:rFonts w:cs="FrankRuehl" w:hint="cs"/>
          <w:sz w:val="32"/>
          <w:rtl/>
        </w:rPr>
        <w:t>7</w:t>
      </w:r>
    </w:p>
    <w:p w14:paraId="07A9E98C" w14:textId="77777777" w:rsidR="00007311" w:rsidRPr="00007311" w:rsidRDefault="00007311" w:rsidP="00007311">
      <w:pPr>
        <w:spacing w:line="320" w:lineRule="auto"/>
        <w:jc w:val="left"/>
        <w:rPr>
          <w:rFonts w:cs="FrankRuehl"/>
          <w:szCs w:val="26"/>
          <w:rtl/>
        </w:rPr>
      </w:pPr>
    </w:p>
    <w:p w14:paraId="1C715AC1" w14:textId="77777777" w:rsidR="00007311" w:rsidRDefault="00007311" w:rsidP="00007311">
      <w:pPr>
        <w:spacing w:line="320" w:lineRule="auto"/>
        <w:jc w:val="left"/>
        <w:rPr>
          <w:rtl/>
        </w:rPr>
      </w:pPr>
    </w:p>
    <w:p w14:paraId="43B36F1C" w14:textId="77777777" w:rsidR="00007311" w:rsidRDefault="00007311" w:rsidP="00007311">
      <w:pPr>
        <w:spacing w:line="320" w:lineRule="auto"/>
        <w:jc w:val="left"/>
        <w:rPr>
          <w:rFonts w:cs="Miriam"/>
          <w:szCs w:val="22"/>
        </w:rPr>
      </w:pPr>
      <w:r w:rsidRPr="00007311">
        <w:rPr>
          <w:rFonts w:cs="Miriam"/>
          <w:szCs w:val="22"/>
          <w:rtl/>
        </w:rPr>
        <w:t>משפט פרטי וכלכלה</w:t>
      </w:r>
      <w:r w:rsidRPr="00007311">
        <w:rPr>
          <w:rFonts w:cs="FrankRuehl"/>
          <w:szCs w:val="26"/>
        </w:rPr>
        <w:t xml:space="preserve"> – </w:t>
      </w:r>
      <w:r w:rsidRPr="00007311">
        <w:rPr>
          <w:rFonts w:cs="FrankRuehl"/>
          <w:szCs w:val="26"/>
          <w:rtl/>
        </w:rPr>
        <w:t>הסדרת עיסוק</w:t>
      </w:r>
      <w:r w:rsidRPr="00007311">
        <w:rPr>
          <w:rFonts w:cs="FrankRuehl"/>
          <w:szCs w:val="26"/>
        </w:rPr>
        <w:t xml:space="preserve"> – </w:t>
      </w:r>
      <w:r w:rsidRPr="00007311">
        <w:rPr>
          <w:rFonts w:cs="FrankRuehl"/>
          <w:szCs w:val="26"/>
          <w:rtl/>
        </w:rPr>
        <w:t>מהנדסים ואדריכלים</w:t>
      </w:r>
    </w:p>
    <w:p w14:paraId="55BA6C92" w14:textId="77777777" w:rsidR="00007311" w:rsidRPr="00007311" w:rsidRDefault="00007311" w:rsidP="00007311">
      <w:pPr>
        <w:spacing w:line="320" w:lineRule="auto"/>
        <w:jc w:val="left"/>
        <w:rPr>
          <w:rFonts w:cs="Miriam" w:hint="cs"/>
          <w:szCs w:val="22"/>
        </w:rPr>
      </w:pPr>
      <w:r w:rsidRPr="00007311">
        <w:rPr>
          <w:rFonts w:cs="Miriam"/>
          <w:szCs w:val="22"/>
          <w:rtl/>
        </w:rPr>
        <w:t>רשויות ומשפט מנהלי</w:t>
      </w:r>
      <w:r w:rsidRPr="00007311">
        <w:rPr>
          <w:rFonts w:cs="FrankRuehl"/>
          <w:szCs w:val="26"/>
        </w:rPr>
        <w:t xml:space="preserve"> – </w:t>
      </w:r>
      <w:r w:rsidRPr="00007311">
        <w:rPr>
          <w:rFonts w:cs="FrankRuehl"/>
          <w:szCs w:val="26"/>
          <w:rtl/>
        </w:rPr>
        <w:t>הסדרת עיסוק</w:t>
      </w:r>
    </w:p>
    <w:p w14:paraId="6BE4105A" w14:textId="77777777"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E7DFB" w:rsidRPr="006E7DFB" w14:paraId="450C3BFA" w14:textId="77777777" w:rsidTr="006E7DFB">
        <w:tblPrEx>
          <w:tblCellMar>
            <w:top w:w="0" w:type="dxa"/>
            <w:bottom w:w="0" w:type="dxa"/>
          </w:tblCellMar>
        </w:tblPrEx>
        <w:tc>
          <w:tcPr>
            <w:tcW w:w="1247" w:type="dxa"/>
          </w:tcPr>
          <w:p w14:paraId="27543B71" w14:textId="77777777" w:rsidR="006E7DFB" w:rsidRPr="006E7DFB" w:rsidRDefault="006E7DFB" w:rsidP="006E7DFB">
            <w:pPr>
              <w:spacing w:line="240" w:lineRule="auto"/>
              <w:jc w:val="left"/>
              <w:rPr>
                <w:rFonts w:cs="Frankruhel"/>
                <w:sz w:val="24"/>
                <w:rtl/>
              </w:rPr>
            </w:pPr>
            <w:r>
              <w:rPr>
                <w:sz w:val="24"/>
                <w:rtl/>
              </w:rPr>
              <w:t xml:space="preserve">סעיף 1 </w:t>
            </w:r>
          </w:p>
        </w:tc>
        <w:tc>
          <w:tcPr>
            <w:tcW w:w="5669" w:type="dxa"/>
          </w:tcPr>
          <w:p w14:paraId="65792382" w14:textId="77777777" w:rsidR="006E7DFB" w:rsidRPr="006E7DFB" w:rsidRDefault="006E7DFB" w:rsidP="006E7DFB">
            <w:pPr>
              <w:spacing w:line="240" w:lineRule="auto"/>
              <w:jc w:val="left"/>
              <w:rPr>
                <w:rFonts w:cs="Frankruhel"/>
                <w:sz w:val="24"/>
                <w:rtl/>
              </w:rPr>
            </w:pPr>
            <w:r>
              <w:rPr>
                <w:sz w:val="24"/>
                <w:rtl/>
              </w:rPr>
              <w:t>הגדרות</w:t>
            </w:r>
          </w:p>
        </w:tc>
        <w:tc>
          <w:tcPr>
            <w:tcW w:w="567" w:type="dxa"/>
          </w:tcPr>
          <w:p w14:paraId="73541AAC" w14:textId="77777777" w:rsidR="006E7DFB" w:rsidRPr="006E7DFB" w:rsidRDefault="006E7DFB" w:rsidP="006E7DFB">
            <w:pPr>
              <w:spacing w:line="240" w:lineRule="auto"/>
              <w:jc w:val="left"/>
              <w:rPr>
                <w:rStyle w:val="Hyperlink"/>
                <w:rtl/>
              </w:rPr>
            </w:pPr>
            <w:hyperlink w:anchor="Seif1" w:tooltip="הגדרות" w:history="1">
              <w:r w:rsidRPr="006E7DFB">
                <w:rPr>
                  <w:rStyle w:val="Hyperlink"/>
                </w:rPr>
                <w:t>Go</w:t>
              </w:r>
            </w:hyperlink>
          </w:p>
        </w:tc>
        <w:tc>
          <w:tcPr>
            <w:tcW w:w="850" w:type="dxa"/>
          </w:tcPr>
          <w:p w14:paraId="7C9040A0" w14:textId="77777777" w:rsidR="006E7DFB" w:rsidRPr="006E7DFB" w:rsidRDefault="006E7DFB" w:rsidP="006E7D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7DFB" w:rsidRPr="006E7DFB" w14:paraId="7EBE085E" w14:textId="77777777" w:rsidTr="006E7DFB">
        <w:tblPrEx>
          <w:tblCellMar>
            <w:top w:w="0" w:type="dxa"/>
            <w:bottom w:w="0" w:type="dxa"/>
          </w:tblCellMar>
        </w:tblPrEx>
        <w:tc>
          <w:tcPr>
            <w:tcW w:w="1247" w:type="dxa"/>
          </w:tcPr>
          <w:p w14:paraId="0165B76C" w14:textId="77777777" w:rsidR="006E7DFB" w:rsidRPr="006E7DFB" w:rsidRDefault="006E7DFB" w:rsidP="006E7DFB">
            <w:pPr>
              <w:spacing w:line="240" w:lineRule="auto"/>
              <w:jc w:val="left"/>
              <w:rPr>
                <w:rFonts w:cs="Frankruhel"/>
                <w:sz w:val="24"/>
                <w:rtl/>
              </w:rPr>
            </w:pPr>
            <w:r>
              <w:rPr>
                <w:sz w:val="24"/>
                <w:rtl/>
              </w:rPr>
              <w:t xml:space="preserve">סעיף 2 </w:t>
            </w:r>
          </w:p>
        </w:tc>
        <w:tc>
          <w:tcPr>
            <w:tcW w:w="5669" w:type="dxa"/>
          </w:tcPr>
          <w:p w14:paraId="363A564B" w14:textId="77777777" w:rsidR="006E7DFB" w:rsidRPr="006E7DFB" w:rsidRDefault="006E7DFB" w:rsidP="006E7DFB">
            <w:pPr>
              <w:spacing w:line="240" w:lineRule="auto"/>
              <w:jc w:val="left"/>
              <w:rPr>
                <w:rFonts w:cs="Frankruhel"/>
                <w:sz w:val="24"/>
                <w:rtl/>
              </w:rPr>
            </w:pPr>
            <w:r>
              <w:rPr>
                <w:sz w:val="24"/>
                <w:rtl/>
              </w:rPr>
              <w:t>שיבוץ ממלא מקום</w:t>
            </w:r>
          </w:p>
        </w:tc>
        <w:tc>
          <w:tcPr>
            <w:tcW w:w="567" w:type="dxa"/>
          </w:tcPr>
          <w:p w14:paraId="770D4D97" w14:textId="77777777" w:rsidR="006E7DFB" w:rsidRPr="006E7DFB" w:rsidRDefault="006E7DFB" w:rsidP="006E7DFB">
            <w:pPr>
              <w:spacing w:line="240" w:lineRule="auto"/>
              <w:jc w:val="left"/>
              <w:rPr>
                <w:rStyle w:val="Hyperlink"/>
                <w:rtl/>
              </w:rPr>
            </w:pPr>
            <w:hyperlink w:anchor="Seif2" w:tooltip="שיבוץ ממלא מקום" w:history="1">
              <w:r w:rsidRPr="006E7DFB">
                <w:rPr>
                  <w:rStyle w:val="Hyperlink"/>
                </w:rPr>
                <w:t>Go</w:t>
              </w:r>
            </w:hyperlink>
          </w:p>
        </w:tc>
        <w:tc>
          <w:tcPr>
            <w:tcW w:w="850" w:type="dxa"/>
          </w:tcPr>
          <w:p w14:paraId="5466970F" w14:textId="77777777" w:rsidR="006E7DFB" w:rsidRPr="006E7DFB" w:rsidRDefault="006E7DFB" w:rsidP="006E7D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7DFB" w:rsidRPr="006E7DFB" w14:paraId="589020EB" w14:textId="77777777" w:rsidTr="006E7DFB">
        <w:tblPrEx>
          <w:tblCellMar>
            <w:top w:w="0" w:type="dxa"/>
            <w:bottom w:w="0" w:type="dxa"/>
          </w:tblCellMar>
        </w:tblPrEx>
        <w:tc>
          <w:tcPr>
            <w:tcW w:w="1247" w:type="dxa"/>
          </w:tcPr>
          <w:p w14:paraId="5B53E9E5" w14:textId="77777777" w:rsidR="006E7DFB" w:rsidRPr="006E7DFB" w:rsidRDefault="006E7DFB" w:rsidP="006E7DFB">
            <w:pPr>
              <w:spacing w:line="240" w:lineRule="auto"/>
              <w:jc w:val="left"/>
              <w:rPr>
                <w:rFonts w:cs="Frankruhel"/>
                <w:sz w:val="24"/>
                <w:rtl/>
              </w:rPr>
            </w:pPr>
            <w:r>
              <w:rPr>
                <w:sz w:val="24"/>
                <w:rtl/>
              </w:rPr>
              <w:t xml:space="preserve">סעיף 3 </w:t>
            </w:r>
          </w:p>
        </w:tc>
        <w:tc>
          <w:tcPr>
            <w:tcW w:w="5669" w:type="dxa"/>
          </w:tcPr>
          <w:p w14:paraId="3D40D7D3" w14:textId="77777777" w:rsidR="006E7DFB" w:rsidRPr="006E7DFB" w:rsidRDefault="006E7DFB" w:rsidP="006E7DFB">
            <w:pPr>
              <w:spacing w:line="240" w:lineRule="auto"/>
              <w:jc w:val="left"/>
              <w:rPr>
                <w:rFonts w:cs="Frankruhel"/>
                <w:sz w:val="24"/>
                <w:rtl/>
              </w:rPr>
            </w:pPr>
            <w:r>
              <w:rPr>
                <w:sz w:val="24"/>
                <w:rtl/>
              </w:rPr>
              <w:t>תקופת כהונה</w:t>
            </w:r>
          </w:p>
        </w:tc>
        <w:tc>
          <w:tcPr>
            <w:tcW w:w="567" w:type="dxa"/>
          </w:tcPr>
          <w:p w14:paraId="7BA48720" w14:textId="77777777" w:rsidR="006E7DFB" w:rsidRPr="006E7DFB" w:rsidRDefault="006E7DFB" w:rsidP="006E7DFB">
            <w:pPr>
              <w:spacing w:line="240" w:lineRule="auto"/>
              <w:jc w:val="left"/>
              <w:rPr>
                <w:rStyle w:val="Hyperlink"/>
                <w:rtl/>
              </w:rPr>
            </w:pPr>
            <w:hyperlink w:anchor="Seif3" w:tooltip="תקופת כהונה" w:history="1">
              <w:r w:rsidRPr="006E7DFB">
                <w:rPr>
                  <w:rStyle w:val="Hyperlink"/>
                </w:rPr>
                <w:t>Go</w:t>
              </w:r>
            </w:hyperlink>
          </w:p>
        </w:tc>
        <w:tc>
          <w:tcPr>
            <w:tcW w:w="850" w:type="dxa"/>
          </w:tcPr>
          <w:p w14:paraId="71E0CFC8" w14:textId="77777777" w:rsidR="006E7DFB" w:rsidRPr="006E7DFB" w:rsidRDefault="006E7DFB" w:rsidP="006E7D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7DFB" w:rsidRPr="006E7DFB" w14:paraId="22E3AE94" w14:textId="77777777" w:rsidTr="006E7DFB">
        <w:tblPrEx>
          <w:tblCellMar>
            <w:top w:w="0" w:type="dxa"/>
            <w:bottom w:w="0" w:type="dxa"/>
          </w:tblCellMar>
        </w:tblPrEx>
        <w:tc>
          <w:tcPr>
            <w:tcW w:w="1247" w:type="dxa"/>
          </w:tcPr>
          <w:p w14:paraId="2C4BBB8D" w14:textId="77777777" w:rsidR="006E7DFB" w:rsidRPr="006E7DFB" w:rsidRDefault="006E7DFB" w:rsidP="006E7DFB">
            <w:pPr>
              <w:spacing w:line="240" w:lineRule="auto"/>
              <w:jc w:val="left"/>
              <w:rPr>
                <w:rFonts w:cs="Frankruhel"/>
                <w:sz w:val="24"/>
                <w:rtl/>
              </w:rPr>
            </w:pPr>
            <w:r>
              <w:rPr>
                <w:sz w:val="24"/>
                <w:rtl/>
              </w:rPr>
              <w:t xml:space="preserve">סעיף 4 </w:t>
            </w:r>
          </w:p>
        </w:tc>
        <w:tc>
          <w:tcPr>
            <w:tcW w:w="5669" w:type="dxa"/>
          </w:tcPr>
          <w:p w14:paraId="7066E470" w14:textId="77777777" w:rsidR="006E7DFB" w:rsidRPr="006E7DFB" w:rsidRDefault="006E7DFB" w:rsidP="006E7DFB">
            <w:pPr>
              <w:spacing w:line="240" w:lineRule="auto"/>
              <w:jc w:val="left"/>
              <w:rPr>
                <w:rFonts w:cs="Frankruhel"/>
                <w:sz w:val="24"/>
                <w:rtl/>
              </w:rPr>
            </w:pPr>
            <w:r>
              <w:rPr>
                <w:sz w:val="24"/>
                <w:rtl/>
              </w:rPr>
              <w:t>סייגים למינוי</w:t>
            </w:r>
          </w:p>
        </w:tc>
        <w:tc>
          <w:tcPr>
            <w:tcW w:w="567" w:type="dxa"/>
          </w:tcPr>
          <w:p w14:paraId="3656A32F" w14:textId="77777777" w:rsidR="006E7DFB" w:rsidRPr="006E7DFB" w:rsidRDefault="006E7DFB" w:rsidP="006E7DFB">
            <w:pPr>
              <w:spacing w:line="240" w:lineRule="auto"/>
              <w:jc w:val="left"/>
              <w:rPr>
                <w:rStyle w:val="Hyperlink"/>
                <w:rtl/>
              </w:rPr>
            </w:pPr>
            <w:hyperlink w:anchor="Seif4" w:tooltip="סייגים למינוי" w:history="1">
              <w:r w:rsidRPr="006E7DFB">
                <w:rPr>
                  <w:rStyle w:val="Hyperlink"/>
                </w:rPr>
                <w:t>Go</w:t>
              </w:r>
            </w:hyperlink>
          </w:p>
        </w:tc>
        <w:tc>
          <w:tcPr>
            <w:tcW w:w="850" w:type="dxa"/>
          </w:tcPr>
          <w:p w14:paraId="34BF1DB6" w14:textId="77777777" w:rsidR="006E7DFB" w:rsidRPr="006E7DFB" w:rsidRDefault="006E7DFB" w:rsidP="006E7D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7DFB" w:rsidRPr="006E7DFB" w14:paraId="1BB1C5AD" w14:textId="77777777" w:rsidTr="006E7DFB">
        <w:tblPrEx>
          <w:tblCellMar>
            <w:top w:w="0" w:type="dxa"/>
            <w:bottom w:w="0" w:type="dxa"/>
          </w:tblCellMar>
        </w:tblPrEx>
        <w:tc>
          <w:tcPr>
            <w:tcW w:w="1247" w:type="dxa"/>
          </w:tcPr>
          <w:p w14:paraId="13AD26FB" w14:textId="77777777" w:rsidR="006E7DFB" w:rsidRPr="006E7DFB" w:rsidRDefault="006E7DFB" w:rsidP="006E7DFB">
            <w:pPr>
              <w:spacing w:line="240" w:lineRule="auto"/>
              <w:jc w:val="left"/>
              <w:rPr>
                <w:rFonts w:cs="Frankruhel"/>
                <w:sz w:val="24"/>
                <w:rtl/>
              </w:rPr>
            </w:pPr>
            <w:r>
              <w:rPr>
                <w:sz w:val="24"/>
                <w:rtl/>
              </w:rPr>
              <w:t xml:space="preserve">סעיף 5 </w:t>
            </w:r>
          </w:p>
        </w:tc>
        <w:tc>
          <w:tcPr>
            <w:tcW w:w="5669" w:type="dxa"/>
          </w:tcPr>
          <w:p w14:paraId="74BD1C09" w14:textId="77777777" w:rsidR="006E7DFB" w:rsidRPr="006E7DFB" w:rsidRDefault="006E7DFB" w:rsidP="006E7DFB">
            <w:pPr>
              <w:spacing w:line="240" w:lineRule="auto"/>
              <w:jc w:val="left"/>
              <w:rPr>
                <w:rFonts w:cs="Frankruhel"/>
                <w:sz w:val="24"/>
                <w:rtl/>
              </w:rPr>
            </w:pPr>
            <w:r>
              <w:rPr>
                <w:sz w:val="24"/>
                <w:rtl/>
              </w:rPr>
              <w:t>הפסקת כהונה או השעיה</w:t>
            </w:r>
          </w:p>
        </w:tc>
        <w:tc>
          <w:tcPr>
            <w:tcW w:w="567" w:type="dxa"/>
          </w:tcPr>
          <w:p w14:paraId="15E96F98" w14:textId="77777777" w:rsidR="006E7DFB" w:rsidRPr="006E7DFB" w:rsidRDefault="006E7DFB" w:rsidP="006E7DFB">
            <w:pPr>
              <w:spacing w:line="240" w:lineRule="auto"/>
              <w:jc w:val="left"/>
              <w:rPr>
                <w:rStyle w:val="Hyperlink"/>
                <w:rtl/>
              </w:rPr>
            </w:pPr>
            <w:hyperlink w:anchor="Seif5" w:tooltip="הפסקת כהונה או השעיה" w:history="1">
              <w:r w:rsidRPr="006E7DFB">
                <w:rPr>
                  <w:rStyle w:val="Hyperlink"/>
                </w:rPr>
                <w:t>Go</w:t>
              </w:r>
            </w:hyperlink>
          </w:p>
        </w:tc>
        <w:tc>
          <w:tcPr>
            <w:tcW w:w="850" w:type="dxa"/>
          </w:tcPr>
          <w:p w14:paraId="376AEA78" w14:textId="77777777" w:rsidR="006E7DFB" w:rsidRPr="006E7DFB" w:rsidRDefault="006E7DFB" w:rsidP="006E7D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7DFB" w:rsidRPr="006E7DFB" w14:paraId="30FBF9F1" w14:textId="77777777" w:rsidTr="006E7DFB">
        <w:tblPrEx>
          <w:tblCellMar>
            <w:top w:w="0" w:type="dxa"/>
            <w:bottom w:w="0" w:type="dxa"/>
          </w:tblCellMar>
        </w:tblPrEx>
        <w:tc>
          <w:tcPr>
            <w:tcW w:w="1247" w:type="dxa"/>
          </w:tcPr>
          <w:p w14:paraId="0DF94DA6" w14:textId="77777777" w:rsidR="006E7DFB" w:rsidRPr="006E7DFB" w:rsidRDefault="006E7DFB" w:rsidP="006E7DFB">
            <w:pPr>
              <w:spacing w:line="240" w:lineRule="auto"/>
              <w:jc w:val="left"/>
              <w:rPr>
                <w:rFonts w:cs="Frankruhel"/>
                <w:sz w:val="24"/>
                <w:rtl/>
              </w:rPr>
            </w:pPr>
            <w:r>
              <w:rPr>
                <w:sz w:val="24"/>
                <w:rtl/>
              </w:rPr>
              <w:t xml:space="preserve">סעיף 6 </w:t>
            </w:r>
          </w:p>
        </w:tc>
        <w:tc>
          <w:tcPr>
            <w:tcW w:w="5669" w:type="dxa"/>
          </w:tcPr>
          <w:p w14:paraId="30249DF1" w14:textId="77777777" w:rsidR="006E7DFB" w:rsidRPr="006E7DFB" w:rsidRDefault="006E7DFB" w:rsidP="006E7DFB">
            <w:pPr>
              <w:spacing w:line="240" w:lineRule="auto"/>
              <w:jc w:val="left"/>
              <w:rPr>
                <w:rFonts w:cs="Frankruhel"/>
                <w:sz w:val="24"/>
                <w:rtl/>
              </w:rPr>
            </w:pPr>
            <w:r>
              <w:rPr>
                <w:sz w:val="24"/>
                <w:rtl/>
              </w:rPr>
              <w:t>סמכות לסיים דיון</w:t>
            </w:r>
          </w:p>
        </w:tc>
        <w:tc>
          <w:tcPr>
            <w:tcW w:w="567" w:type="dxa"/>
          </w:tcPr>
          <w:p w14:paraId="07CBE8B7" w14:textId="77777777" w:rsidR="006E7DFB" w:rsidRPr="006E7DFB" w:rsidRDefault="006E7DFB" w:rsidP="006E7DFB">
            <w:pPr>
              <w:spacing w:line="240" w:lineRule="auto"/>
              <w:jc w:val="left"/>
              <w:rPr>
                <w:rStyle w:val="Hyperlink"/>
                <w:rtl/>
              </w:rPr>
            </w:pPr>
            <w:hyperlink w:anchor="Seif6" w:tooltip="סמכות לסיים דיון" w:history="1">
              <w:r w:rsidRPr="006E7DFB">
                <w:rPr>
                  <w:rStyle w:val="Hyperlink"/>
                </w:rPr>
                <w:t>Go</w:t>
              </w:r>
            </w:hyperlink>
          </w:p>
        </w:tc>
        <w:tc>
          <w:tcPr>
            <w:tcW w:w="850" w:type="dxa"/>
          </w:tcPr>
          <w:p w14:paraId="34AB76DE" w14:textId="77777777" w:rsidR="006E7DFB" w:rsidRPr="006E7DFB" w:rsidRDefault="006E7DFB" w:rsidP="006E7D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7DFB" w:rsidRPr="006E7DFB" w14:paraId="0071B4EA" w14:textId="77777777" w:rsidTr="006E7DFB">
        <w:tblPrEx>
          <w:tblCellMar>
            <w:top w:w="0" w:type="dxa"/>
            <w:bottom w:w="0" w:type="dxa"/>
          </w:tblCellMar>
        </w:tblPrEx>
        <w:tc>
          <w:tcPr>
            <w:tcW w:w="1247" w:type="dxa"/>
          </w:tcPr>
          <w:p w14:paraId="4DB05D7B" w14:textId="77777777" w:rsidR="006E7DFB" w:rsidRPr="006E7DFB" w:rsidRDefault="006E7DFB" w:rsidP="006E7DFB">
            <w:pPr>
              <w:spacing w:line="240" w:lineRule="auto"/>
              <w:jc w:val="left"/>
              <w:rPr>
                <w:rFonts w:cs="Frankruhel"/>
                <w:sz w:val="24"/>
                <w:rtl/>
              </w:rPr>
            </w:pPr>
            <w:r>
              <w:rPr>
                <w:sz w:val="24"/>
                <w:rtl/>
              </w:rPr>
              <w:t xml:space="preserve">סעיף 7 </w:t>
            </w:r>
          </w:p>
        </w:tc>
        <w:tc>
          <w:tcPr>
            <w:tcW w:w="5669" w:type="dxa"/>
          </w:tcPr>
          <w:p w14:paraId="01FF03BD" w14:textId="77777777" w:rsidR="006E7DFB" w:rsidRPr="006E7DFB" w:rsidRDefault="006E7DFB" w:rsidP="006E7DFB">
            <w:pPr>
              <w:spacing w:line="240" w:lineRule="auto"/>
              <w:jc w:val="left"/>
              <w:rPr>
                <w:rFonts w:cs="Frankruhel"/>
                <w:sz w:val="24"/>
                <w:rtl/>
              </w:rPr>
            </w:pPr>
            <w:r>
              <w:rPr>
                <w:sz w:val="24"/>
                <w:rtl/>
              </w:rPr>
              <w:t>ניגוד עניינים</w:t>
            </w:r>
          </w:p>
        </w:tc>
        <w:tc>
          <w:tcPr>
            <w:tcW w:w="567" w:type="dxa"/>
          </w:tcPr>
          <w:p w14:paraId="2F3F2B26" w14:textId="77777777" w:rsidR="006E7DFB" w:rsidRPr="006E7DFB" w:rsidRDefault="006E7DFB" w:rsidP="006E7DFB">
            <w:pPr>
              <w:spacing w:line="240" w:lineRule="auto"/>
              <w:jc w:val="left"/>
              <w:rPr>
                <w:rStyle w:val="Hyperlink"/>
                <w:rtl/>
              </w:rPr>
            </w:pPr>
            <w:hyperlink w:anchor="Seif7" w:tooltip="ניגוד עניינים" w:history="1">
              <w:r w:rsidRPr="006E7DFB">
                <w:rPr>
                  <w:rStyle w:val="Hyperlink"/>
                </w:rPr>
                <w:t>Go</w:t>
              </w:r>
            </w:hyperlink>
          </w:p>
        </w:tc>
        <w:tc>
          <w:tcPr>
            <w:tcW w:w="850" w:type="dxa"/>
          </w:tcPr>
          <w:p w14:paraId="25672135" w14:textId="77777777" w:rsidR="006E7DFB" w:rsidRPr="006E7DFB" w:rsidRDefault="006E7DFB" w:rsidP="006E7D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7DFB" w:rsidRPr="006E7DFB" w14:paraId="26E96981" w14:textId="77777777" w:rsidTr="006E7DFB">
        <w:tblPrEx>
          <w:tblCellMar>
            <w:top w:w="0" w:type="dxa"/>
            <w:bottom w:w="0" w:type="dxa"/>
          </w:tblCellMar>
        </w:tblPrEx>
        <w:tc>
          <w:tcPr>
            <w:tcW w:w="1247" w:type="dxa"/>
          </w:tcPr>
          <w:p w14:paraId="25363380" w14:textId="77777777" w:rsidR="006E7DFB" w:rsidRPr="006E7DFB" w:rsidRDefault="006E7DFB" w:rsidP="006E7DFB">
            <w:pPr>
              <w:spacing w:line="240" w:lineRule="auto"/>
              <w:jc w:val="left"/>
              <w:rPr>
                <w:rFonts w:cs="Frankruhel"/>
                <w:sz w:val="24"/>
                <w:rtl/>
              </w:rPr>
            </w:pPr>
            <w:r>
              <w:rPr>
                <w:sz w:val="24"/>
                <w:rtl/>
              </w:rPr>
              <w:t xml:space="preserve">סעיף 8 </w:t>
            </w:r>
          </w:p>
        </w:tc>
        <w:tc>
          <w:tcPr>
            <w:tcW w:w="5669" w:type="dxa"/>
          </w:tcPr>
          <w:p w14:paraId="2B627BB6" w14:textId="77777777" w:rsidR="006E7DFB" w:rsidRPr="006E7DFB" w:rsidRDefault="006E7DFB" w:rsidP="006E7DFB">
            <w:pPr>
              <w:spacing w:line="240" w:lineRule="auto"/>
              <w:jc w:val="left"/>
              <w:rPr>
                <w:rFonts w:cs="Frankruhel"/>
                <w:sz w:val="24"/>
                <w:rtl/>
              </w:rPr>
            </w:pPr>
            <w:r>
              <w:rPr>
                <w:sz w:val="24"/>
                <w:rtl/>
              </w:rPr>
              <w:t>אי תלות</w:t>
            </w:r>
          </w:p>
        </w:tc>
        <w:tc>
          <w:tcPr>
            <w:tcW w:w="567" w:type="dxa"/>
          </w:tcPr>
          <w:p w14:paraId="7C30BBA9" w14:textId="77777777" w:rsidR="006E7DFB" w:rsidRPr="006E7DFB" w:rsidRDefault="006E7DFB" w:rsidP="006E7DFB">
            <w:pPr>
              <w:spacing w:line="240" w:lineRule="auto"/>
              <w:jc w:val="left"/>
              <w:rPr>
                <w:rStyle w:val="Hyperlink"/>
                <w:rtl/>
              </w:rPr>
            </w:pPr>
            <w:hyperlink w:anchor="Seif8" w:tooltip="אי תלות" w:history="1">
              <w:r w:rsidRPr="006E7DFB">
                <w:rPr>
                  <w:rStyle w:val="Hyperlink"/>
                </w:rPr>
                <w:t>Go</w:t>
              </w:r>
            </w:hyperlink>
          </w:p>
        </w:tc>
        <w:tc>
          <w:tcPr>
            <w:tcW w:w="850" w:type="dxa"/>
          </w:tcPr>
          <w:p w14:paraId="749C2FF9" w14:textId="77777777" w:rsidR="006E7DFB" w:rsidRPr="006E7DFB" w:rsidRDefault="006E7DFB" w:rsidP="006E7D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6381520D" w14:textId="77777777" w:rsidR="009C17D8" w:rsidRDefault="009C17D8">
      <w:pPr>
        <w:pStyle w:val="big-header"/>
        <w:ind w:left="0" w:right="1134"/>
        <w:rPr>
          <w:rFonts w:cs="FrankRuehl"/>
          <w:sz w:val="32"/>
          <w:rtl/>
        </w:rPr>
      </w:pPr>
    </w:p>
    <w:p w14:paraId="7335B4E8" w14:textId="77777777" w:rsidR="009C17D8" w:rsidRDefault="009C17D8" w:rsidP="00194F50">
      <w:pPr>
        <w:pStyle w:val="big-header"/>
        <w:ind w:left="0" w:right="1134"/>
        <w:rPr>
          <w:rFonts w:cs="FrankRuehl" w:hint="cs"/>
          <w:sz w:val="32"/>
          <w:rtl/>
        </w:rPr>
      </w:pPr>
      <w:r>
        <w:rPr>
          <w:rtl/>
        </w:rPr>
        <w:br w:type="page"/>
      </w:r>
      <w:r w:rsidR="00194F50">
        <w:rPr>
          <w:rFonts w:cs="FrankRuehl" w:hint="cs"/>
          <w:sz w:val="32"/>
          <w:rtl/>
        </w:rPr>
        <w:lastRenderedPageBreak/>
        <w:t>תקנות ההנדסאים והטכנאים המוסמכים (דרכי מינוי, תקופת כהונה, סייגים למינוי של ועדת משמעת)</w:t>
      </w:r>
      <w:r w:rsidR="00194F50">
        <w:rPr>
          <w:rFonts w:cs="FrankRuehl"/>
          <w:sz w:val="32"/>
          <w:rtl/>
        </w:rPr>
        <w:t xml:space="preserve">, </w:t>
      </w:r>
      <w:r w:rsidR="00194F50">
        <w:rPr>
          <w:rFonts w:cs="FrankRuehl" w:hint="cs"/>
          <w:sz w:val="32"/>
          <w:rtl/>
        </w:rPr>
        <w:t>תשע"ז-2017</w:t>
      </w:r>
      <w:r w:rsidR="0084412B">
        <w:rPr>
          <w:rStyle w:val="a6"/>
          <w:rFonts w:cs="FrankRuehl"/>
          <w:sz w:val="32"/>
          <w:rtl/>
        </w:rPr>
        <w:footnoteReference w:customMarkFollows="1" w:id="1"/>
        <w:t>*</w:t>
      </w:r>
    </w:p>
    <w:p w14:paraId="6E6A0F9B" w14:textId="77777777" w:rsidR="00194F50" w:rsidRDefault="00194F50" w:rsidP="00194F50">
      <w:pPr>
        <w:pStyle w:val="P00"/>
        <w:spacing w:before="72"/>
        <w:ind w:left="0" w:right="1134"/>
        <w:rPr>
          <w:rStyle w:val="default"/>
          <w:rFonts w:cs="FrankRuehl" w:hint="cs"/>
          <w:rtl/>
        </w:rPr>
      </w:pPr>
      <w:r>
        <w:rPr>
          <w:rStyle w:val="default"/>
          <w:rFonts w:cs="FrankRuehl" w:hint="cs"/>
          <w:rtl/>
        </w:rPr>
        <w:tab/>
        <w:t xml:space="preserve">בתוקף סמכותי לפי סעיפים </w:t>
      </w:r>
      <w:r w:rsidR="00A65287">
        <w:rPr>
          <w:rStyle w:val="default"/>
          <w:rFonts w:cs="FrankRuehl" w:hint="cs"/>
          <w:rtl/>
        </w:rPr>
        <w:t xml:space="preserve">25(ו) ו-42(א) לחוק ההנדסאים והטכנאים המוסמכים, התשע"ג-2012 (להלן </w:t>
      </w:r>
      <w:r w:rsidR="00A65287">
        <w:rPr>
          <w:rStyle w:val="default"/>
          <w:rFonts w:cs="FrankRuehl"/>
          <w:rtl/>
        </w:rPr>
        <w:t>–</w:t>
      </w:r>
      <w:r w:rsidR="00A65287">
        <w:rPr>
          <w:rStyle w:val="default"/>
          <w:rFonts w:cs="FrankRuehl" w:hint="cs"/>
          <w:rtl/>
        </w:rPr>
        <w:t xml:space="preserve"> החוק), לאחר המלצת המועצה לפי סעיף 3(1) לחוק, ובאישור ועדת העבודה הרווחה והבריאות של הכנסת, אני מתקין תקנות אלה:</w:t>
      </w:r>
    </w:p>
    <w:p w14:paraId="75E599BA" w14:textId="77777777" w:rsidR="009C17D8" w:rsidRDefault="009C17D8" w:rsidP="00A65287">
      <w:pPr>
        <w:pStyle w:val="P00"/>
        <w:spacing w:before="72"/>
        <w:ind w:left="0" w:right="1134"/>
        <w:rPr>
          <w:rStyle w:val="default"/>
          <w:rFonts w:cs="FrankRuehl" w:hint="cs"/>
          <w:rtl/>
        </w:rPr>
      </w:pPr>
      <w:bookmarkStart w:id="0" w:name="Seif1"/>
      <w:bookmarkEnd w:id="0"/>
      <w:r>
        <w:rPr>
          <w:lang w:val="he-IL"/>
        </w:rPr>
        <w:pict w14:anchorId="3485473C">
          <v:rect id="_x0000_s1026" style="position:absolute;left:0;text-align:left;margin-left:464.5pt;margin-top:8.05pt;width:75.05pt;height:13pt;z-index:251654144" o:allowincell="f" filled="f" stroked="f" strokecolor="lime" strokeweight=".25pt">
            <v:textbox inset="0,0,0,0">
              <w:txbxContent>
                <w:p w14:paraId="3EA567C7" w14:textId="77777777" w:rsidR="001E1B0F" w:rsidRDefault="001E1B0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sidR="00A65287">
        <w:rPr>
          <w:rStyle w:val="default"/>
          <w:rFonts w:cs="FrankRuehl" w:hint="cs"/>
          <w:rtl/>
        </w:rPr>
        <w:t>בתקנות אל</w:t>
      </w:r>
      <w:r>
        <w:rPr>
          <w:rStyle w:val="default"/>
          <w:rFonts w:cs="FrankRuehl" w:hint="cs"/>
          <w:rtl/>
        </w:rPr>
        <w:t xml:space="preserve">ה </w:t>
      </w:r>
      <w:r w:rsidR="0084412B">
        <w:rPr>
          <w:rStyle w:val="default"/>
          <w:rFonts w:cs="FrankRuehl"/>
          <w:rtl/>
        </w:rPr>
        <w:t>–</w:t>
      </w:r>
    </w:p>
    <w:p w14:paraId="04476E7C" w14:textId="77777777" w:rsidR="00A65287" w:rsidRDefault="00A65287" w:rsidP="00A65287">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עובד המשרד שמינה המנהל הכללי של המשרד לצורך יישום תקנה 2;</w:t>
      </w:r>
    </w:p>
    <w:p w14:paraId="43662C8A" w14:textId="77777777" w:rsidR="00A65287" w:rsidRDefault="00A65287" w:rsidP="00A65287">
      <w:pPr>
        <w:pStyle w:val="P00"/>
        <w:spacing w:before="72"/>
        <w:ind w:left="0" w:right="1134"/>
        <w:rPr>
          <w:rStyle w:val="default"/>
          <w:rFonts w:cs="FrankRuehl" w:hint="cs"/>
          <w:rtl/>
        </w:rPr>
      </w:pPr>
      <w:r>
        <w:rPr>
          <w:rStyle w:val="default"/>
          <w:rFonts w:cs="FrankRuehl" w:hint="cs"/>
          <w:rtl/>
        </w:rPr>
        <w:tab/>
        <w:t xml:space="preserve">"המשרד" </w:t>
      </w:r>
      <w:r>
        <w:rPr>
          <w:rStyle w:val="default"/>
          <w:rFonts w:cs="FrankRuehl"/>
          <w:rtl/>
        </w:rPr>
        <w:t>–</w:t>
      </w:r>
      <w:r>
        <w:rPr>
          <w:rStyle w:val="default"/>
          <w:rFonts w:cs="FrankRuehl" w:hint="cs"/>
          <w:rtl/>
        </w:rPr>
        <w:t xml:space="preserve"> משרד העבודה הרווחה והשירותים החברתיים;</w:t>
      </w:r>
    </w:p>
    <w:p w14:paraId="41C78B64" w14:textId="77777777" w:rsidR="00A65287" w:rsidRDefault="00A65287" w:rsidP="00A65287">
      <w:pPr>
        <w:pStyle w:val="P00"/>
        <w:spacing w:before="72"/>
        <w:ind w:left="0" w:right="1134"/>
        <w:rPr>
          <w:rStyle w:val="default"/>
          <w:rFonts w:cs="FrankRuehl" w:hint="cs"/>
          <w:rtl/>
        </w:rPr>
      </w:pPr>
      <w:r>
        <w:rPr>
          <w:rStyle w:val="default"/>
          <w:rFonts w:cs="FrankRuehl" w:hint="cs"/>
          <w:rtl/>
        </w:rPr>
        <w:tab/>
        <w:t xml:space="preserve">"ועדה" </w:t>
      </w:r>
      <w:r>
        <w:rPr>
          <w:rStyle w:val="default"/>
          <w:rFonts w:cs="FrankRuehl"/>
          <w:rtl/>
        </w:rPr>
        <w:t>–</w:t>
      </w:r>
      <w:r>
        <w:rPr>
          <w:rStyle w:val="default"/>
          <w:rFonts w:cs="FrankRuehl" w:hint="cs"/>
          <w:rtl/>
        </w:rPr>
        <w:t xml:space="preserve"> ועדת משמעת כמשמעותה בסעיף 25 לחוק.</w:t>
      </w:r>
    </w:p>
    <w:p w14:paraId="1F3B4C54" w14:textId="77777777" w:rsidR="009C17D8" w:rsidRDefault="009C17D8" w:rsidP="00A65287">
      <w:pPr>
        <w:pStyle w:val="P00"/>
        <w:spacing w:before="72"/>
        <w:ind w:left="0" w:right="1134"/>
        <w:rPr>
          <w:rStyle w:val="default"/>
          <w:rFonts w:cs="FrankRuehl" w:hint="cs"/>
          <w:rtl/>
        </w:rPr>
      </w:pPr>
      <w:bookmarkStart w:id="1" w:name="Seif2"/>
      <w:bookmarkEnd w:id="1"/>
      <w:r>
        <w:rPr>
          <w:lang w:val="he-IL"/>
        </w:rPr>
        <w:pict w14:anchorId="780AA209">
          <v:rect id="_x0000_s1027" style="position:absolute;left:0;text-align:left;margin-left:464.5pt;margin-top:8.05pt;width:75.05pt;height:10.45pt;z-index:251655168" o:allowincell="f" filled="f" stroked="f" strokecolor="lime" strokeweight=".25pt">
            <v:textbox inset="0,0,0,0">
              <w:txbxContent>
                <w:p w14:paraId="769892C9" w14:textId="77777777" w:rsidR="00520C87" w:rsidRDefault="00A65287">
                  <w:pPr>
                    <w:spacing w:line="160" w:lineRule="exact"/>
                    <w:jc w:val="left"/>
                    <w:rPr>
                      <w:rFonts w:cs="Miriam" w:hint="cs"/>
                      <w:noProof/>
                      <w:sz w:val="18"/>
                      <w:szCs w:val="18"/>
                      <w:rtl/>
                    </w:rPr>
                  </w:pPr>
                  <w:r>
                    <w:rPr>
                      <w:rFonts w:cs="Miriam" w:hint="cs"/>
                      <w:sz w:val="18"/>
                      <w:szCs w:val="18"/>
                      <w:rtl/>
                    </w:rPr>
                    <w:t>שיבוץ ממלא מקום</w:t>
                  </w:r>
                </w:p>
              </w:txbxContent>
            </v:textbox>
            <w10:anchorlock/>
          </v:rect>
        </w:pict>
      </w:r>
      <w:r>
        <w:rPr>
          <w:rStyle w:val="big-number"/>
          <w:rFonts w:cs="Miriam"/>
          <w:rtl/>
        </w:rPr>
        <w:t>2</w:t>
      </w:r>
      <w:r w:rsidRPr="00520C87">
        <w:rPr>
          <w:rStyle w:val="default"/>
          <w:rFonts w:cs="FrankRuehl"/>
          <w:rtl/>
        </w:rPr>
        <w:t>.</w:t>
      </w:r>
      <w:r w:rsidRPr="00520C87">
        <w:rPr>
          <w:rStyle w:val="default"/>
          <w:rFonts w:cs="FrankRuehl"/>
          <w:rtl/>
        </w:rPr>
        <w:tab/>
      </w:r>
      <w:r w:rsidR="00A65287">
        <w:rPr>
          <w:rStyle w:val="default"/>
          <w:rFonts w:cs="FrankRuehl" w:hint="cs"/>
          <w:rtl/>
        </w:rPr>
        <w:t>(א)</w:t>
      </w:r>
      <w:r w:rsidR="00A65287">
        <w:rPr>
          <w:rStyle w:val="default"/>
          <w:rFonts w:cs="FrankRuehl" w:hint="cs"/>
          <w:rtl/>
        </w:rPr>
        <w:tab/>
        <w:t>הוגשה קובלנה לוועדת המשמעת לפי סעיף 26(א) לחוק ונמנע מחבר הוועדה להתחיל את הדיון בקובלנה, רשאי המנהל לשבץ במקומו ממלא מקום שמונה לפי סעיף 25 לחוק.</w:t>
      </w:r>
    </w:p>
    <w:p w14:paraId="40EBF38E" w14:textId="77777777" w:rsidR="00A65287" w:rsidRDefault="00A65287" w:rsidP="00A652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בכפוף לסעיפים 29 ו-30 לחוק, המותב שהחל לדון בקובלנה ימשיך בדיון בה עד לסיומו.</w:t>
      </w:r>
    </w:p>
    <w:p w14:paraId="36EB5B8A" w14:textId="77777777" w:rsidR="009C17D8" w:rsidRDefault="009C17D8" w:rsidP="00A65287">
      <w:pPr>
        <w:pStyle w:val="P00"/>
        <w:spacing w:before="72"/>
        <w:ind w:left="0" w:right="1134"/>
        <w:rPr>
          <w:rStyle w:val="default"/>
          <w:rFonts w:cs="FrankRuehl" w:hint="cs"/>
          <w:rtl/>
        </w:rPr>
      </w:pPr>
      <w:bookmarkStart w:id="2" w:name="Seif3"/>
      <w:bookmarkEnd w:id="2"/>
      <w:r>
        <w:rPr>
          <w:lang w:val="he-IL"/>
        </w:rPr>
        <w:pict w14:anchorId="4AF719EC">
          <v:rect id="_x0000_s1028" style="position:absolute;left:0;text-align:left;margin-left:464.5pt;margin-top:8.05pt;width:75.05pt;height:16pt;z-index:251656192" o:allowincell="f" filled="f" stroked="f" strokecolor="lime" strokeweight=".25pt">
            <v:textbox inset="0,0,0,0">
              <w:txbxContent>
                <w:p w14:paraId="0F056C02" w14:textId="77777777" w:rsidR="001E1B0F" w:rsidRDefault="00A65287" w:rsidP="0084412B">
                  <w:pPr>
                    <w:spacing w:line="160" w:lineRule="exact"/>
                    <w:jc w:val="left"/>
                    <w:rPr>
                      <w:rFonts w:cs="Miriam" w:hint="cs"/>
                      <w:noProof/>
                      <w:sz w:val="18"/>
                      <w:szCs w:val="18"/>
                      <w:rtl/>
                    </w:rPr>
                  </w:pPr>
                  <w:r>
                    <w:rPr>
                      <w:rFonts w:cs="Miriam" w:hint="cs"/>
                      <w:sz w:val="18"/>
                      <w:szCs w:val="18"/>
                      <w:rtl/>
                    </w:rPr>
                    <w:t>תקופת כהונה</w:t>
                  </w:r>
                </w:p>
              </w:txbxContent>
            </v:textbox>
            <w10:anchorlock/>
          </v:rect>
        </w:pict>
      </w:r>
      <w:r>
        <w:rPr>
          <w:rStyle w:val="big-number"/>
          <w:rFonts w:cs="Miriam"/>
          <w:rtl/>
        </w:rPr>
        <w:t>3.</w:t>
      </w:r>
      <w:r>
        <w:rPr>
          <w:rStyle w:val="big-number"/>
          <w:rFonts w:cs="Miriam"/>
          <w:rtl/>
        </w:rPr>
        <w:tab/>
      </w:r>
      <w:r w:rsidR="00A65287">
        <w:rPr>
          <w:rStyle w:val="default"/>
          <w:rFonts w:cs="FrankRuehl" w:hint="cs"/>
          <w:rtl/>
        </w:rPr>
        <w:t>(א)</w:t>
      </w:r>
      <w:r w:rsidR="00A65287">
        <w:rPr>
          <w:rStyle w:val="default"/>
          <w:rFonts w:cs="FrankRuehl" w:hint="cs"/>
          <w:rtl/>
        </w:rPr>
        <w:tab/>
        <w:t>חבר ועדה יתמנה לתקופה של שלוש שנים, ורשאי השר לשוב ולמנותו לתקופת כהונה אחת נוספת, ולאחר הפסקה של שלוש שנים רצופות לפחות, רשאי השר לשוב ולמנותו לשתי תקופות כהונה נוספות רצופות לכל היותר.</w:t>
      </w:r>
    </w:p>
    <w:p w14:paraId="7E238583" w14:textId="77777777" w:rsidR="00A65287" w:rsidRDefault="00A65287" w:rsidP="00A652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התפטר חבר ועדה, בוטל מינויו או נפטר, ימונה חבר אחר תחתיו, והוא יכהן עד תום תקופת הכהונה של החבר האמור.</w:t>
      </w:r>
    </w:p>
    <w:p w14:paraId="33C5DE43" w14:textId="77777777" w:rsidR="009C17D8" w:rsidRDefault="009C17D8" w:rsidP="00B95D7E">
      <w:pPr>
        <w:pStyle w:val="P00"/>
        <w:spacing w:before="72"/>
        <w:ind w:left="0" w:right="1134"/>
        <w:rPr>
          <w:rStyle w:val="default"/>
          <w:rFonts w:cs="FrankRuehl" w:hint="cs"/>
          <w:rtl/>
        </w:rPr>
      </w:pPr>
      <w:bookmarkStart w:id="3" w:name="Seif4"/>
      <w:bookmarkEnd w:id="3"/>
      <w:r>
        <w:rPr>
          <w:lang w:val="he-IL"/>
        </w:rPr>
        <w:pict w14:anchorId="04AA46E2">
          <v:rect id="_x0000_s1029" style="position:absolute;left:0;text-align:left;margin-left:464.5pt;margin-top:8.05pt;width:75.05pt;height:16pt;z-index:251657216" o:allowincell="f" filled="f" stroked="f" strokecolor="lime" strokeweight=".25pt">
            <v:textbox inset="0,0,0,0">
              <w:txbxContent>
                <w:p w14:paraId="3D190512" w14:textId="77777777" w:rsidR="001E1B0F" w:rsidRDefault="00A65287" w:rsidP="007844C4">
                  <w:pPr>
                    <w:spacing w:line="160" w:lineRule="exact"/>
                    <w:jc w:val="left"/>
                    <w:rPr>
                      <w:rFonts w:cs="Miriam"/>
                      <w:noProof/>
                      <w:sz w:val="18"/>
                      <w:szCs w:val="18"/>
                      <w:rtl/>
                    </w:rPr>
                  </w:pPr>
                  <w:r>
                    <w:rPr>
                      <w:rFonts w:cs="Miriam" w:hint="cs"/>
                      <w:sz w:val="18"/>
                      <w:szCs w:val="18"/>
                      <w:rtl/>
                    </w:rPr>
                    <w:t>סייגים למינוי</w:t>
                  </w:r>
                </w:p>
              </w:txbxContent>
            </v:textbox>
            <w10:anchorlock/>
          </v:rect>
        </w:pict>
      </w:r>
      <w:r>
        <w:rPr>
          <w:rStyle w:val="big-number"/>
          <w:rFonts w:cs="Miriam"/>
          <w:rtl/>
        </w:rPr>
        <w:t>4.</w:t>
      </w:r>
      <w:r>
        <w:rPr>
          <w:rStyle w:val="big-number"/>
          <w:rFonts w:cs="Miriam"/>
          <w:rtl/>
        </w:rPr>
        <w:tab/>
      </w:r>
      <w:r w:rsidR="00B95D7E">
        <w:rPr>
          <w:rStyle w:val="default"/>
          <w:rFonts w:cs="FrankRuehl" w:hint="cs"/>
          <w:rtl/>
        </w:rPr>
        <w:t>לא ימונה חבר לוועדה אם התקיימו בו אחד או יותר מאלה:</w:t>
      </w:r>
    </w:p>
    <w:p w14:paraId="48EC8AEE" w14:textId="77777777" w:rsidR="00B95D7E" w:rsidRDefault="00B95D7E" w:rsidP="00B95D7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הוא הורשע בפסק דין סופי בעבירה פלילית או בעבירת משמעת, שמפאת מהותה, חומרתה או נסיבותיה אין הוא ראוי לשמש חבר בוועדה או שבית המשפט קבע לגביו שעבר עבירה כאמור; לעניין זה, "הורשע" </w:t>
      </w:r>
      <w:r>
        <w:rPr>
          <w:rStyle w:val="default"/>
          <w:rFonts w:cs="FrankRuehl"/>
          <w:rtl/>
        </w:rPr>
        <w:t>–</w:t>
      </w:r>
      <w:r>
        <w:rPr>
          <w:rStyle w:val="default"/>
          <w:rFonts w:cs="FrankRuehl" w:hint="cs"/>
          <w:rtl/>
        </w:rPr>
        <w:t xml:space="preserve"> לרבות מי שבית משפט קבע כי ביצע את העבירה;</w:t>
      </w:r>
    </w:p>
    <w:p w14:paraId="359A9717" w14:textId="77777777" w:rsidR="00B95D7E" w:rsidRDefault="00B95D7E" w:rsidP="00B95D7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B05529">
        <w:rPr>
          <w:rStyle w:val="default"/>
          <w:rFonts w:cs="FrankRuehl" w:hint="cs"/>
          <w:rtl/>
        </w:rPr>
        <w:t>הוגש נגדו כתב אישום או קובלנה בעבירה כאמור בפסקה (1);</w:t>
      </w:r>
    </w:p>
    <w:p w14:paraId="06A323E7" w14:textId="77777777" w:rsidR="00B05529" w:rsidRDefault="00B05529" w:rsidP="00B95D7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הוא עלול להימצא, במישרין או בעקיפין, באופן תדיר, במצב של ניגוד עניינים בין תפקידו כחבר ועדה לבין עניין אישי או תפקיד אחר שהוא ממלא; לעניין זה, "עניין אישי" </w:t>
      </w:r>
      <w:r>
        <w:rPr>
          <w:rStyle w:val="default"/>
          <w:rFonts w:cs="FrankRuehl"/>
          <w:rtl/>
        </w:rPr>
        <w:t>–</w:t>
      </w:r>
      <w:r>
        <w:rPr>
          <w:rStyle w:val="default"/>
          <w:rFonts w:cs="FrankRuehl" w:hint="cs"/>
          <w:rtl/>
        </w:rPr>
        <w:t xml:space="preserve"> לרבות עניין אישי של קרובו או של גוף שהוא או קרוב שלו הם בעלי שליטה בו.</w:t>
      </w:r>
    </w:p>
    <w:p w14:paraId="3BA50087" w14:textId="77777777" w:rsidR="009C17D8" w:rsidRDefault="009C17D8" w:rsidP="00B05529">
      <w:pPr>
        <w:pStyle w:val="P00"/>
        <w:spacing w:before="72"/>
        <w:ind w:left="0" w:right="1134"/>
        <w:rPr>
          <w:rStyle w:val="default"/>
          <w:rFonts w:cs="FrankRuehl" w:hint="cs"/>
          <w:rtl/>
        </w:rPr>
      </w:pPr>
      <w:bookmarkStart w:id="4" w:name="Seif5"/>
      <w:bookmarkEnd w:id="4"/>
      <w:r>
        <w:rPr>
          <w:lang w:val="he-IL"/>
        </w:rPr>
        <w:pict w14:anchorId="136DFEE8">
          <v:rect id="_x0000_s1030" style="position:absolute;left:0;text-align:left;margin-left:464.5pt;margin-top:8.05pt;width:75.05pt;height:21.5pt;z-index:251658240" o:allowincell="f" filled="f" stroked="f" strokecolor="lime" strokeweight=".25pt">
            <v:textbox inset="0,0,0,0">
              <w:txbxContent>
                <w:p w14:paraId="6B607E17" w14:textId="77777777" w:rsidR="001E1B0F" w:rsidRDefault="00B05529">
                  <w:pPr>
                    <w:spacing w:line="160" w:lineRule="exact"/>
                    <w:jc w:val="left"/>
                    <w:rPr>
                      <w:rFonts w:cs="Miriam" w:hint="cs"/>
                      <w:noProof/>
                      <w:sz w:val="18"/>
                      <w:szCs w:val="18"/>
                      <w:rtl/>
                    </w:rPr>
                  </w:pPr>
                  <w:r>
                    <w:rPr>
                      <w:rFonts w:cs="Miriam" w:hint="cs"/>
                      <w:sz w:val="18"/>
                      <w:szCs w:val="18"/>
                      <w:rtl/>
                    </w:rPr>
                    <w:t>הפסקת כהונה או השעיה</w:t>
                  </w:r>
                </w:p>
              </w:txbxContent>
            </v:textbox>
            <w10:anchorlock/>
          </v:rect>
        </w:pict>
      </w:r>
      <w:r>
        <w:rPr>
          <w:rStyle w:val="big-number"/>
          <w:rFonts w:cs="Miriam"/>
          <w:rtl/>
        </w:rPr>
        <w:t>5.</w:t>
      </w:r>
      <w:r>
        <w:rPr>
          <w:rStyle w:val="big-number"/>
          <w:rFonts w:cs="Miriam"/>
          <w:rtl/>
        </w:rPr>
        <w:tab/>
      </w:r>
      <w:r w:rsidR="00B05529">
        <w:rPr>
          <w:rStyle w:val="default"/>
          <w:rFonts w:cs="FrankRuehl" w:hint="cs"/>
          <w:rtl/>
        </w:rPr>
        <w:t>(א)</w:t>
      </w:r>
      <w:r w:rsidR="00B05529">
        <w:rPr>
          <w:rStyle w:val="default"/>
          <w:rFonts w:cs="FrankRuehl" w:hint="cs"/>
          <w:rtl/>
        </w:rPr>
        <w:tab/>
        <w:t>חבר ועדה המבקש לסיים את כהונתו לפני תום תקופת הכהונה שלה מונה, יגיש כתב התפטרות לשר וכהונתו תופסק לא יאוחר מ-60 ימים ממועד הגשת כתב ההתפטרות</w:t>
      </w:r>
      <w:r>
        <w:rPr>
          <w:rStyle w:val="default"/>
          <w:rFonts w:cs="FrankRuehl" w:hint="cs"/>
          <w:rtl/>
        </w:rPr>
        <w:t>.</w:t>
      </w:r>
    </w:p>
    <w:p w14:paraId="441209F1" w14:textId="77777777" w:rsidR="00B05529" w:rsidRDefault="00B05529" w:rsidP="00B0552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בהודעה בכתב, להעביר חבר ועדה מכהונתו בהתקיים אחד מאלה:</w:t>
      </w:r>
    </w:p>
    <w:p w14:paraId="031446A9" w14:textId="77777777" w:rsidR="00B05529" w:rsidRDefault="00B05529" w:rsidP="004B0AF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נבצר ממנו דרך קבע למלא את תפקידו;</w:t>
      </w:r>
    </w:p>
    <w:p w14:paraId="3BE76848" w14:textId="77777777" w:rsidR="00B05529" w:rsidRDefault="00B05529" w:rsidP="004B0AF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B0AF3">
        <w:rPr>
          <w:rStyle w:val="default"/>
          <w:rFonts w:cs="FrankRuehl" w:hint="cs"/>
          <w:rtl/>
        </w:rPr>
        <w:t>הוא חדל מלמלא אחר תנאי הכשירות לפי סעיף 25(ב) לחוק, שמכוחם מונה לחבר ועדת המשמעת;</w:t>
      </w:r>
    </w:p>
    <w:p w14:paraId="3798766A" w14:textId="77777777" w:rsidR="004B0AF3" w:rsidRDefault="004B0AF3" w:rsidP="004B0AF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התקיים בו האמור בתקנה 4(1) או (3);</w:t>
      </w:r>
    </w:p>
    <w:p w14:paraId="6F038C55" w14:textId="77777777" w:rsidR="004B0AF3" w:rsidRDefault="004B0AF3" w:rsidP="004B0AF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התקיימו בו נסיבות אחרות שבשלהן אין הוא ראוי לכהן כחבר ועדת המשמעת.</w:t>
      </w:r>
    </w:p>
    <w:p w14:paraId="762B922F" w14:textId="77777777" w:rsidR="004B0AF3" w:rsidRDefault="004B0AF3" w:rsidP="00B0552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השר רשאי, בהודעה בכתב, להשעות חבר ועדה מכהונתו אם הוגש נגדו כתב אישום או קובלנה בעבירה כאמור בתקנה 4(1) </w:t>
      </w:r>
      <w:r>
        <w:rPr>
          <w:rStyle w:val="default"/>
          <w:rFonts w:cs="FrankRuehl"/>
          <w:rtl/>
        </w:rPr>
        <w:t>–</w:t>
      </w:r>
      <w:r>
        <w:rPr>
          <w:rStyle w:val="default"/>
          <w:rFonts w:cs="FrankRuehl" w:hint="cs"/>
          <w:rtl/>
        </w:rPr>
        <w:t xml:space="preserve"> עד מתן פסק דין סופי בעניין.</w:t>
      </w:r>
    </w:p>
    <w:p w14:paraId="00941847" w14:textId="77777777" w:rsidR="009C17D8" w:rsidRDefault="009C17D8" w:rsidP="004B0AF3">
      <w:pPr>
        <w:pStyle w:val="P00"/>
        <w:spacing w:before="72"/>
        <w:ind w:left="0" w:right="1134"/>
        <w:rPr>
          <w:rStyle w:val="default"/>
          <w:rFonts w:cs="FrankRuehl" w:hint="cs"/>
          <w:rtl/>
        </w:rPr>
      </w:pPr>
      <w:bookmarkStart w:id="5" w:name="Seif6"/>
      <w:bookmarkEnd w:id="5"/>
      <w:r>
        <w:rPr>
          <w:lang w:val="he-IL"/>
        </w:rPr>
        <w:pict w14:anchorId="7DD8C399">
          <v:rect id="_x0000_s1031" style="position:absolute;left:0;text-align:left;margin-left:464.5pt;margin-top:8.05pt;width:75.05pt;height:10.35pt;z-index:251659264" o:allowincell="f" filled="f" stroked="f" strokecolor="lime" strokeweight=".25pt">
            <v:textbox style="mso-next-textbox:#_x0000_s1031" inset="0,0,0,0">
              <w:txbxContent>
                <w:p w14:paraId="69F3EFC4" w14:textId="77777777" w:rsidR="001E1B0F" w:rsidRDefault="004B0AF3">
                  <w:pPr>
                    <w:spacing w:line="160" w:lineRule="exact"/>
                    <w:jc w:val="left"/>
                    <w:rPr>
                      <w:rFonts w:cs="Miriam" w:hint="cs"/>
                      <w:noProof/>
                      <w:sz w:val="18"/>
                      <w:szCs w:val="18"/>
                      <w:rtl/>
                    </w:rPr>
                  </w:pPr>
                  <w:r>
                    <w:rPr>
                      <w:rFonts w:cs="Miriam" w:hint="cs"/>
                      <w:sz w:val="18"/>
                      <w:szCs w:val="18"/>
                      <w:rtl/>
                    </w:rPr>
                    <w:t>סמכות לסיים דיון</w:t>
                  </w:r>
                </w:p>
              </w:txbxContent>
            </v:textbox>
            <w10:anchorlock/>
          </v:rect>
        </w:pict>
      </w:r>
      <w:r>
        <w:rPr>
          <w:rStyle w:val="big-number"/>
          <w:rFonts w:cs="Miriam"/>
          <w:rtl/>
        </w:rPr>
        <w:t>6.</w:t>
      </w:r>
      <w:r>
        <w:rPr>
          <w:rStyle w:val="big-number"/>
          <w:rFonts w:cs="Miriam"/>
          <w:rtl/>
        </w:rPr>
        <w:tab/>
      </w:r>
      <w:r w:rsidR="004B0AF3">
        <w:rPr>
          <w:rStyle w:val="default"/>
          <w:rFonts w:cs="FrankRuehl" w:hint="cs"/>
          <w:rtl/>
        </w:rPr>
        <w:t xml:space="preserve">חבר ועדה שהתפטר או שתמה תקופת כהונתו, יהיה מוסמך לסיים את הדיון שהחל בו בתוך שישה חודשים מיום שהסתיימה או נפסקה כהונתו זולת אם ראה השר כי יש הצדקה לקיצור </w:t>
      </w:r>
      <w:r w:rsidR="004B0AF3">
        <w:rPr>
          <w:rStyle w:val="default"/>
          <w:rFonts w:cs="FrankRuehl" w:hint="cs"/>
          <w:rtl/>
        </w:rPr>
        <w:lastRenderedPageBreak/>
        <w:t>התקופה ובלבד שכהונתו לא הסתיימה בשל עניינים המנויים בתקנות 4, 5(ב) ו-5(ג)</w:t>
      </w:r>
      <w:r>
        <w:rPr>
          <w:rStyle w:val="default"/>
          <w:rFonts w:cs="FrankRuehl" w:hint="cs"/>
          <w:rtl/>
        </w:rPr>
        <w:t>.</w:t>
      </w:r>
    </w:p>
    <w:p w14:paraId="4C74115E" w14:textId="77777777" w:rsidR="009C17D8" w:rsidRDefault="009C17D8" w:rsidP="004B0AF3">
      <w:pPr>
        <w:pStyle w:val="P00"/>
        <w:spacing w:before="72"/>
        <w:ind w:left="0" w:right="1134"/>
        <w:rPr>
          <w:rStyle w:val="default"/>
          <w:rFonts w:cs="FrankRuehl" w:hint="cs"/>
          <w:rtl/>
        </w:rPr>
      </w:pPr>
      <w:bookmarkStart w:id="6" w:name="Seif7"/>
      <w:bookmarkEnd w:id="6"/>
      <w:r>
        <w:rPr>
          <w:lang w:val="he-IL"/>
        </w:rPr>
        <w:pict w14:anchorId="7FD4C30F">
          <v:rect id="_x0000_s1032" style="position:absolute;left:0;text-align:left;margin-left:464.5pt;margin-top:8.05pt;width:75.05pt;height:11.85pt;z-index:251660288" o:allowincell="f" filled="f" stroked="f" strokecolor="lime" strokeweight=".25pt">
            <v:textbox inset="0,0,0,0">
              <w:txbxContent>
                <w:p w14:paraId="5BD11A3F" w14:textId="77777777" w:rsidR="001E1B0F" w:rsidRDefault="004B0AF3">
                  <w:pPr>
                    <w:spacing w:line="160" w:lineRule="exact"/>
                    <w:jc w:val="left"/>
                    <w:rPr>
                      <w:rFonts w:cs="Miriam" w:hint="cs"/>
                      <w:noProof/>
                      <w:sz w:val="18"/>
                      <w:szCs w:val="18"/>
                      <w:rtl/>
                    </w:rPr>
                  </w:pPr>
                  <w:r>
                    <w:rPr>
                      <w:rFonts w:cs="Miriam" w:hint="cs"/>
                      <w:sz w:val="18"/>
                      <w:szCs w:val="18"/>
                      <w:rtl/>
                    </w:rPr>
                    <w:t>ניגוד עניינים</w:t>
                  </w:r>
                </w:p>
              </w:txbxContent>
            </v:textbox>
            <w10:anchorlock/>
          </v:rect>
        </w:pict>
      </w:r>
      <w:r>
        <w:rPr>
          <w:rStyle w:val="big-number"/>
          <w:rFonts w:cs="Miriam"/>
          <w:rtl/>
        </w:rPr>
        <w:t>7.</w:t>
      </w:r>
      <w:r>
        <w:rPr>
          <w:rStyle w:val="big-number"/>
          <w:rFonts w:cs="Miriam"/>
          <w:rtl/>
        </w:rPr>
        <w:tab/>
      </w:r>
      <w:r w:rsidR="004B0AF3">
        <w:rPr>
          <w:rStyle w:val="default"/>
          <w:rFonts w:cs="FrankRuehl" w:hint="cs"/>
          <w:rtl/>
        </w:rPr>
        <w:t>חבר ועדה יימנע מלדון בתיק אם הוא עלול להימצא, במישרין או בעקיפין, במצב של ניגוד עניינים בין תפקידו כחבר הוועדה לבין עניין אחר שלו</w:t>
      </w:r>
      <w:r w:rsidR="007844C4">
        <w:rPr>
          <w:rStyle w:val="default"/>
          <w:rFonts w:cs="FrankRuehl" w:hint="cs"/>
          <w:rtl/>
        </w:rPr>
        <w:t>.</w:t>
      </w:r>
    </w:p>
    <w:p w14:paraId="1BCB181F" w14:textId="77777777" w:rsidR="009C17D8" w:rsidRDefault="009C17D8" w:rsidP="004B0AF3">
      <w:pPr>
        <w:pStyle w:val="P00"/>
        <w:spacing w:before="72"/>
        <w:ind w:left="0" w:right="1134"/>
        <w:rPr>
          <w:rStyle w:val="default"/>
          <w:rFonts w:cs="FrankRuehl" w:hint="cs"/>
          <w:rtl/>
        </w:rPr>
      </w:pPr>
      <w:bookmarkStart w:id="7" w:name="Seif8"/>
      <w:bookmarkEnd w:id="7"/>
      <w:r>
        <w:rPr>
          <w:lang w:val="he-IL"/>
        </w:rPr>
        <w:pict w14:anchorId="204C07AB">
          <v:rect id="_x0000_s1033" style="position:absolute;left:0;text-align:left;margin-left:464.5pt;margin-top:8.05pt;width:75.05pt;height:13.65pt;z-index:251661312" o:allowincell="f" filled="f" stroked="f" strokecolor="lime" strokeweight=".25pt">
            <v:textbox inset="0,0,0,0">
              <w:txbxContent>
                <w:p w14:paraId="204C29D8" w14:textId="77777777" w:rsidR="001E1B0F" w:rsidRDefault="004B0AF3">
                  <w:pPr>
                    <w:spacing w:line="160" w:lineRule="exact"/>
                    <w:jc w:val="left"/>
                    <w:rPr>
                      <w:rFonts w:cs="Miriam" w:hint="cs"/>
                      <w:noProof/>
                      <w:sz w:val="18"/>
                      <w:szCs w:val="18"/>
                      <w:rtl/>
                    </w:rPr>
                  </w:pPr>
                  <w:r>
                    <w:rPr>
                      <w:rFonts w:cs="Miriam" w:hint="cs"/>
                      <w:sz w:val="18"/>
                      <w:szCs w:val="18"/>
                      <w:rtl/>
                    </w:rPr>
                    <w:t>אי-תלות</w:t>
                  </w:r>
                </w:p>
              </w:txbxContent>
            </v:textbox>
            <w10:anchorlock/>
          </v:rect>
        </w:pict>
      </w:r>
      <w:r>
        <w:rPr>
          <w:rStyle w:val="big-number"/>
          <w:rFonts w:cs="Miriam"/>
          <w:rtl/>
        </w:rPr>
        <w:t>8.</w:t>
      </w:r>
      <w:r>
        <w:rPr>
          <w:rStyle w:val="big-number"/>
          <w:rFonts w:cs="Miriam"/>
          <w:rtl/>
        </w:rPr>
        <w:tab/>
      </w:r>
      <w:r w:rsidR="004B0AF3">
        <w:rPr>
          <w:rStyle w:val="default"/>
          <w:rFonts w:cs="FrankRuehl" w:hint="cs"/>
          <w:rtl/>
        </w:rPr>
        <w:t>במילוי תפקידו אין על חבר ועדת המשמעת מרות זולת מרותו של הדין</w:t>
      </w:r>
      <w:r>
        <w:rPr>
          <w:rStyle w:val="default"/>
          <w:rFonts w:cs="FrankRuehl" w:hint="cs"/>
          <w:rtl/>
        </w:rPr>
        <w:t>.</w:t>
      </w:r>
    </w:p>
    <w:p w14:paraId="59691B73" w14:textId="77777777" w:rsidR="00194F50" w:rsidRDefault="00194F50">
      <w:pPr>
        <w:pStyle w:val="P00"/>
        <w:spacing w:before="72"/>
        <w:ind w:left="0" w:right="1134"/>
        <w:rPr>
          <w:rStyle w:val="default"/>
          <w:rFonts w:cs="FrankRuehl" w:hint="cs"/>
          <w:rtl/>
        </w:rPr>
      </w:pPr>
    </w:p>
    <w:p w14:paraId="304F01D7" w14:textId="77777777" w:rsidR="0084412B" w:rsidRDefault="0084412B">
      <w:pPr>
        <w:pStyle w:val="P00"/>
        <w:spacing w:before="72"/>
        <w:ind w:left="0" w:right="1134"/>
        <w:rPr>
          <w:rStyle w:val="default"/>
          <w:rFonts w:cs="FrankRuehl" w:hint="cs"/>
          <w:rtl/>
        </w:rPr>
      </w:pPr>
    </w:p>
    <w:p w14:paraId="620660A2" w14:textId="77777777" w:rsidR="007C05C4" w:rsidRDefault="004B0AF3" w:rsidP="004B0AF3">
      <w:pPr>
        <w:pStyle w:val="sig-0"/>
        <w:tabs>
          <w:tab w:val="clear" w:pos="4820"/>
          <w:tab w:val="center" w:pos="5670"/>
        </w:tabs>
        <w:spacing w:before="72"/>
        <w:ind w:left="0" w:right="1134"/>
        <w:rPr>
          <w:rFonts w:cs="FrankRuehl" w:hint="cs"/>
          <w:sz w:val="26"/>
          <w:rtl/>
        </w:rPr>
      </w:pPr>
      <w:r>
        <w:rPr>
          <w:rFonts w:cs="FrankRuehl" w:hint="cs"/>
          <w:sz w:val="26"/>
          <w:rtl/>
        </w:rPr>
        <w:t>ל' בניסן התשע"ז (26 באפריל 2017)</w:t>
      </w:r>
      <w:r w:rsidR="007C05C4">
        <w:rPr>
          <w:rFonts w:cs="FrankRuehl"/>
          <w:sz w:val="26"/>
          <w:rtl/>
        </w:rPr>
        <w:tab/>
      </w:r>
      <w:r>
        <w:rPr>
          <w:rFonts w:cs="FrankRuehl" w:hint="cs"/>
          <w:sz w:val="26"/>
          <w:rtl/>
        </w:rPr>
        <w:t>חיים כץ</w:t>
      </w:r>
    </w:p>
    <w:p w14:paraId="29B6044A" w14:textId="77777777" w:rsidR="007C05C4" w:rsidRDefault="007C05C4" w:rsidP="004B0AF3">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 xml:space="preserve">ר </w:t>
      </w:r>
      <w:r w:rsidR="004B0AF3">
        <w:rPr>
          <w:rFonts w:cs="FrankRuehl" w:hint="cs"/>
          <w:sz w:val="22"/>
          <w:rtl/>
        </w:rPr>
        <w:t>העבודה הרווחה והשירותים החברתיים</w:t>
      </w:r>
    </w:p>
    <w:p w14:paraId="46CF51C4" w14:textId="77777777" w:rsidR="00194F50" w:rsidRPr="0084412B" w:rsidRDefault="00194F50" w:rsidP="0084412B">
      <w:pPr>
        <w:pStyle w:val="P00"/>
        <w:spacing w:before="72"/>
        <w:ind w:left="0" w:right="1134"/>
        <w:rPr>
          <w:rStyle w:val="default"/>
          <w:rFonts w:cs="FrankRuehl" w:hint="cs"/>
          <w:rtl/>
        </w:rPr>
      </w:pPr>
    </w:p>
    <w:p w14:paraId="1A809F9A" w14:textId="77777777" w:rsidR="0084412B" w:rsidRPr="0084412B" w:rsidRDefault="0084412B" w:rsidP="0084412B">
      <w:pPr>
        <w:pStyle w:val="P00"/>
        <w:spacing w:before="72"/>
        <w:ind w:left="0" w:right="1134"/>
        <w:rPr>
          <w:rStyle w:val="default"/>
          <w:rFonts w:cs="FrankRuehl"/>
          <w:rtl/>
        </w:rPr>
      </w:pPr>
    </w:p>
    <w:p w14:paraId="537790CA" w14:textId="77777777" w:rsidR="009C17D8" w:rsidRPr="0084412B" w:rsidRDefault="009C17D8" w:rsidP="0084412B">
      <w:pPr>
        <w:pStyle w:val="P00"/>
        <w:spacing w:before="72"/>
        <w:ind w:left="0" w:right="1134"/>
        <w:rPr>
          <w:rStyle w:val="default"/>
          <w:rFonts w:cs="FrankRuehl"/>
          <w:rtl/>
        </w:rPr>
      </w:pPr>
      <w:bookmarkStart w:id="8" w:name="LawPartEnd"/>
    </w:p>
    <w:bookmarkEnd w:id="8"/>
    <w:p w14:paraId="2CFA77EA" w14:textId="77777777" w:rsidR="006E7DFB" w:rsidRDefault="006E7DFB" w:rsidP="0084412B">
      <w:pPr>
        <w:pStyle w:val="P00"/>
        <w:spacing w:before="72"/>
        <w:ind w:left="0" w:right="1134"/>
        <w:rPr>
          <w:rStyle w:val="default"/>
          <w:rFonts w:cs="FrankRuehl"/>
          <w:rtl/>
        </w:rPr>
      </w:pPr>
    </w:p>
    <w:p w14:paraId="1FD72061" w14:textId="77777777" w:rsidR="006E7DFB" w:rsidRDefault="006E7DFB" w:rsidP="006E7DFB">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1B01F0F2" w14:textId="77777777" w:rsidR="00440DBD" w:rsidRPr="006E7DFB" w:rsidRDefault="00440DBD" w:rsidP="006E7DFB">
      <w:pPr>
        <w:pStyle w:val="P00"/>
        <w:spacing w:before="72"/>
        <w:ind w:left="0" w:right="1134"/>
        <w:jc w:val="center"/>
        <w:rPr>
          <w:rStyle w:val="default"/>
          <w:rFonts w:cs="David"/>
          <w:color w:val="0000FF"/>
          <w:szCs w:val="24"/>
          <w:u w:val="single"/>
          <w:rtl/>
        </w:rPr>
      </w:pPr>
    </w:p>
    <w:sectPr w:rsidR="00440DBD" w:rsidRPr="006E7DF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E23B0" w14:textId="77777777" w:rsidR="00B11BFA" w:rsidRDefault="00B11BFA">
      <w:pPr>
        <w:spacing w:line="240" w:lineRule="auto"/>
      </w:pPr>
      <w:r>
        <w:separator/>
      </w:r>
    </w:p>
  </w:endnote>
  <w:endnote w:type="continuationSeparator" w:id="0">
    <w:p w14:paraId="648139A3" w14:textId="77777777" w:rsidR="00B11BFA" w:rsidRDefault="00B11B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BAADA" w14:textId="77777777" w:rsidR="001E1B0F" w:rsidRDefault="001E1B0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F764F94" w14:textId="77777777" w:rsidR="001E1B0F" w:rsidRDefault="001E1B0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8D7A747" w14:textId="77777777" w:rsidR="001E1B0F" w:rsidRDefault="001E1B0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6734">
      <w:rPr>
        <w:rFonts w:cs="TopType Jerushalmi"/>
        <w:noProof/>
        <w:color w:val="000000"/>
        <w:sz w:val="14"/>
        <w:szCs w:val="14"/>
      </w:rPr>
      <w:t>Z:\00000000000000000000000=2014------------------------\05-May\2014-05-28\LawsForHofit\04\500_783.doc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8C7C8" w14:textId="77777777" w:rsidR="001E1B0F" w:rsidRDefault="001E1B0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E7DFB">
      <w:rPr>
        <w:rFonts w:hAnsi="FrankRuehl" w:cs="FrankRuehl"/>
        <w:noProof/>
        <w:sz w:val="24"/>
        <w:szCs w:val="24"/>
        <w:rtl/>
      </w:rPr>
      <w:t>3</w:t>
    </w:r>
    <w:r>
      <w:rPr>
        <w:rFonts w:hAnsi="FrankRuehl" w:cs="FrankRuehl"/>
        <w:sz w:val="24"/>
        <w:szCs w:val="24"/>
        <w:rtl/>
      </w:rPr>
      <w:fldChar w:fldCharType="end"/>
    </w:r>
  </w:p>
  <w:p w14:paraId="1B052451" w14:textId="77777777" w:rsidR="001E1B0F" w:rsidRDefault="001E1B0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4EF70B" w14:textId="77777777" w:rsidR="001E1B0F" w:rsidRDefault="001E1B0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6734">
      <w:rPr>
        <w:rFonts w:cs="TopType Jerushalmi"/>
        <w:noProof/>
        <w:color w:val="000000"/>
        <w:sz w:val="14"/>
        <w:szCs w:val="14"/>
      </w:rPr>
      <w:t>Z:\00000000000000000000000=2014------------------------\05-May\2014-05-28\LawsForHofit\04\500_783.doc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EF048" w14:textId="77777777" w:rsidR="00B11BFA" w:rsidRDefault="00B11BFA" w:rsidP="0084412B">
      <w:pPr>
        <w:spacing w:before="60" w:line="240" w:lineRule="auto"/>
        <w:ind w:right="1134"/>
      </w:pPr>
      <w:r>
        <w:separator/>
      </w:r>
    </w:p>
  </w:footnote>
  <w:footnote w:type="continuationSeparator" w:id="0">
    <w:p w14:paraId="43A8E633" w14:textId="77777777" w:rsidR="00B11BFA" w:rsidRDefault="00B11BFA">
      <w:pPr>
        <w:spacing w:line="240" w:lineRule="auto"/>
      </w:pPr>
      <w:r>
        <w:continuationSeparator/>
      </w:r>
    </w:p>
  </w:footnote>
  <w:footnote w:id="1">
    <w:p w14:paraId="70EC0AF5" w14:textId="77777777" w:rsidR="00903CC3" w:rsidRPr="00026E35" w:rsidRDefault="001E1B0F" w:rsidP="00903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84412B">
        <w:rPr>
          <w:rFonts w:cs="FrankRuehl"/>
          <w:rtl/>
        </w:rPr>
        <w:t xml:space="preserve">* </w:t>
      </w:r>
      <w:r>
        <w:rPr>
          <w:rFonts w:cs="FrankRuehl"/>
          <w:rtl/>
        </w:rPr>
        <w:t>פו</w:t>
      </w:r>
      <w:r>
        <w:rPr>
          <w:rFonts w:cs="FrankRuehl" w:hint="cs"/>
          <w:rtl/>
        </w:rPr>
        <w:t>רס</w:t>
      </w:r>
      <w:r w:rsidR="00194F50">
        <w:rPr>
          <w:rFonts w:cs="FrankRuehl" w:hint="cs"/>
          <w:rtl/>
        </w:rPr>
        <w:t>מו</w:t>
      </w:r>
      <w:r>
        <w:rPr>
          <w:rFonts w:cs="FrankRuehl" w:hint="cs"/>
          <w:rtl/>
        </w:rPr>
        <w:t xml:space="preserve"> </w:t>
      </w:r>
      <w:hyperlink r:id="rId1" w:history="1">
        <w:r w:rsidR="00194F50" w:rsidRPr="00903CC3">
          <w:rPr>
            <w:rStyle w:val="Hyperlink"/>
            <w:rFonts w:cs="FrankRuehl" w:hint="cs"/>
            <w:rtl/>
          </w:rPr>
          <w:t>ק"ת</w:t>
        </w:r>
        <w:r w:rsidRPr="00903CC3">
          <w:rPr>
            <w:rStyle w:val="Hyperlink"/>
            <w:rFonts w:cs="FrankRuehl" w:hint="cs"/>
            <w:rtl/>
          </w:rPr>
          <w:t xml:space="preserve"> תשע"</w:t>
        </w:r>
        <w:r w:rsidR="00194F50" w:rsidRPr="00903CC3">
          <w:rPr>
            <w:rStyle w:val="Hyperlink"/>
            <w:rFonts w:cs="FrankRuehl" w:hint="cs"/>
            <w:rtl/>
          </w:rPr>
          <w:t>ז</w:t>
        </w:r>
        <w:r w:rsidRPr="00903CC3">
          <w:rPr>
            <w:rStyle w:val="Hyperlink"/>
            <w:rFonts w:cs="FrankRuehl" w:hint="cs"/>
            <w:rtl/>
          </w:rPr>
          <w:t xml:space="preserve"> מס' </w:t>
        </w:r>
        <w:r w:rsidR="00194F50" w:rsidRPr="00903CC3">
          <w:rPr>
            <w:rStyle w:val="Hyperlink"/>
            <w:rFonts w:cs="FrankRuehl" w:hint="cs"/>
            <w:rtl/>
          </w:rPr>
          <w:t>7815</w:t>
        </w:r>
      </w:hyperlink>
      <w:r w:rsidR="00194F50">
        <w:rPr>
          <w:rFonts w:cs="FrankRuehl" w:hint="cs"/>
          <w:rtl/>
        </w:rPr>
        <w:t xml:space="preserve"> מיום 23.5.2017 עמ' 1085.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AB2EF" w14:textId="77777777" w:rsidR="001E1B0F" w:rsidRDefault="001E1B0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14:paraId="2D3F5D95" w14:textId="77777777" w:rsidR="001E1B0F" w:rsidRDefault="001E1B0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F5E009" w14:textId="77777777" w:rsidR="001E1B0F" w:rsidRDefault="001E1B0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FB0C" w14:textId="77777777" w:rsidR="001E1B0F" w:rsidRDefault="00194F50" w:rsidP="00194F50">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w:t>
    </w:r>
    <w:r w:rsidR="001E1B0F">
      <w:rPr>
        <w:rFonts w:hAnsi="FrankRuehl" w:cs="FrankRuehl" w:hint="cs"/>
        <w:color w:val="000000"/>
        <w:sz w:val="28"/>
        <w:szCs w:val="28"/>
        <w:rtl/>
      </w:rPr>
      <w:t xml:space="preserve"> ההנדסאים והטכנאים המוסמכים</w:t>
    </w:r>
    <w:r>
      <w:rPr>
        <w:rFonts w:hAnsi="FrankRuehl" w:cs="FrankRuehl" w:hint="cs"/>
        <w:color w:val="000000"/>
        <w:sz w:val="28"/>
        <w:szCs w:val="28"/>
        <w:rtl/>
      </w:rPr>
      <w:t xml:space="preserve"> (דרכי מינוי, תקופת כהונה, סייגים למינוי של ועדת משמעת), תשע"ז-2017</w:t>
    </w:r>
  </w:p>
  <w:p w14:paraId="7B1CF065" w14:textId="77777777" w:rsidR="001E1B0F" w:rsidRDefault="001E1B0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3F4868" w14:textId="77777777" w:rsidR="001E1B0F" w:rsidRDefault="001E1B0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6D4E"/>
    <w:rsid w:val="00007311"/>
    <w:rsid w:val="00026E35"/>
    <w:rsid w:val="00053993"/>
    <w:rsid w:val="00064B17"/>
    <w:rsid w:val="00093C28"/>
    <w:rsid w:val="00137793"/>
    <w:rsid w:val="00146863"/>
    <w:rsid w:val="00194F50"/>
    <w:rsid w:val="001D25BF"/>
    <w:rsid w:val="001E1B0F"/>
    <w:rsid w:val="00271614"/>
    <w:rsid w:val="002B486A"/>
    <w:rsid w:val="002C4250"/>
    <w:rsid w:val="00341FDA"/>
    <w:rsid w:val="00347FE6"/>
    <w:rsid w:val="00384AB5"/>
    <w:rsid w:val="003C5462"/>
    <w:rsid w:val="003D6734"/>
    <w:rsid w:val="003E21BA"/>
    <w:rsid w:val="00440DBD"/>
    <w:rsid w:val="00474979"/>
    <w:rsid w:val="004B0AF3"/>
    <w:rsid w:val="004E194C"/>
    <w:rsid w:val="004E731B"/>
    <w:rsid w:val="00520C87"/>
    <w:rsid w:val="00555508"/>
    <w:rsid w:val="005A437E"/>
    <w:rsid w:val="005A4ED6"/>
    <w:rsid w:val="005B5BB0"/>
    <w:rsid w:val="006450B3"/>
    <w:rsid w:val="00667DFA"/>
    <w:rsid w:val="006729A1"/>
    <w:rsid w:val="006E7DFB"/>
    <w:rsid w:val="007844C4"/>
    <w:rsid w:val="007C05C4"/>
    <w:rsid w:val="00803F03"/>
    <w:rsid w:val="0084412B"/>
    <w:rsid w:val="008540B7"/>
    <w:rsid w:val="00891815"/>
    <w:rsid w:val="008A2D02"/>
    <w:rsid w:val="00901322"/>
    <w:rsid w:val="00903CC3"/>
    <w:rsid w:val="00903DF0"/>
    <w:rsid w:val="009078CD"/>
    <w:rsid w:val="00932D3C"/>
    <w:rsid w:val="00982510"/>
    <w:rsid w:val="009C17D8"/>
    <w:rsid w:val="009D3824"/>
    <w:rsid w:val="009E5B4B"/>
    <w:rsid w:val="00A65287"/>
    <w:rsid w:val="00AC0676"/>
    <w:rsid w:val="00B05529"/>
    <w:rsid w:val="00B11BFA"/>
    <w:rsid w:val="00B164F6"/>
    <w:rsid w:val="00B27444"/>
    <w:rsid w:val="00B95D7E"/>
    <w:rsid w:val="00C42755"/>
    <w:rsid w:val="00C61BD0"/>
    <w:rsid w:val="00C71A46"/>
    <w:rsid w:val="00C734A4"/>
    <w:rsid w:val="00CC608F"/>
    <w:rsid w:val="00D37E1F"/>
    <w:rsid w:val="00D57928"/>
    <w:rsid w:val="00D66783"/>
    <w:rsid w:val="00D74AA6"/>
    <w:rsid w:val="00D775DC"/>
    <w:rsid w:val="00DA1611"/>
    <w:rsid w:val="00DD2974"/>
    <w:rsid w:val="00E32386"/>
    <w:rsid w:val="00F4655B"/>
    <w:rsid w:val="00F82FCF"/>
    <w:rsid w:val="00FB66AB"/>
    <w:rsid w:val="00FC20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EC2792B"/>
  <w15:chartTrackingRefBased/>
  <w15:docId w15:val="{6445CE5D-2900-41B4-8FA8-D4743100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customStyle="1" w:styleId="P000">
    <w:name w:val="P00 תו"/>
    <w:link w:val="P00"/>
    <w:rsid w:val="00026E35"/>
    <w:rPr>
      <w:noProof/>
      <w:szCs w:val="26"/>
      <w:lang w:val="en-US" w:eastAsia="he-IL" w:bidi="he-IL"/>
    </w:rPr>
  </w:style>
  <w:style w:type="character" w:styleId="FollowedHyperlink">
    <w:name w:val="FollowedHyperlink"/>
    <w:rsid w:val="00FB66A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3777</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8323077</vt:i4>
      </vt:variant>
      <vt:variant>
        <vt:i4>0</vt:i4>
      </vt:variant>
      <vt:variant>
        <vt:i4>0</vt:i4>
      </vt:variant>
      <vt:variant>
        <vt:i4>5</vt:i4>
      </vt:variant>
      <vt:variant>
        <vt:lpwstr>http://www.nevo.co.il/Law_word/law06/tak-7815.pdf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501</vt:lpwstr>
  </property>
  <property fmtid="{D5CDD505-2E9C-101B-9397-08002B2CF9AE}" pid="3" name="CHNAME">
    <vt:lpwstr>מהנדסים ואדריכלים</vt:lpwstr>
  </property>
  <property fmtid="{D5CDD505-2E9C-101B-9397-08002B2CF9AE}" pid="4" name="LAWNAME">
    <vt:lpwstr>תקנות ההנדסאים והטכנאים המוסמכים (דרכי מינוי, תקופת כהונה, סייגים למינוי של ועדת משמעת), תשע"ז-2017</vt:lpwstr>
  </property>
  <property fmtid="{D5CDD505-2E9C-101B-9397-08002B2CF9AE}" pid="5" name="LAWNUMBER">
    <vt:lpwstr>0613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הסדרת עיסוק</vt:lpwstr>
  </property>
  <property fmtid="{D5CDD505-2E9C-101B-9397-08002B2CF9AE}" pid="9" name="NOSE31">
    <vt:lpwstr>מהנדסים ואדריכלים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הסדרת עיסוק</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4">
    <vt:lpwstr/>
  </property>
  <property fmtid="{D5CDD505-2E9C-101B-9397-08002B2CF9AE}" pid="49" name="LINKK5">
    <vt:lpwstr/>
  </property>
  <property fmtid="{D5CDD505-2E9C-101B-9397-08002B2CF9AE}" pid="50" name="LINKK6">
    <vt:lpwstr/>
  </property>
  <property fmtid="{D5CDD505-2E9C-101B-9397-08002B2CF9AE}" pid="51" name="LINKK7">
    <vt:lpwstr/>
  </property>
  <property fmtid="{D5CDD505-2E9C-101B-9397-08002B2CF9AE}" pid="52" name="LINKK8">
    <vt:lpwstr/>
  </property>
  <property fmtid="{D5CDD505-2E9C-101B-9397-08002B2CF9AE}" pid="53" name="LINKK9">
    <vt:lpwstr/>
  </property>
  <property fmtid="{D5CDD505-2E9C-101B-9397-08002B2CF9AE}" pid="54" name="LINKK10">
    <vt:lpwstr/>
  </property>
  <property fmtid="{D5CDD505-2E9C-101B-9397-08002B2CF9AE}" pid="55" name="LINKI1">
    <vt:lpwstr/>
  </property>
  <property fmtid="{D5CDD505-2E9C-101B-9397-08002B2CF9AE}" pid="56" name="LINKI2">
    <vt:lpwstr/>
  </property>
  <property fmtid="{D5CDD505-2E9C-101B-9397-08002B2CF9AE}" pid="57" name="LINKI3">
    <vt:lpwstr/>
  </property>
  <property fmtid="{D5CDD505-2E9C-101B-9397-08002B2CF9AE}" pid="58" name="LINKI4">
    <vt:lpwstr/>
  </property>
  <property fmtid="{D5CDD505-2E9C-101B-9397-08002B2CF9AE}" pid="59" name="LINKI5">
    <vt:lpwstr/>
  </property>
  <property fmtid="{D5CDD505-2E9C-101B-9397-08002B2CF9AE}" pid="60" name="LINKK1">
    <vt:lpwstr>http://www.nevo.co.il/Law_word/law06/tak-7815.pdf;‎רשומות - תקנות כלליות#פורסמו ק"ת תשע"ז מס' ‏‏7815 #מיום 23.5.2017 עמ' 1085‏</vt:lpwstr>
  </property>
  <property fmtid="{D5CDD505-2E9C-101B-9397-08002B2CF9AE}" pid="61" name="LINKK2">
    <vt:lpwstr/>
  </property>
  <property fmtid="{D5CDD505-2E9C-101B-9397-08002B2CF9AE}" pid="62" name="LINKK3">
    <vt:lpwstr/>
  </property>
  <property fmtid="{D5CDD505-2E9C-101B-9397-08002B2CF9AE}" pid="63" name="MEKOR_NAME1">
    <vt:lpwstr>חוק ההנדסאים והטכנאים המוסמכים</vt:lpwstr>
  </property>
  <property fmtid="{D5CDD505-2E9C-101B-9397-08002B2CF9AE}" pid="64" name="MEKOR_SAIF1">
    <vt:lpwstr>25XוX;42XאX</vt:lpwstr>
  </property>
</Properties>
</file>