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E3E8" w14:textId="77777777" w:rsidR="00005E0B" w:rsidRDefault="00005E0B" w:rsidP="008E0495">
      <w:pPr>
        <w:pStyle w:val="big-header"/>
        <w:ind w:left="0" w:right="1134"/>
        <w:rPr>
          <w:rFonts w:cs="FrankRuehl" w:hint="cs"/>
          <w:sz w:val="32"/>
          <w:rtl/>
        </w:rPr>
      </w:pPr>
      <w:r>
        <w:rPr>
          <w:rFonts w:cs="FrankRuehl"/>
          <w:sz w:val="32"/>
          <w:rtl/>
        </w:rPr>
        <w:t>תקנות ההסגרה (סדרי דין וכללי ראיות בעתירות), תשל"א</w:t>
      </w:r>
      <w:r w:rsidR="008E0495">
        <w:rPr>
          <w:rFonts w:cs="FrankRuehl" w:hint="cs"/>
          <w:sz w:val="32"/>
          <w:rtl/>
        </w:rPr>
        <w:t>-</w:t>
      </w:r>
      <w:r>
        <w:rPr>
          <w:rFonts w:cs="FrankRuehl"/>
          <w:sz w:val="32"/>
          <w:rtl/>
        </w:rPr>
        <w:t>1970</w:t>
      </w:r>
    </w:p>
    <w:p w14:paraId="3F5BEC82" w14:textId="77777777" w:rsidR="001D48BC" w:rsidRPr="001D48BC" w:rsidRDefault="001D48BC" w:rsidP="001D48BC">
      <w:pPr>
        <w:spacing w:line="320" w:lineRule="auto"/>
        <w:jc w:val="left"/>
        <w:rPr>
          <w:rFonts w:cs="FrankRuehl"/>
          <w:szCs w:val="26"/>
          <w:rtl/>
        </w:rPr>
      </w:pPr>
    </w:p>
    <w:p w14:paraId="448D1E07" w14:textId="77777777" w:rsidR="001D48BC" w:rsidRDefault="001D48BC" w:rsidP="001D48BC">
      <w:pPr>
        <w:spacing w:line="320" w:lineRule="auto"/>
        <w:jc w:val="left"/>
        <w:rPr>
          <w:rtl/>
        </w:rPr>
      </w:pPr>
    </w:p>
    <w:p w14:paraId="74C5D479" w14:textId="77777777" w:rsidR="001D48BC" w:rsidRDefault="001D48BC" w:rsidP="001D48BC">
      <w:pPr>
        <w:spacing w:line="320" w:lineRule="auto"/>
        <w:jc w:val="left"/>
        <w:rPr>
          <w:rFonts w:cs="FrankRuehl"/>
          <w:szCs w:val="26"/>
          <w:rtl/>
        </w:rPr>
      </w:pPr>
      <w:r w:rsidRPr="001D48BC">
        <w:rPr>
          <w:rFonts w:cs="Miriam"/>
          <w:szCs w:val="22"/>
          <w:rtl/>
        </w:rPr>
        <w:t>עונשין ומשפט פלילי</w:t>
      </w:r>
      <w:r w:rsidRPr="001D48BC">
        <w:rPr>
          <w:rFonts w:cs="FrankRuehl"/>
          <w:szCs w:val="26"/>
          <w:rtl/>
        </w:rPr>
        <w:t xml:space="preserve"> – הסגרה</w:t>
      </w:r>
    </w:p>
    <w:p w14:paraId="64750F4E" w14:textId="77777777" w:rsidR="001D48BC" w:rsidRDefault="001D48BC" w:rsidP="001D48BC">
      <w:pPr>
        <w:spacing w:line="320" w:lineRule="auto"/>
        <w:jc w:val="left"/>
        <w:rPr>
          <w:rFonts w:cs="FrankRuehl"/>
          <w:szCs w:val="26"/>
          <w:rtl/>
        </w:rPr>
      </w:pPr>
      <w:r w:rsidRPr="001D48BC">
        <w:rPr>
          <w:rFonts w:cs="Miriam"/>
          <w:szCs w:val="22"/>
          <w:rtl/>
        </w:rPr>
        <w:t>משפט בינ"ל פומבי</w:t>
      </w:r>
      <w:r w:rsidRPr="001D48BC">
        <w:rPr>
          <w:rFonts w:cs="FrankRuehl"/>
          <w:szCs w:val="26"/>
          <w:rtl/>
        </w:rPr>
        <w:t xml:space="preserve"> – הסגרה</w:t>
      </w:r>
    </w:p>
    <w:p w14:paraId="79D90C28" w14:textId="77777777" w:rsidR="001D48BC" w:rsidRDefault="001D48BC" w:rsidP="001D48BC">
      <w:pPr>
        <w:spacing w:line="320" w:lineRule="auto"/>
        <w:jc w:val="left"/>
        <w:rPr>
          <w:rFonts w:cs="FrankRuehl"/>
          <w:szCs w:val="26"/>
          <w:rtl/>
        </w:rPr>
      </w:pPr>
      <w:r w:rsidRPr="001D48BC">
        <w:rPr>
          <w:rFonts w:cs="Miriam"/>
          <w:szCs w:val="22"/>
          <w:rtl/>
        </w:rPr>
        <w:t>בתי משפט וסדרי דין</w:t>
      </w:r>
      <w:r w:rsidRPr="001D48BC">
        <w:rPr>
          <w:rFonts w:cs="FrankRuehl"/>
          <w:szCs w:val="26"/>
          <w:rtl/>
        </w:rPr>
        <w:t xml:space="preserve"> – סדר דין פלילי</w:t>
      </w:r>
    </w:p>
    <w:p w14:paraId="16B45F28" w14:textId="77777777" w:rsidR="001D48BC" w:rsidRDefault="001D48BC" w:rsidP="001D48BC">
      <w:pPr>
        <w:spacing w:line="320" w:lineRule="auto"/>
        <w:jc w:val="left"/>
        <w:rPr>
          <w:rFonts w:cs="FrankRuehl"/>
          <w:szCs w:val="26"/>
          <w:rtl/>
        </w:rPr>
      </w:pPr>
      <w:r w:rsidRPr="001D48BC">
        <w:rPr>
          <w:rFonts w:cs="Miriam"/>
          <w:szCs w:val="22"/>
          <w:rtl/>
        </w:rPr>
        <w:t>בתי משפט וסדרי דין</w:t>
      </w:r>
      <w:r w:rsidRPr="001D48BC">
        <w:rPr>
          <w:rFonts w:cs="FrankRuehl"/>
          <w:szCs w:val="26"/>
          <w:rtl/>
        </w:rPr>
        <w:t xml:space="preserve"> – ראיות</w:t>
      </w:r>
    </w:p>
    <w:p w14:paraId="20B3487E" w14:textId="77777777" w:rsidR="00FA38B4" w:rsidRPr="001D48BC" w:rsidRDefault="001D48BC" w:rsidP="001D48BC">
      <w:pPr>
        <w:spacing w:line="320" w:lineRule="auto"/>
        <w:jc w:val="left"/>
        <w:rPr>
          <w:rFonts w:cs="Miriam"/>
          <w:szCs w:val="22"/>
          <w:rtl/>
        </w:rPr>
      </w:pPr>
      <w:r w:rsidRPr="001D48BC">
        <w:rPr>
          <w:rFonts w:cs="Miriam"/>
          <w:szCs w:val="22"/>
          <w:rtl/>
        </w:rPr>
        <w:t>עונשין ומשפט פלילי</w:t>
      </w:r>
      <w:r w:rsidRPr="001D48BC">
        <w:rPr>
          <w:rFonts w:cs="FrankRuehl"/>
          <w:szCs w:val="26"/>
          <w:rtl/>
        </w:rPr>
        <w:t xml:space="preserve"> – סדר דין פלילי</w:t>
      </w:r>
    </w:p>
    <w:p w14:paraId="18F0BDC7" w14:textId="77777777" w:rsidR="00005E0B" w:rsidRDefault="00005E0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05E0B" w14:paraId="1B81FDC1" w14:textId="77777777">
        <w:tblPrEx>
          <w:tblCellMar>
            <w:top w:w="0" w:type="dxa"/>
            <w:bottom w:w="0" w:type="dxa"/>
          </w:tblCellMar>
        </w:tblPrEx>
        <w:tc>
          <w:tcPr>
            <w:tcW w:w="850" w:type="dxa"/>
          </w:tcPr>
          <w:p w14:paraId="66AD3104"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1D3E495C" w14:textId="77777777" w:rsidR="00005E0B" w:rsidRDefault="00005E0B">
            <w:pPr>
              <w:spacing w:line="240" w:lineRule="auto"/>
              <w:rPr>
                <w:sz w:val="24"/>
              </w:rPr>
            </w:pPr>
            <w:hyperlink w:anchor="Seif0" w:tooltip="הגדרות" w:history="1">
              <w:r>
                <w:rPr>
                  <w:rStyle w:val="Hyperlink"/>
                </w:rPr>
                <w:t>Go</w:t>
              </w:r>
            </w:hyperlink>
          </w:p>
        </w:tc>
        <w:tc>
          <w:tcPr>
            <w:tcW w:w="5669" w:type="dxa"/>
          </w:tcPr>
          <w:p w14:paraId="79911F44" w14:textId="77777777" w:rsidR="00005E0B" w:rsidRDefault="00005E0B">
            <w:pPr>
              <w:spacing w:line="240" w:lineRule="auto"/>
              <w:rPr>
                <w:sz w:val="24"/>
                <w:rtl/>
              </w:rPr>
            </w:pPr>
            <w:r>
              <w:rPr>
                <w:sz w:val="24"/>
                <w:rtl/>
              </w:rPr>
              <w:t>הגדרות</w:t>
            </w:r>
          </w:p>
        </w:tc>
        <w:tc>
          <w:tcPr>
            <w:tcW w:w="1247" w:type="dxa"/>
          </w:tcPr>
          <w:p w14:paraId="4F697388" w14:textId="77777777" w:rsidR="00005E0B" w:rsidRDefault="00005E0B">
            <w:pPr>
              <w:spacing w:line="240" w:lineRule="auto"/>
              <w:rPr>
                <w:sz w:val="24"/>
              </w:rPr>
            </w:pPr>
            <w:r>
              <w:rPr>
                <w:sz w:val="24"/>
                <w:rtl/>
              </w:rPr>
              <w:t xml:space="preserve">סעיף 1 </w:t>
            </w:r>
          </w:p>
        </w:tc>
      </w:tr>
      <w:tr w:rsidR="00005E0B" w14:paraId="5C389F04" w14:textId="77777777">
        <w:tblPrEx>
          <w:tblCellMar>
            <w:top w:w="0" w:type="dxa"/>
            <w:bottom w:w="0" w:type="dxa"/>
          </w:tblCellMar>
        </w:tblPrEx>
        <w:tc>
          <w:tcPr>
            <w:tcW w:w="850" w:type="dxa"/>
          </w:tcPr>
          <w:p w14:paraId="64F08451"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7A1101E5" w14:textId="77777777" w:rsidR="00005E0B" w:rsidRDefault="00005E0B">
            <w:pPr>
              <w:spacing w:line="240" w:lineRule="auto"/>
              <w:rPr>
                <w:sz w:val="24"/>
              </w:rPr>
            </w:pPr>
            <w:hyperlink w:anchor="Seif1" w:tooltip="הגשת עתירה" w:history="1">
              <w:r>
                <w:rPr>
                  <w:rStyle w:val="Hyperlink"/>
                </w:rPr>
                <w:t>Go</w:t>
              </w:r>
            </w:hyperlink>
          </w:p>
        </w:tc>
        <w:tc>
          <w:tcPr>
            <w:tcW w:w="5669" w:type="dxa"/>
          </w:tcPr>
          <w:p w14:paraId="7982B2A9" w14:textId="77777777" w:rsidR="00005E0B" w:rsidRDefault="00005E0B">
            <w:pPr>
              <w:spacing w:line="240" w:lineRule="auto"/>
              <w:rPr>
                <w:sz w:val="24"/>
                <w:rtl/>
              </w:rPr>
            </w:pPr>
            <w:r>
              <w:rPr>
                <w:sz w:val="24"/>
                <w:rtl/>
              </w:rPr>
              <w:t>הגשת עתירה</w:t>
            </w:r>
          </w:p>
        </w:tc>
        <w:tc>
          <w:tcPr>
            <w:tcW w:w="1247" w:type="dxa"/>
          </w:tcPr>
          <w:p w14:paraId="260D02FE" w14:textId="77777777" w:rsidR="00005E0B" w:rsidRDefault="00005E0B">
            <w:pPr>
              <w:spacing w:line="240" w:lineRule="auto"/>
              <w:rPr>
                <w:sz w:val="24"/>
              </w:rPr>
            </w:pPr>
            <w:r>
              <w:rPr>
                <w:sz w:val="24"/>
                <w:rtl/>
              </w:rPr>
              <w:t xml:space="preserve">סעיף 2 </w:t>
            </w:r>
          </w:p>
        </w:tc>
      </w:tr>
      <w:tr w:rsidR="00005E0B" w14:paraId="074FE284" w14:textId="77777777">
        <w:tblPrEx>
          <w:tblCellMar>
            <w:top w:w="0" w:type="dxa"/>
            <w:bottom w:w="0" w:type="dxa"/>
          </w:tblCellMar>
        </w:tblPrEx>
        <w:tc>
          <w:tcPr>
            <w:tcW w:w="850" w:type="dxa"/>
          </w:tcPr>
          <w:p w14:paraId="03394701"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4765B014" w14:textId="77777777" w:rsidR="00005E0B" w:rsidRDefault="00005E0B">
            <w:pPr>
              <w:spacing w:line="240" w:lineRule="auto"/>
              <w:rPr>
                <w:sz w:val="24"/>
              </w:rPr>
            </w:pPr>
            <w:hyperlink w:anchor="Seif2" w:tooltip="סמכות מקומית" w:history="1">
              <w:r>
                <w:rPr>
                  <w:rStyle w:val="Hyperlink"/>
                </w:rPr>
                <w:t>Go</w:t>
              </w:r>
            </w:hyperlink>
          </w:p>
        </w:tc>
        <w:tc>
          <w:tcPr>
            <w:tcW w:w="5669" w:type="dxa"/>
          </w:tcPr>
          <w:p w14:paraId="2320CA62" w14:textId="77777777" w:rsidR="00005E0B" w:rsidRDefault="00005E0B">
            <w:pPr>
              <w:spacing w:line="240" w:lineRule="auto"/>
              <w:rPr>
                <w:sz w:val="24"/>
                <w:rtl/>
              </w:rPr>
            </w:pPr>
            <w:r>
              <w:rPr>
                <w:sz w:val="24"/>
                <w:rtl/>
              </w:rPr>
              <w:t>סמכות מקומית</w:t>
            </w:r>
          </w:p>
        </w:tc>
        <w:tc>
          <w:tcPr>
            <w:tcW w:w="1247" w:type="dxa"/>
          </w:tcPr>
          <w:p w14:paraId="3C00D749" w14:textId="77777777" w:rsidR="00005E0B" w:rsidRDefault="00005E0B">
            <w:pPr>
              <w:spacing w:line="240" w:lineRule="auto"/>
              <w:rPr>
                <w:sz w:val="24"/>
              </w:rPr>
            </w:pPr>
            <w:r>
              <w:rPr>
                <w:sz w:val="24"/>
                <w:rtl/>
              </w:rPr>
              <w:t xml:space="preserve">סעיף 3 </w:t>
            </w:r>
          </w:p>
        </w:tc>
      </w:tr>
      <w:tr w:rsidR="00005E0B" w14:paraId="501CECBB" w14:textId="77777777">
        <w:tblPrEx>
          <w:tblCellMar>
            <w:top w:w="0" w:type="dxa"/>
            <w:bottom w:w="0" w:type="dxa"/>
          </w:tblCellMar>
        </w:tblPrEx>
        <w:tc>
          <w:tcPr>
            <w:tcW w:w="850" w:type="dxa"/>
          </w:tcPr>
          <w:p w14:paraId="1EB19103"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1D14D644" w14:textId="77777777" w:rsidR="00005E0B" w:rsidRDefault="00005E0B">
            <w:pPr>
              <w:spacing w:line="240" w:lineRule="auto"/>
              <w:rPr>
                <w:sz w:val="24"/>
              </w:rPr>
            </w:pPr>
            <w:hyperlink w:anchor="Seif3" w:tooltip="תוכן העתירה" w:history="1">
              <w:r>
                <w:rPr>
                  <w:rStyle w:val="Hyperlink"/>
                </w:rPr>
                <w:t>Go</w:t>
              </w:r>
            </w:hyperlink>
          </w:p>
        </w:tc>
        <w:tc>
          <w:tcPr>
            <w:tcW w:w="5669" w:type="dxa"/>
          </w:tcPr>
          <w:p w14:paraId="436CAEB1" w14:textId="77777777" w:rsidR="00005E0B" w:rsidRDefault="00005E0B">
            <w:pPr>
              <w:spacing w:line="240" w:lineRule="auto"/>
              <w:rPr>
                <w:sz w:val="24"/>
                <w:rtl/>
              </w:rPr>
            </w:pPr>
            <w:r>
              <w:rPr>
                <w:sz w:val="24"/>
                <w:rtl/>
              </w:rPr>
              <w:t>תוכן העתירה</w:t>
            </w:r>
          </w:p>
        </w:tc>
        <w:tc>
          <w:tcPr>
            <w:tcW w:w="1247" w:type="dxa"/>
          </w:tcPr>
          <w:p w14:paraId="3B769AC9" w14:textId="77777777" w:rsidR="00005E0B" w:rsidRDefault="00005E0B">
            <w:pPr>
              <w:spacing w:line="240" w:lineRule="auto"/>
              <w:rPr>
                <w:sz w:val="24"/>
              </w:rPr>
            </w:pPr>
            <w:r>
              <w:rPr>
                <w:sz w:val="24"/>
                <w:rtl/>
              </w:rPr>
              <w:t xml:space="preserve">סעיף 4 </w:t>
            </w:r>
          </w:p>
        </w:tc>
      </w:tr>
      <w:tr w:rsidR="00005E0B" w14:paraId="55D7478D" w14:textId="77777777">
        <w:tblPrEx>
          <w:tblCellMar>
            <w:top w:w="0" w:type="dxa"/>
            <w:bottom w:w="0" w:type="dxa"/>
          </w:tblCellMar>
        </w:tblPrEx>
        <w:tc>
          <w:tcPr>
            <w:tcW w:w="850" w:type="dxa"/>
          </w:tcPr>
          <w:p w14:paraId="00B2A85D"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60F1B6E0" w14:textId="77777777" w:rsidR="00005E0B" w:rsidRDefault="00005E0B">
            <w:pPr>
              <w:spacing w:line="240" w:lineRule="auto"/>
              <w:rPr>
                <w:sz w:val="24"/>
              </w:rPr>
            </w:pPr>
            <w:hyperlink w:anchor="Seif4" w:tooltip="מסמכים ומוצגים שיצורפו לעתירה" w:history="1">
              <w:r>
                <w:rPr>
                  <w:rStyle w:val="Hyperlink"/>
                </w:rPr>
                <w:t>Go</w:t>
              </w:r>
            </w:hyperlink>
          </w:p>
        </w:tc>
        <w:tc>
          <w:tcPr>
            <w:tcW w:w="5669" w:type="dxa"/>
          </w:tcPr>
          <w:p w14:paraId="340186F8" w14:textId="77777777" w:rsidR="00005E0B" w:rsidRDefault="00005E0B">
            <w:pPr>
              <w:spacing w:line="240" w:lineRule="auto"/>
              <w:rPr>
                <w:sz w:val="24"/>
                <w:rtl/>
              </w:rPr>
            </w:pPr>
            <w:r>
              <w:rPr>
                <w:sz w:val="24"/>
                <w:rtl/>
              </w:rPr>
              <w:t>מסמכים ומוצגים שיצורפו לעתירה</w:t>
            </w:r>
          </w:p>
        </w:tc>
        <w:tc>
          <w:tcPr>
            <w:tcW w:w="1247" w:type="dxa"/>
          </w:tcPr>
          <w:p w14:paraId="39A3A3FF" w14:textId="77777777" w:rsidR="00005E0B" w:rsidRDefault="00005E0B">
            <w:pPr>
              <w:spacing w:line="240" w:lineRule="auto"/>
              <w:rPr>
                <w:sz w:val="24"/>
              </w:rPr>
            </w:pPr>
            <w:r>
              <w:rPr>
                <w:sz w:val="24"/>
                <w:rtl/>
              </w:rPr>
              <w:t xml:space="preserve">סעיף 5 </w:t>
            </w:r>
          </w:p>
        </w:tc>
      </w:tr>
      <w:tr w:rsidR="00005E0B" w14:paraId="4578FBDB" w14:textId="77777777">
        <w:tblPrEx>
          <w:tblCellMar>
            <w:top w:w="0" w:type="dxa"/>
            <w:bottom w:w="0" w:type="dxa"/>
          </w:tblCellMar>
        </w:tblPrEx>
        <w:tc>
          <w:tcPr>
            <w:tcW w:w="850" w:type="dxa"/>
          </w:tcPr>
          <w:p w14:paraId="3EE0C4DD"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4FED278E" w14:textId="77777777" w:rsidR="00005E0B" w:rsidRDefault="00005E0B">
            <w:pPr>
              <w:spacing w:line="240" w:lineRule="auto"/>
              <w:rPr>
                <w:sz w:val="24"/>
              </w:rPr>
            </w:pPr>
            <w:hyperlink w:anchor="Seif5" w:tooltip="צירוף מבוקשים" w:history="1">
              <w:r>
                <w:rPr>
                  <w:rStyle w:val="Hyperlink"/>
                </w:rPr>
                <w:t>Go</w:t>
              </w:r>
            </w:hyperlink>
          </w:p>
        </w:tc>
        <w:tc>
          <w:tcPr>
            <w:tcW w:w="5669" w:type="dxa"/>
          </w:tcPr>
          <w:p w14:paraId="5813412F" w14:textId="77777777" w:rsidR="00005E0B" w:rsidRDefault="00005E0B">
            <w:pPr>
              <w:spacing w:line="240" w:lineRule="auto"/>
              <w:rPr>
                <w:sz w:val="24"/>
                <w:rtl/>
              </w:rPr>
            </w:pPr>
            <w:r>
              <w:rPr>
                <w:sz w:val="24"/>
                <w:rtl/>
              </w:rPr>
              <w:t>צירוף מבוקשים</w:t>
            </w:r>
          </w:p>
        </w:tc>
        <w:tc>
          <w:tcPr>
            <w:tcW w:w="1247" w:type="dxa"/>
          </w:tcPr>
          <w:p w14:paraId="75B896AA" w14:textId="77777777" w:rsidR="00005E0B" w:rsidRDefault="00005E0B">
            <w:pPr>
              <w:spacing w:line="240" w:lineRule="auto"/>
              <w:rPr>
                <w:sz w:val="24"/>
              </w:rPr>
            </w:pPr>
            <w:r>
              <w:rPr>
                <w:sz w:val="24"/>
                <w:rtl/>
              </w:rPr>
              <w:t xml:space="preserve">סעיף 6 </w:t>
            </w:r>
          </w:p>
        </w:tc>
      </w:tr>
      <w:tr w:rsidR="00005E0B" w14:paraId="3F0C9A40" w14:textId="77777777">
        <w:tblPrEx>
          <w:tblCellMar>
            <w:top w:w="0" w:type="dxa"/>
            <w:bottom w:w="0" w:type="dxa"/>
          </w:tblCellMar>
        </w:tblPrEx>
        <w:tc>
          <w:tcPr>
            <w:tcW w:w="850" w:type="dxa"/>
          </w:tcPr>
          <w:p w14:paraId="4D62E363"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65BA3D35" w14:textId="77777777" w:rsidR="00005E0B" w:rsidRDefault="00005E0B">
            <w:pPr>
              <w:spacing w:line="240" w:lineRule="auto"/>
              <w:rPr>
                <w:sz w:val="24"/>
              </w:rPr>
            </w:pPr>
            <w:hyperlink w:anchor="Seif6" w:tooltip="מועד לדיון בעתירה" w:history="1">
              <w:r>
                <w:rPr>
                  <w:rStyle w:val="Hyperlink"/>
                </w:rPr>
                <w:t>Go</w:t>
              </w:r>
            </w:hyperlink>
          </w:p>
        </w:tc>
        <w:tc>
          <w:tcPr>
            <w:tcW w:w="5669" w:type="dxa"/>
          </w:tcPr>
          <w:p w14:paraId="34CAF7D7" w14:textId="77777777" w:rsidR="00005E0B" w:rsidRDefault="00005E0B">
            <w:pPr>
              <w:spacing w:line="240" w:lineRule="auto"/>
              <w:rPr>
                <w:sz w:val="24"/>
                <w:rtl/>
              </w:rPr>
            </w:pPr>
            <w:r>
              <w:rPr>
                <w:sz w:val="24"/>
                <w:rtl/>
              </w:rPr>
              <w:t>מועד לדיון בעתירה</w:t>
            </w:r>
          </w:p>
        </w:tc>
        <w:tc>
          <w:tcPr>
            <w:tcW w:w="1247" w:type="dxa"/>
          </w:tcPr>
          <w:p w14:paraId="6992C7EC" w14:textId="77777777" w:rsidR="00005E0B" w:rsidRDefault="00005E0B">
            <w:pPr>
              <w:spacing w:line="240" w:lineRule="auto"/>
              <w:rPr>
                <w:sz w:val="24"/>
              </w:rPr>
            </w:pPr>
            <w:r>
              <w:rPr>
                <w:sz w:val="24"/>
                <w:rtl/>
              </w:rPr>
              <w:t xml:space="preserve">סעיף 7 </w:t>
            </w:r>
          </w:p>
        </w:tc>
      </w:tr>
      <w:tr w:rsidR="00005E0B" w14:paraId="5CF9619A" w14:textId="77777777">
        <w:tblPrEx>
          <w:tblCellMar>
            <w:top w:w="0" w:type="dxa"/>
            <w:bottom w:w="0" w:type="dxa"/>
          </w:tblCellMar>
        </w:tblPrEx>
        <w:tc>
          <w:tcPr>
            <w:tcW w:w="850" w:type="dxa"/>
          </w:tcPr>
          <w:p w14:paraId="61866A35"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7CA54EBD" w14:textId="77777777" w:rsidR="00005E0B" w:rsidRDefault="00005E0B">
            <w:pPr>
              <w:spacing w:line="240" w:lineRule="auto"/>
              <w:rPr>
                <w:sz w:val="24"/>
              </w:rPr>
            </w:pPr>
            <w:hyperlink w:anchor="Seif7" w:tooltip="עיון בחומר הראיות" w:history="1">
              <w:r>
                <w:rPr>
                  <w:rStyle w:val="Hyperlink"/>
                </w:rPr>
                <w:t>Go</w:t>
              </w:r>
            </w:hyperlink>
          </w:p>
        </w:tc>
        <w:tc>
          <w:tcPr>
            <w:tcW w:w="5669" w:type="dxa"/>
          </w:tcPr>
          <w:p w14:paraId="6CCAA08B" w14:textId="77777777" w:rsidR="00005E0B" w:rsidRDefault="00005E0B">
            <w:pPr>
              <w:spacing w:line="240" w:lineRule="auto"/>
              <w:rPr>
                <w:sz w:val="24"/>
                <w:rtl/>
              </w:rPr>
            </w:pPr>
            <w:r>
              <w:rPr>
                <w:sz w:val="24"/>
                <w:rtl/>
              </w:rPr>
              <w:t>עיון בחומר הראיות</w:t>
            </w:r>
          </w:p>
        </w:tc>
        <w:tc>
          <w:tcPr>
            <w:tcW w:w="1247" w:type="dxa"/>
          </w:tcPr>
          <w:p w14:paraId="347DE650" w14:textId="77777777" w:rsidR="00005E0B" w:rsidRDefault="00005E0B">
            <w:pPr>
              <w:spacing w:line="240" w:lineRule="auto"/>
              <w:rPr>
                <w:sz w:val="24"/>
              </w:rPr>
            </w:pPr>
            <w:r>
              <w:rPr>
                <w:sz w:val="24"/>
                <w:rtl/>
              </w:rPr>
              <w:t xml:space="preserve">סעיף 8 </w:t>
            </w:r>
          </w:p>
        </w:tc>
      </w:tr>
      <w:tr w:rsidR="00005E0B" w14:paraId="60C6830D" w14:textId="77777777">
        <w:tblPrEx>
          <w:tblCellMar>
            <w:top w:w="0" w:type="dxa"/>
            <w:bottom w:w="0" w:type="dxa"/>
          </w:tblCellMar>
        </w:tblPrEx>
        <w:tc>
          <w:tcPr>
            <w:tcW w:w="850" w:type="dxa"/>
          </w:tcPr>
          <w:p w14:paraId="66224947"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4C621E0E" w14:textId="77777777" w:rsidR="00005E0B" w:rsidRDefault="00005E0B">
            <w:pPr>
              <w:spacing w:line="240" w:lineRule="auto"/>
              <w:rPr>
                <w:sz w:val="24"/>
              </w:rPr>
            </w:pPr>
            <w:hyperlink w:anchor="Seif8" w:tooltip="שמירת ראיות" w:history="1">
              <w:r>
                <w:rPr>
                  <w:rStyle w:val="Hyperlink"/>
                </w:rPr>
                <w:t>Go</w:t>
              </w:r>
            </w:hyperlink>
          </w:p>
        </w:tc>
        <w:tc>
          <w:tcPr>
            <w:tcW w:w="5669" w:type="dxa"/>
          </w:tcPr>
          <w:p w14:paraId="6B27E330" w14:textId="77777777" w:rsidR="00005E0B" w:rsidRDefault="00005E0B">
            <w:pPr>
              <w:spacing w:line="240" w:lineRule="auto"/>
              <w:rPr>
                <w:sz w:val="24"/>
                <w:rtl/>
              </w:rPr>
            </w:pPr>
            <w:r>
              <w:rPr>
                <w:sz w:val="24"/>
                <w:rtl/>
              </w:rPr>
              <w:t>שמירת ראיות</w:t>
            </w:r>
          </w:p>
        </w:tc>
        <w:tc>
          <w:tcPr>
            <w:tcW w:w="1247" w:type="dxa"/>
          </w:tcPr>
          <w:p w14:paraId="74439C0D" w14:textId="77777777" w:rsidR="00005E0B" w:rsidRDefault="00005E0B">
            <w:pPr>
              <w:spacing w:line="240" w:lineRule="auto"/>
              <w:rPr>
                <w:sz w:val="24"/>
              </w:rPr>
            </w:pPr>
            <w:r>
              <w:rPr>
                <w:sz w:val="24"/>
                <w:rtl/>
              </w:rPr>
              <w:t xml:space="preserve">סעיף 9 </w:t>
            </w:r>
          </w:p>
        </w:tc>
      </w:tr>
      <w:tr w:rsidR="00005E0B" w14:paraId="5610C096" w14:textId="77777777">
        <w:tblPrEx>
          <w:tblCellMar>
            <w:top w:w="0" w:type="dxa"/>
            <w:bottom w:w="0" w:type="dxa"/>
          </w:tblCellMar>
        </w:tblPrEx>
        <w:tc>
          <w:tcPr>
            <w:tcW w:w="850" w:type="dxa"/>
          </w:tcPr>
          <w:p w14:paraId="3A9E6BF4"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E0495">
              <w:rPr>
                <w:noProof/>
                <w:sz w:val="24"/>
                <w:rtl/>
              </w:rPr>
              <w:t>2</w:t>
            </w:r>
            <w:r>
              <w:rPr>
                <w:sz w:val="24"/>
                <w:rtl/>
              </w:rPr>
              <w:fldChar w:fldCharType="end"/>
            </w:r>
          </w:p>
        </w:tc>
        <w:tc>
          <w:tcPr>
            <w:tcW w:w="567" w:type="dxa"/>
          </w:tcPr>
          <w:p w14:paraId="6AA04E7F" w14:textId="77777777" w:rsidR="00005E0B" w:rsidRDefault="00005E0B">
            <w:pPr>
              <w:spacing w:line="240" w:lineRule="auto"/>
              <w:rPr>
                <w:sz w:val="24"/>
              </w:rPr>
            </w:pPr>
            <w:hyperlink w:anchor="Seif9" w:tooltip="רציפות הדיון" w:history="1">
              <w:r>
                <w:rPr>
                  <w:rStyle w:val="Hyperlink"/>
                </w:rPr>
                <w:t>Go</w:t>
              </w:r>
            </w:hyperlink>
          </w:p>
        </w:tc>
        <w:tc>
          <w:tcPr>
            <w:tcW w:w="5669" w:type="dxa"/>
          </w:tcPr>
          <w:p w14:paraId="22F05CB1" w14:textId="77777777" w:rsidR="00005E0B" w:rsidRDefault="00005E0B">
            <w:pPr>
              <w:spacing w:line="240" w:lineRule="auto"/>
              <w:rPr>
                <w:sz w:val="24"/>
                <w:rtl/>
              </w:rPr>
            </w:pPr>
            <w:r>
              <w:rPr>
                <w:sz w:val="24"/>
                <w:rtl/>
              </w:rPr>
              <w:t>רציפות הדיון</w:t>
            </w:r>
          </w:p>
        </w:tc>
        <w:tc>
          <w:tcPr>
            <w:tcW w:w="1247" w:type="dxa"/>
          </w:tcPr>
          <w:p w14:paraId="7A20C41F" w14:textId="77777777" w:rsidR="00005E0B" w:rsidRDefault="00005E0B">
            <w:pPr>
              <w:spacing w:line="240" w:lineRule="auto"/>
              <w:rPr>
                <w:sz w:val="24"/>
              </w:rPr>
            </w:pPr>
            <w:r>
              <w:rPr>
                <w:sz w:val="24"/>
                <w:rtl/>
              </w:rPr>
              <w:t xml:space="preserve">סעיף 10 </w:t>
            </w:r>
          </w:p>
        </w:tc>
      </w:tr>
      <w:tr w:rsidR="00005E0B" w14:paraId="128CBE9B" w14:textId="77777777">
        <w:tblPrEx>
          <w:tblCellMar>
            <w:top w:w="0" w:type="dxa"/>
            <w:bottom w:w="0" w:type="dxa"/>
          </w:tblCellMar>
        </w:tblPrEx>
        <w:tc>
          <w:tcPr>
            <w:tcW w:w="850" w:type="dxa"/>
          </w:tcPr>
          <w:p w14:paraId="5BB926E9"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6916B27A" w14:textId="77777777" w:rsidR="00005E0B" w:rsidRDefault="00005E0B">
            <w:pPr>
              <w:spacing w:line="240" w:lineRule="auto"/>
              <w:rPr>
                <w:sz w:val="24"/>
              </w:rPr>
            </w:pPr>
            <w:hyperlink w:anchor="Seif10" w:tooltip="טענות מקדמיות" w:history="1">
              <w:r>
                <w:rPr>
                  <w:rStyle w:val="Hyperlink"/>
                </w:rPr>
                <w:t>Go</w:t>
              </w:r>
            </w:hyperlink>
          </w:p>
        </w:tc>
        <w:tc>
          <w:tcPr>
            <w:tcW w:w="5669" w:type="dxa"/>
          </w:tcPr>
          <w:p w14:paraId="26C9D980" w14:textId="77777777" w:rsidR="00005E0B" w:rsidRDefault="00005E0B">
            <w:pPr>
              <w:spacing w:line="240" w:lineRule="auto"/>
              <w:rPr>
                <w:sz w:val="24"/>
                <w:rtl/>
              </w:rPr>
            </w:pPr>
            <w:r>
              <w:rPr>
                <w:sz w:val="24"/>
                <w:rtl/>
              </w:rPr>
              <w:t>טענות מקדמיות</w:t>
            </w:r>
          </w:p>
        </w:tc>
        <w:tc>
          <w:tcPr>
            <w:tcW w:w="1247" w:type="dxa"/>
          </w:tcPr>
          <w:p w14:paraId="28A9BB8C" w14:textId="77777777" w:rsidR="00005E0B" w:rsidRDefault="00005E0B">
            <w:pPr>
              <w:spacing w:line="240" w:lineRule="auto"/>
              <w:rPr>
                <w:sz w:val="24"/>
              </w:rPr>
            </w:pPr>
            <w:r>
              <w:rPr>
                <w:sz w:val="24"/>
                <w:rtl/>
              </w:rPr>
              <w:t xml:space="preserve">סעיף 11 </w:t>
            </w:r>
          </w:p>
        </w:tc>
      </w:tr>
      <w:tr w:rsidR="00005E0B" w14:paraId="24E4D029" w14:textId="77777777">
        <w:tblPrEx>
          <w:tblCellMar>
            <w:top w:w="0" w:type="dxa"/>
            <w:bottom w:w="0" w:type="dxa"/>
          </w:tblCellMar>
        </w:tblPrEx>
        <w:tc>
          <w:tcPr>
            <w:tcW w:w="850" w:type="dxa"/>
          </w:tcPr>
          <w:p w14:paraId="3C79047E"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09AE3ADB" w14:textId="77777777" w:rsidR="00005E0B" w:rsidRDefault="00005E0B">
            <w:pPr>
              <w:spacing w:line="240" w:lineRule="auto"/>
              <w:rPr>
                <w:sz w:val="24"/>
              </w:rPr>
            </w:pPr>
            <w:hyperlink w:anchor="Seif11" w:tooltip="סדר טענות" w:history="1">
              <w:r>
                <w:rPr>
                  <w:rStyle w:val="Hyperlink"/>
                </w:rPr>
                <w:t>Go</w:t>
              </w:r>
            </w:hyperlink>
          </w:p>
        </w:tc>
        <w:tc>
          <w:tcPr>
            <w:tcW w:w="5669" w:type="dxa"/>
          </w:tcPr>
          <w:p w14:paraId="7C14984E" w14:textId="77777777" w:rsidR="00005E0B" w:rsidRDefault="00005E0B">
            <w:pPr>
              <w:spacing w:line="240" w:lineRule="auto"/>
              <w:rPr>
                <w:sz w:val="24"/>
                <w:rtl/>
              </w:rPr>
            </w:pPr>
            <w:r>
              <w:rPr>
                <w:sz w:val="24"/>
                <w:rtl/>
              </w:rPr>
              <w:t>סדר טענות</w:t>
            </w:r>
          </w:p>
        </w:tc>
        <w:tc>
          <w:tcPr>
            <w:tcW w:w="1247" w:type="dxa"/>
          </w:tcPr>
          <w:p w14:paraId="3D23E3BE" w14:textId="77777777" w:rsidR="00005E0B" w:rsidRDefault="00005E0B">
            <w:pPr>
              <w:spacing w:line="240" w:lineRule="auto"/>
              <w:rPr>
                <w:sz w:val="24"/>
              </w:rPr>
            </w:pPr>
            <w:r>
              <w:rPr>
                <w:sz w:val="24"/>
                <w:rtl/>
              </w:rPr>
              <w:t xml:space="preserve">סעיף 12 </w:t>
            </w:r>
          </w:p>
        </w:tc>
      </w:tr>
      <w:tr w:rsidR="00005E0B" w14:paraId="0A7380A3" w14:textId="77777777">
        <w:tblPrEx>
          <w:tblCellMar>
            <w:top w:w="0" w:type="dxa"/>
            <w:bottom w:w="0" w:type="dxa"/>
          </w:tblCellMar>
        </w:tblPrEx>
        <w:tc>
          <w:tcPr>
            <w:tcW w:w="850" w:type="dxa"/>
          </w:tcPr>
          <w:p w14:paraId="79126A17"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527CF335" w14:textId="77777777" w:rsidR="00005E0B" w:rsidRDefault="00005E0B">
            <w:pPr>
              <w:spacing w:line="240" w:lineRule="auto"/>
              <w:rPr>
                <w:sz w:val="24"/>
              </w:rPr>
            </w:pPr>
            <w:hyperlink w:anchor="Seif12" w:tooltip="סדר חקירת עדים" w:history="1">
              <w:r>
                <w:rPr>
                  <w:rStyle w:val="Hyperlink"/>
                </w:rPr>
                <w:t>Go</w:t>
              </w:r>
            </w:hyperlink>
          </w:p>
        </w:tc>
        <w:tc>
          <w:tcPr>
            <w:tcW w:w="5669" w:type="dxa"/>
          </w:tcPr>
          <w:p w14:paraId="1E8B2607" w14:textId="77777777" w:rsidR="00005E0B" w:rsidRDefault="00005E0B">
            <w:pPr>
              <w:spacing w:line="240" w:lineRule="auto"/>
              <w:rPr>
                <w:sz w:val="24"/>
                <w:rtl/>
              </w:rPr>
            </w:pPr>
            <w:r>
              <w:rPr>
                <w:sz w:val="24"/>
                <w:rtl/>
              </w:rPr>
              <w:t>סדר חקירת עדים</w:t>
            </w:r>
          </w:p>
        </w:tc>
        <w:tc>
          <w:tcPr>
            <w:tcW w:w="1247" w:type="dxa"/>
          </w:tcPr>
          <w:p w14:paraId="5B3E91FD" w14:textId="77777777" w:rsidR="00005E0B" w:rsidRDefault="00005E0B">
            <w:pPr>
              <w:spacing w:line="240" w:lineRule="auto"/>
              <w:rPr>
                <w:sz w:val="24"/>
              </w:rPr>
            </w:pPr>
            <w:r>
              <w:rPr>
                <w:sz w:val="24"/>
                <w:rtl/>
              </w:rPr>
              <w:t xml:space="preserve">סעיף 13 </w:t>
            </w:r>
          </w:p>
        </w:tc>
      </w:tr>
      <w:tr w:rsidR="00005E0B" w14:paraId="2837BEEC" w14:textId="77777777">
        <w:tblPrEx>
          <w:tblCellMar>
            <w:top w:w="0" w:type="dxa"/>
            <w:bottom w:w="0" w:type="dxa"/>
          </w:tblCellMar>
        </w:tblPrEx>
        <w:tc>
          <w:tcPr>
            <w:tcW w:w="850" w:type="dxa"/>
          </w:tcPr>
          <w:p w14:paraId="0C1AAC02"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76458471" w14:textId="77777777" w:rsidR="00005E0B" w:rsidRDefault="00005E0B">
            <w:pPr>
              <w:spacing w:line="240" w:lineRule="auto"/>
              <w:rPr>
                <w:sz w:val="24"/>
              </w:rPr>
            </w:pPr>
            <w:hyperlink w:anchor="Seif13" w:tooltip="אימות מסמכים" w:history="1">
              <w:r>
                <w:rPr>
                  <w:rStyle w:val="Hyperlink"/>
                </w:rPr>
                <w:t>Go</w:t>
              </w:r>
            </w:hyperlink>
          </w:p>
        </w:tc>
        <w:tc>
          <w:tcPr>
            <w:tcW w:w="5669" w:type="dxa"/>
          </w:tcPr>
          <w:p w14:paraId="63F6DA56" w14:textId="77777777" w:rsidR="00005E0B" w:rsidRDefault="00005E0B">
            <w:pPr>
              <w:spacing w:line="240" w:lineRule="auto"/>
              <w:rPr>
                <w:sz w:val="24"/>
                <w:rtl/>
              </w:rPr>
            </w:pPr>
            <w:r>
              <w:rPr>
                <w:sz w:val="24"/>
                <w:rtl/>
              </w:rPr>
              <w:t>אימות מסמכים</w:t>
            </w:r>
          </w:p>
        </w:tc>
        <w:tc>
          <w:tcPr>
            <w:tcW w:w="1247" w:type="dxa"/>
          </w:tcPr>
          <w:p w14:paraId="1022F5AE" w14:textId="77777777" w:rsidR="00005E0B" w:rsidRDefault="00005E0B">
            <w:pPr>
              <w:spacing w:line="240" w:lineRule="auto"/>
              <w:rPr>
                <w:sz w:val="24"/>
              </w:rPr>
            </w:pPr>
            <w:r>
              <w:rPr>
                <w:sz w:val="24"/>
                <w:rtl/>
              </w:rPr>
              <w:t xml:space="preserve">סעיף 14 </w:t>
            </w:r>
          </w:p>
        </w:tc>
      </w:tr>
      <w:tr w:rsidR="00005E0B" w14:paraId="62887EE3" w14:textId="77777777">
        <w:tblPrEx>
          <w:tblCellMar>
            <w:top w:w="0" w:type="dxa"/>
            <w:bottom w:w="0" w:type="dxa"/>
          </w:tblCellMar>
        </w:tblPrEx>
        <w:tc>
          <w:tcPr>
            <w:tcW w:w="850" w:type="dxa"/>
          </w:tcPr>
          <w:p w14:paraId="7DA42BBD"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1E2EE0DB" w14:textId="77777777" w:rsidR="00005E0B" w:rsidRDefault="00005E0B">
            <w:pPr>
              <w:spacing w:line="240" w:lineRule="auto"/>
              <w:rPr>
                <w:sz w:val="24"/>
              </w:rPr>
            </w:pPr>
            <w:hyperlink w:anchor="Seif14" w:tooltip="תצהירים וראיות" w:history="1">
              <w:r>
                <w:rPr>
                  <w:rStyle w:val="Hyperlink"/>
                </w:rPr>
                <w:t>Go</w:t>
              </w:r>
            </w:hyperlink>
          </w:p>
        </w:tc>
        <w:tc>
          <w:tcPr>
            <w:tcW w:w="5669" w:type="dxa"/>
          </w:tcPr>
          <w:p w14:paraId="0774FA51" w14:textId="77777777" w:rsidR="00005E0B" w:rsidRDefault="00005E0B">
            <w:pPr>
              <w:spacing w:line="240" w:lineRule="auto"/>
              <w:rPr>
                <w:sz w:val="24"/>
                <w:rtl/>
              </w:rPr>
            </w:pPr>
            <w:r>
              <w:rPr>
                <w:sz w:val="24"/>
                <w:rtl/>
              </w:rPr>
              <w:t>תצהירים וראיות</w:t>
            </w:r>
          </w:p>
        </w:tc>
        <w:tc>
          <w:tcPr>
            <w:tcW w:w="1247" w:type="dxa"/>
          </w:tcPr>
          <w:p w14:paraId="2DB3B737" w14:textId="77777777" w:rsidR="00005E0B" w:rsidRDefault="00005E0B">
            <w:pPr>
              <w:spacing w:line="240" w:lineRule="auto"/>
              <w:rPr>
                <w:sz w:val="24"/>
              </w:rPr>
            </w:pPr>
            <w:r>
              <w:rPr>
                <w:sz w:val="24"/>
                <w:rtl/>
              </w:rPr>
              <w:t xml:space="preserve">סעיף 15 </w:t>
            </w:r>
          </w:p>
        </w:tc>
      </w:tr>
      <w:tr w:rsidR="00005E0B" w14:paraId="4418944E" w14:textId="77777777">
        <w:tblPrEx>
          <w:tblCellMar>
            <w:top w:w="0" w:type="dxa"/>
            <w:bottom w:w="0" w:type="dxa"/>
          </w:tblCellMar>
        </w:tblPrEx>
        <w:tc>
          <w:tcPr>
            <w:tcW w:w="850" w:type="dxa"/>
          </w:tcPr>
          <w:p w14:paraId="2978B65D"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16F8D6D8" w14:textId="77777777" w:rsidR="00005E0B" w:rsidRDefault="00005E0B">
            <w:pPr>
              <w:spacing w:line="240" w:lineRule="auto"/>
              <w:rPr>
                <w:sz w:val="24"/>
              </w:rPr>
            </w:pPr>
            <w:hyperlink w:anchor="Seif15" w:tooltip="החלטת בית המשפט" w:history="1">
              <w:r>
                <w:rPr>
                  <w:rStyle w:val="Hyperlink"/>
                </w:rPr>
                <w:t>Go</w:t>
              </w:r>
            </w:hyperlink>
          </w:p>
        </w:tc>
        <w:tc>
          <w:tcPr>
            <w:tcW w:w="5669" w:type="dxa"/>
          </w:tcPr>
          <w:p w14:paraId="6356D3C4" w14:textId="77777777" w:rsidR="00005E0B" w:rsidRDefault="00005E0B">
            <w:pPr>
              <w:spacing w:line="240" w:lineRule="auto"/>
              <w:rPr>
                <w:sz w:val="24"/>
                <w:rtl/>
              </w:rPr>
            </w:pPr>
            <w:r>
              <w:rPr>
                <w:sz w:val="24"/>
                <w:rtl/>
              </w:rPr>
              <w:t>החלטת בית המשפט</w:t>
            </w:r>
          </w:p>
        </w:tc>
        <w:tc>
          <w:tcPr>
            <w:tcW w:w="1247" w:type="dxa"/>
          </w:tcPr>
          <w:p w14:paraId="1506E1FE" w14:textId="77777777" w:rsidR="00005E0B" w:rsidRDefault="00005E0B">
            <w:pPr>
              <w:spacing w:line="240" w:lineRule="auto"/>
              <w:rPr>
                <w:sz w:val="24"/>
              </w:rPr>
            </w:pPr>
            <w:r>
              <w:rPr>
                <w:sz w:val="24"/>
                <w:rtl/>
              </w:rPr>
              <w:t xml:space="preserve">סעיף 16 </w:t>
            </w:r>
          </w:p>
        </w:tc>
      </w:tr>
      <w:tr w:rsidR="00005E0B" w14:paraId="55E7311E" w14:textId="77777777">
        <w:tblPrEx>
          <w:tblCellMar>
            <w:top w:w="0" w:type="dxa"/>
            <w:bottom w:w="0" w:type="dxa"/>
          </w:tblCellMar>
        </w:tblPrEx>
        <w:tc>
          <w:tcPr>
            <w:tcW w:w="850" w:type="dxa"/>
          </w:tcPr>
          <w:p w14:paraId="7DFE55AA"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21295917" w14:textId="77777777" w:rsidR="00005E0B" w:rsidRDefault="00005E0B">
            <w:pPr>
              <w:spacing w:line="240" w:lineRule="auto"/>
              <w:rPr>
                <w:sz w:val="24"/>
              </w:rPr>
            </w:pPr>
            <w:hyperlink w:anchor="Seif16" w:tooltip="ערעור" w:history="1">
              <w:r>
                <w:rPr>
                  <w:rStyle w:val="Hyperlink"/>
                </w:rPr>
                <w:t>Go</w:t>
              </w:r>
            </w:hyperlink>
          </w:p>
        </w:tc>
        <w:tc>
          <w:tcPr>
            <w:tcW w:w="5669" w:type="dxa"/>
          </w:tcPr>
          <w:p w14:paraId="4A4B846C" w14:textId="77777777" w:rsidR="00005E0B" w:rsidRDefault="00005E0B">
            <w:pPr>
              <w:spacing w:line="240" w:lineRule="auto"/>
              <w:rPr>
                <w:sz w:val="24"/>
                <w:rtl/>
              </w:rPr>
            </w:pPr>
            <w:r>
              <w:rPr>
                <w:sz w:val="24"/>
                <w:rtl/>
              </w:rPr>
              <w:t>ערעור</w:t>
            </w:r>
          </w:p>
        </w:tc>
        <w:tc>
          <w:tcPr>
            <w:tcW w:w="1247" w:type="dxa"/>
          </w:tcPr>
          <w:p w14:paraId="4E23FE7F" w14:textId="77777777" w:rsidR="00005E0B" w:rsidRDefault="00005E0B">
            <w:pPr>
              <w:spacing w:line="240" w:lineRule="auto"/>
              <w:rPr>
                <w:sz w:val="24"/>
              </w:rPr>
            </w:pPr>
            <w:r>
              <w:rPr>
                <w:sz w:val="24"/>
                <w:rtl/>
              </w:rPr>
              <w:t xml:space="preserve">סעיף 17 </w:t>
            </w:r>
          </w:p>
        </w:tc>
      </w:tr>
      <w:tr w:rsidR="00005E0B" w14:paraId="4C5F7209" w14:textId="77777777">
        <w:tblPrEx>
          <w:tblCellMar>
            <w:top w:w="0" w:type="dxa"/>
            <w:bottom w:w="0" w:type="dxa"/>
          </w:tblCellMar>
        </w:tblPrEx>
        <w:tc>
          <w:tcPr>
            <w:tcW w:w="850" w:type="dxa"/>
          </w:tcPr>
          <w:p w14:paraId="215423B7"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33EAF8D3" w14:textId="77777777" w:rsidR="00005E0B" w:rsidRDefault="00005E0B">
            <w:pPr>
              <w:spacing w:line="240" w:lineRule="auto"/>
              <w:rPr>
                <w:sz w:val="24"/>
              </w:rPr>
            </w:pPr>
            <w:hyperlink w:anchor="Seif17" w:tooltip="הוראות שונות" w:history="1">
              <w:r>
                <w:rPr>
                  <w:rStyle w:val="Hyperlink"/>
                </w:rPr>
                <w:t>Go</w:t>
              </w:r>
            </w:hyperlink>
          </w:p>
        </w:tc>
        <w:tc>
          <w:tcPr>
            <w:tcW w:w="5669" w:type="dxa"/>
          </w:tcPr>
          <w:p w14:paraId="58588C38" w14:textId="77777777" w:rsidR="00005E0B" w:rsidRDefault="00005E0B">
            <w:pPr>
              <w:spacing w:line="240" w:lineRule="auto"/>
              <w:rPr>
                <w:sz w:val="24"/>
                <w:rtl/>
              </w:rPr>
            </w:pPr>
            <w:r>
              <w:rPr>
                <w:sz w:val="24"/>
                <w:rtl/>
              </w:rPr>
              <w:t>הוראות שונות</w:t>
            </w:r>
          </w:p>
        </w:tc>
        <w:tc>
          <w:tcPr>
            <w:tcW w:w="1247" w:type="dxa"/>
          </w:tcPr>
          <w:p w14:paraId="58082AD1" w14:textId="77777777" w:rsidR="00005E0B" w:rsidRDefault="00005E0B">
            <w:pPr>
              <w:spacing w:line="240" w:lineRule="auto"/>
              <w:rPr>
                <w:sz w:val="24"/>
              </w:rPr>
            </w:pPr>
            <w:r>
              <w:rPr>
                <w:sz w:val="24"/>
                <w:rtl/>
              </w:rPr>
              <w:t xml:space="preserve">סעיף 18 </w:t>
            </w:r>
          </w:p>
        </w:tc>
      </w:tr>
      <w:tr w:rsidR="00005E0B" w14:paraId="244D6920" w14:textId="77777777">
        <w:tblPrEx>
          <w:tblCellMar>
            <w:top w:w="0" w:type="dxa"/>
            <w:bottom w:w="0" w:type="dxa"/>
          </w:tblCellMar>
        </w:tblPrEx>
        <w:tc>
          <w:tcPr>
            <w:tcW w:w="850" w:type="dxa"/>
          </w:tcPr>
          <w:p w14:paraId="04A6A282" w14:textId="77777777" w:rsidR="00005E0B" w:rsidRDefault="00005E0B">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8E0495">
              <w:rPr>
                <w:noProof/>
                <w:sz w:val="24"/>
                <w:rtl/>
              </w:rPr>
              <w:t>3</w:t>
            </w:r>
            <w:r>
              <w:rPr>
                <w:sz w:val="24"/>
                <w:rtl/>
              </w:rPr>
              <w:fldChar w:fldCharType="end"/>
            </w:r>
          </w:p>
        </w:tc>
        <w:tc>
          <w:tcPr>
            <w:tcW w:w="567" w:type="dxa"/>
          </w:tcPr>
          <w:p w14:paraId="07B50389" w14:textId="77777777" w:rsidR="00005E0B" w:rsidRDefault="00005E0B">
            <w:pPr>
              <w:spacing w:line="240" w:lineRule="auto"/>
              <w:rPr>
                <w:sz w:val="24"/>
              </w:rPr>
            </w:pPr>
            <w:hyperlink w:anchor="Seif18" w:tooltip="השם" w:history="1">
              <w:r>
                <w:rPr>
                  <w:rStyle w:val="Hyperlink"/>
                </w:rPr>
                <w:t>Go</w:t>
              </w:r>
            </w:hyperlink>
          </w:p>
        </w:tc>
        <w:tc>
          <w:tcPr>
            <w:tcW w:w="5669" w:type="dxa"/>
          </w:tcPr>
          <w:p w14:paraId="46555BFC" w14:textId="77777777" w:rsidR="00005E0B" w:rsidRDefault="00005E0B">
            <w:pPr>
              <w:spacing w:line="240" w:lineRule="auto"/>
              <w:rPr>
                <w:sz w:val="24"/>
                <w:rtl/>
              </w:rPr>
            </w:pPr>
            <w:r>
              <w:rPr>
                <w:sz w:val="24"/>
                <w:rtl/>
              </w:rPr>
              <w:t>השם</w:t>
            </w:r>
          </w:p>
        </w:tc>
        <w:tc>
          <w:tcPr>
            <w:tcW w:w="1247" w:type="dxa"/>
          </w:tcPr>
          <w:p w14:paraId="53B6BBBF" w14:textId="77777777" w:rsidR="00005E0B" w:rsidRDefault="00005E0B">
            <w:pPr>
              <w:spacing w:line="240" w:lineRule="auto"/>
              <w:rPr>
                <w:sz w:val="24"/>
              </w:rPr>
            </w:pPr>
            <w:r>
              <w:rPr>
                <w:sz w:val="24"/>
                <w:rtl/>
              </w:rPr>
              <w:t xml:space="preserve">סעיף 19 </w:t>
            </w:r>
          </w:p>
        </w:tc>
      </w:tr>
    </w:tbl>
    <w:p w14:paraId="48C6C931" w14:textId="77777777" w:rsidR="00005E0B" w:rsidRDefault="00005E0B">
      <w:pPr>
        <w:pStyle w:val="big-header"/>
        <w:ind w:left="0" w:right="1134"/>
        <w:rPr>
          <w:rFonts w:cs="FrankRuehl"/>
          <w:sz w:val="32"/>
          <w:rtl/>
        </w:rPr>
      </w:pPr>
    </w:p>
    <w:p w14:paraId="0D212B1B" w14:textId="77777777" w:rsidR="00005E0B" w:rsidRPr="00C80DE6" w:rsidRDefault="00005E0B" w:rsidP="00C80DE6">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ההסגרה (סדרי דין וכללי ראיות בעתירות), תשל"א</w:t>
      </w:r>
      <w:r w:rsidR="008E0495">
        <w:rPr>
          <w:rFonts w:cs="FrankRuehl" w:hint="cs"/>
          <w:sz w:val="32"/>
          <w:rtl/>
        </w:rPr>
        <w:t>-</w:t>
      </w:r>
      <w:r>
        <w:rPr>
          <w:rFonts w:cs="FrankRuehl"/>
          <w:sz w:val="32"/>
          <w:rtl/>
        </w:rPr>
        <w:t>1970</w:t>
      </w:r>
      <w:r w:rsidR="008E0495">
        <w:rPr>
          <w:rStyle w:val="a6"/>
          <w:rFonts w:cs="FrankRuehl"/>
          <w:sz w:val="32"/>
          <w:rtl/>
        </w:rPr>
        <w:footnoteReference w:customMarkFollows="1" w:id="1"/>
        <w:t>*</w:t>
      </w:r>
    </w:p>
    <w:p w14:paraId="4C7F572A" w14:textId="77777777" w:rsidR="00005E0B" w:rsidRDefault="00005E0B" w:rsidP="008E049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26 לחוק ההסגרה, תשי"ד</w:t>
      </w:r>
      <w:r w:rsidR="008E0495">
        <w:rPr>
          <w:rStyle w:val="default"/>
          <w:rFonts w:cs="FrankRuehl" w:hint="cs"/>
          <w:rtl/>
        </w:rPr>
        <w:t>-</w:t>
      </w:r>
      <w:r>
        <w:rPr>
          <w:rStyle w:val="default"/>
          <w:rFonts w:cs="FrankRuehl"/>
          <w:rtl/>
        </w:rPr>
        <w:t xml:space="preserve">1945, </w:t>
      </w:r>
      <w:r>
        <w:rPr>
          <w:rStyle w:val="default"/>
          <w:rFonts w:cs="FrankRuehl" w:hint="cs"/>
          <w:rtl/>
        </w:rPr>
        <w:t>הנני</w:t>
      </w:r>
      <w:r>
        <w:rPr>
          <w:rFonts w:cs="FrankRuehl"/>
          <w:sz w:val="26"/>
          <w:rtl/>
        </w:rPr>
        <w:t> </w:t>
      </w:r>
      <w:r>
        <w:rPr>
          <w:rStyle w:val="default"/>
          <w:rFonts w:cs="FrankRuehl"/>
          <w:rtl/>
        </w:rPr>
        <w:t xml:space="preserve"> מ</w:t>
      </w:r>
      <w:r>
        <w:rPr>
          <w:rStyle w:val="default"/>
          <w:rFonts w:cs="FrankRuehl" w:hint="cs"/>
          <w:rtl/>
        </w:rPr>
        <w:t>תקין תקנות אלה:</w:t>
      </w:r>
    </w:p>
    <w:p w14:paraId="4C3FD47A" w14:textId="77777777" w:rsidR="00005E0B" w:rsidRDefault="00005E0B" w:rsidP="008E0495">
      <w:pPr>
        <w:pStyle w:val="P00"/>
        <w:spacing w:before="72"/>
        <w:ind w:left="0" w:right="1134"/>
        <w:rPr>
          <w:rStyle w:val="default"/>
          <w:rFonts w:cs="FrankRuehl"/>
          <w:rtl/>
        </w:rPr>
      </w:pPr>
      <w:bookmarkStart w:id="0" w:name="Seif0"/>
      <w:bookmarkEnd w:id="0"/>
      <w:r>
        <w:rPr>
          <w:lang w:val="he-IL"/>
        </w:rPr>
        <w:pict w14:anchorId="63A785A3">
          <v:rect id="_x0000_s1026" style="position:absolute;left:0;text-align:left;margin-left:464.5pt;margin-top:8.05pt;width:75.05pt;height:11.6pt;z-index:251648512" o:allowincell="f" filled="f" stroked="f" strokecolor="lime" strokeweight=".25pt">
            <v:textbox inset="0,0,0,0">
              <w:txbxContent>
                <w:p w14:paraId="2C3C229C" w14:textId="77777777" w:rsidR="00005E0B" w:rsidRDefault="00005E0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"אמנת ההסגרה" </w:t>
      </w:r>
      <w:r w:rsidR="008E0495">
        <w:rPr>
          <w:rStyle w:val="default"/>
          <w:rFonts w:cs="FrankRuehl" w:hint="cs"/>
          <w:rtl/>
        </w:rPr>
        <w:t>-</w:t>
      </w:r>
      <w:r>
        <w:rPr>
          <w:rStyle w:val="default"/>
          <w:rFonts w:cs="FrankRuehl"/>
          <w:rtl/>
        </w:rPr>
        <w:t xml:space="preserve"> </w:t>
      </w:r>
      <w:r>
        <w:rPr>
          <w:rStyle w:val="default"/>
          <w:rFonts w:cs="FrankRuehl" w:hint="cs"/>
          <w:rtl/>
        </w:rPr>
        <w:t>הסכם כאמור בסעיף 2(1) לחוק ההסגרה, תשי"ד</w:t>
      </w:r>
      <w:r w:rsidR="008E0495">
        <w:rPr>
          <w:rStyle w:val="default"/>
          <w:rFonts w:cs="FrankRuehl" w:hint="cs"/>
          <w:rtl/>
        </w:rPr>
        <w:t>-</w:t>
      </w:r>
      <w:r>
        <w:rPr>
          <w:rStyle w:val="default"/>
          <w:rFonts w:cs="FrankRuehl"/>
          <w:rtl/>
        </w:rPr>
        <w:t xml:space="preserve">1954, </w:t>
      </w:r>
      <w:r>
        <w:rPr>
          <w:rStyle w:val="default"/>
          <w:rFonts w:cs="FrankRuehl" w:hint="cs"/>
          <w:rtl/>
        </w:rPr>
        <w:t>שמכוחו הוגשה עתירה להסגרתו של</w:t>
      </w:r>
      <w:r>
        <w:rPr>
          <w:rStyle w:val="default"/>
          <w:rFonts w:cs="FrankRuehl"/>
          <w:rtl/>
        </w:rPr>
        <w:t xml:space="preserve"> מ</w:t>
      </w:r>
      <w:r>
        <w:rPr>
          <w:rStyle w:val="default"/>
          <w:rFonts w:cs="FrankRuehl" w:hint="cs"/>
          <w:rtl/>
        </w:rPr>
        <w:t>בוקש כבר-הסגרה.</w:t>
      </w:r>
    </w:p>
    <w:p w14:paraId="47C72D94" w14:textId="77777777" w:rsidR="00005E0B" w:rsidRDefault="00005E0B" w:rsidP="008E0495">
      <w:pPr>
        <w:pStyle w:val="P00"/>
        <w:spacing w:before="72"/>
        <w:ind w:left="0" w:right="1134"/>
        <w:rPr>
          <w:rStyle w:val="default"/>
          <w:rFonts w:cs="FrankRuehl"/>
          <w:rtl/>
        </w:rPr>
      </w:pPr>
      <w:bookmarkStart w:id="1" w:name="Seif1"/>
      <w:bookmarkEnd w:id="1"/>
      <w:r>
        <w:rPr>
          <w:lang w:val="he-IL"/>
        </w:rPr>
        <w:pict w14:anchorId="2CBEA265">
          <v:rect id="_x0000_s1027" style="position:absolute;left:0;text-align:left;margin-left:464.5pt;margin-top:8.05pt;width:75.05pt;height:12.3pt;z-index:251649536" o:allowincell="f" filled="f" stroked="f" strokecolor="lime" strokeweight=".25pt">
            <v:textbox inset="0,0,0,0">
              <w:txbxContent>
                <w:p w14:paraId="52C3BEF7" w14:textId="77777777" w:rsidR="00005E0B" w:rsidRDefault="00005E0B">
                  <w:pPr>
                    <w:spacing w:line="160" w:lineRule="exact"/>
                    <w:jc w:val="left"/>
                    <w:rPr>
                      <w:rFonts w:cs="Miriam"/>
                      <w:noProof/>
                      <w:sz w:val="18"/>
                      <w:szCs w:val="18"/>
                      <w:rtl/>
                    </w:rPr>
                  </w:pPr>
                  <w:r>
                    <w:rPr>
                      <w:rFonts w:cs="Miriam"/>
                      <w:sz w:val="18"/>
                      <w:szCs w:val="18"/>
                      <w:rtl/>
                    </w:rPr>
                    <w:t>הג</w:t>
                  </w:r>
                  <w:r>
                    <w:rPr>
                      <w:rFonts w:cs="Miriam" w:hint="cs"/>
                      <w:sz w:val="18"/>
                      <w:szCs w:val="18"/>
                      <w:rtl/>
                    </w:rPr>
                    <w:t>שת עתירה</w:t>
                  </w:r>
                </w:p>
              </w:txbxContent>
            </v:textbox>
            <w10:anchorlock/>
          </v:rect>
        </w:pict>
      </w:r>
      <w:r>
        <w:rPr>
          <w:rStyle w:val="big-number"/>
          <w:rFonts w:cs="Miriam"/>
          <w:rtl/>
        </w:rPr>
        <w:t>2.</w:t>
      </w:r>
      <w:r>
        <w:rPr>
          <w:rStyle w:val="big-number"/>
          <w:rFonts w:cs="Miriam"/>
          <w:rtl/>
        </w:rPr>
        <w:tab/>
      </w:r>
      <w:r>
        <w:rPr>
          <w:rStyle w:val="default"/>
          <w:rFonts w:cs="FrankRuehl"/>
          <w:rtl/>
        </w:rPr>
        <w:t>עת</w:t>
      </w:r>
      <w:r>
        <w:rPr>
          <w:rStyle w:val="default"/>
          <w:rFonts w:cs="FrankRuehl" w:hint="cs"/>
          <w:rtl/>
        </w:rPr>
        <w:t xml:space="preserve">ירה להכריז על מבוקש כבר-הסגרה (להלן </w:t>
      </w:r>
      <w:r w:rsidR="008E0495">
        <w:rPr>
          <w:rStyle w:val="default"/>
          <w:rFonts w:cs="FrankRuehl" w:hint="cs"/>
          <w:rtl/>
        </w:rPr>
        <w:t>-</w:t>
      </w:r>
      <w:r>
        <w:rPr>
          <w:rStyle w:val="default"/>
          <w:rFonts w:cs="FrankRuehl"/>
          <w:rtl/>
        </w:rPr>
        <w:t xml:space="preserve"> </w:t>
      </w:r>
      <w:r>
        <w:rPr>
          <w:rStyle w:val="default"/>
          <w:rFonts w:cs="FrankRuehl" w:hint="cs"/>
          <w:rtl/>
        </w:rPr>
        <w:t>עתירה) תוגש לבית המשפט בצירוף מספר עתקים נוספים כמספר המבוקשים שלגביהם מוגשת העתירה.</w:t>
      </w:r>
    </w:p>
    <w:p w14:paraId="3F2C57C3" w14:textId="77777777" w:rsidR="00005E0B" w:rsidRDefault="00005E0B">
      <w:pPr>
        <w:pStyle w:val="P00"/>
        <w:spacing w:before="72"/>
        <w:ind w:left="0" w:right="1134"/>
        <w:rPr>
          <w:rStyle w:val="default"/>
          <w:rFonts w:cs="FrankRuehl"/>
          <w:rtl/>
        </w:rPr>
      </w:pPr>
      <w:bookmarkStart w:id="2" w:name="Seif2"/>
      <w:bookmarkEnd w:id="2"/>
      <w:r>
        <w:rPr>
          <w:lang w:val="he-IL"/>
        </w:rPr>
        <w:pict w14:anchorId="2868D0EA">
          <v:rect id="_x0000_s1028" style="position:absolute;left:0;text-align:left;margin-left:464.5pt;margin-top:8.05pt;width:75.05pt;height:12.95pt;z-index:251650560" o:allowincell="f" filled="f" stroked="f" strokecolor="lime" strokeweight=".25pt">
            <v:textbox inset="0,0,0,0">
              <w:txbxContent>
                <w:p w14:paraId="23D34BE9" w14:textId="77777777" w:rsidR="00005E0B" w:rsidRDefault="00005E0B">
                  <w:pPr>
                    <w:spacing w:line="160" w:lineRule="exact"/>
                    <w:jc w:val="left"/>
                    <w:rPr>
                      <w:rFonts w:cs="Miriam"/>
                      <w:noProof/>
                      <w:sz w:val="18"/>
                      <w:szCs w:val="18"/>
                      <w:rtl/>
                    </w:rPr>
                  </w:pPr>
                  <w:r>
                    <w:rPr>
                      <w:rFonts w:cs="Miriam"/>
                      <w:sz w:val="18"/>
                      <w:szCs w:val="18"/>
                      <w:rtl/>
                    </w:rPr>
                    <w:t>סמ</w:t>
                  </w:r>
                  <w:r>
                    <w:rPr>
                      <w:rFonts w:cs="Miriam" w:hint="cs"/>
                      <w:sz w:val="18"/>
                      <w:szCs w:val="18"/>
                      <w:rtl/>
                    </w:rPr>
                    <w:t>כות מקומית</w:t>
                  </w:r>
                </w:p>
              </w:txbxContent>
            </v:textbox>
            <w10:anchorlock/>
          </v:rect>
        </w:pict>
      </w:r>
      <w:r>
        <w:rPr>
          <w:rStyle w:val="big-number"/>
          <w:rFonts w:cs="Miriam"/>
          <w:rtl/>
        </w:rPr>
        <w:t>3.</w:t>
      </w:r>
      <w:r>
        <w:rPr>
          <w:rStyle w:val="big-number"/>
          <w:rFonts w:cs="Miriam"/>
          <w:rtl/>
        </w:rPr>
        <w:tab/>
      </w:r>
      <w:r>
        <w:rPr>
          <w:rStyle w:val="default"/>
          <w:rFonts w:cs="FrankRuehl"/>
          <w:rtl/>
        </w:rPr>
        <w:t>מו</w:t>
      </w:r>
      <w:r>
        <w:rPr>
          <w:rStyle w:val="default"/>
          <w:rFonts w:cs="FrankRuehl" w:hint="cs"/>
          <w:rtl/>
        </w:rPr>
        <w:t>תר להגיש עתירה לכל בית משפט מחוזי בישראל.</w:t>
      </w:r>
    </w:p>
    <w:p w14:paraId="232FBB3E" w14:textId="77777777" w:rsidR="00005E0B" w:rsidRDefault="00005E0B">
      <w:pPr>
        <w:pStyle w:val="P00"/>
        <w:spacing w:before="72"/>
        <w:ind w:left="0" w:right="1134"/>
        <w:rPr>
          <w:rStyle w:val="default"/>
          <w:rFonts w:cs="FrankRuehl" w:hint="cs"/>
          <w:rtl/>
        </w:rPr>
      </w:pPr>
      <w:bookmarkStart w:id="3" w:name="Seif3"/>
      <w:bookmarkEnd w:id="3"/>
      <w:r>
        <w:rPr>
          <w:lang w:val="he-IL"/>
        </w:rPr>
        <w:pict w14:anchorId="58235AC7">
          <v:rect id="_x0000_s1029" style="position:absolute;left:0;text-align:left;margin-left:464.5pt;margin-top:8.05pt;width:75.05pt;height:15.45pt;z-index:251651584" o:allowincell="f" filled="f" stroked="f" strokecolor="lime" strokeweight=".25pt">
            <v:textbox inset="0,0,0,0">
              <w:txbxContent>
                <w:p w14:paraId="25C56A02" w14:textId="77777777" w:rsidR="00005E0B" w:rsidRDefault="00005E0B">
                  <w:pPr>
                    <w:spacing w:line="160" w:lineRule="exact"/>
                    <w:jc w:val="left"/>
                    <w:rPr>
                      <w:rFonts w:cs="Miriam"/>
                      <w:noProof/>
                      <w:sz w:val="18"/>
                      <w:szCs w:val="18"/>
                      <w:rtl/>
                    </w:rPr>
                  </w:pPr>
                  <w:r>
                    <w:rPr>
                      <w:rFonts w:cs="Miriam"/>
                      <w:sz w:val="18"/>
                      <w:szCs w:val="18"/>
                      <w:rtl/>
                    </w:rPr>
                    <w:t>תו</w:t>
                  </w:r>
                  <w:r>
                    <w:rPr>
                      <w:rFonts w:cs="Miriam" w:hint="cs"/>
                      <w:sz w:val="18"/>
                      <w:szCs w:val="18"/>
                      <w:rtl/>
                    </w:rPr>
                    <w:t>כן העתירה</w:t>
                  </w:r>
                </w:p>
              </w:txbxContent>
            </v:textbox>
            <w10:anchorlock/>
          </v:rect>
        </w:pict>
      </w:r>
      <w:r>
        <w:rPr>
          <w:rStyle w:val="big-number"/>
          <w:rFonts w:cs="Miriam"/>
          <w:rtl/>
        </w:rPr>
        <w:t>4.</w:t>
      </w:r>
      <w:r>
        <w:rPr>
          <w:rStyle w:val="big-number"/>
          <w:rFonts w:cs="Miriam"/>
          <w:rtl/>
        </w:rPr>
        <w:tab/>
      </w:r>
      <w:r>
        <w:rPr>
          <w:rStyle w:val="default"/>
          <w:rFonts w:cs="FrankRuehl"/>
          <w:rtl/>
        </w:rPr>
        <w:t>הע</w:t>
      </w:r>
      <w:r>
        <w:rPr>
          <w:rStyle w:val="default"/>
          <w:rFonts w:cs="FrankRuehl" w:hint="cs"/>
          <w:rtl/>
        </w:rPr>
        <w:t xml:space="preserve">תירה תכיל </w:t>
      </w:r>
      <w:r w:rsidR="008E0495">
        <w:rPr>
          <w:rStyle w:val="default"/>
          <w:rFonts w:cs="FrankRuehl"/>
          <w:rtl/>
        </w:rPr>
        <w:t>–</w:t>
      </w:r>
    </w:p>
    <w:p w14:paraId="792F0679" w14:textId="77777777" w:rsidR="00005E0B" w:rsidRDefault="00005E0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בית המשפט שאליו היא מוגשת;</w:t>
      </w:r>
    </w:p>
    <w:p w14:paraId="1C183EB4" w14:textId="77777777" w:rsidR="00005E0B" w:rsidRDefault="00005E0B">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יון </w:t>
      </w:r>
      <w:r>
        <w:rPr>
          <w:rStyle w:val="default"/>
          <w:rFonts w:cs="FrankRuehl"/>
          <w:rtl/>
        </w:rPr>
        <w:t>המ</w:t>
      </w:r>
      <w:r>
        <w:rPr>
          <w:rStyle w:val="default"/>
          <w:rFonts w:cs="FrankRuehl" w:hint="cs"/>
          <w:rtl/>
        </w:rPr>
        <w:t>דינה הזרה המבקשת את ההסגרה;</w:t>
      </w:r>
    </w:p>
    <w:p w14:paraId="692A44D9" w14:textId="77777777" w:rsidR="00005E0B" w:rsidRDefault="00005E0B">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המבוקש;</w:t>
      </w:r>
    </w:p>
    <w:p w14:paraId="15A02149" w14:textId="77777777" w:rsidR="00005E0B" w:rsidRDefault="00005E0B" w:rsidP="008E0495">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ירוט הסעיף בתוספת לחוק ההסגרה, תשי"ד</w:t>
      </w:r>
      <w:r w:rsidR="008E0495">
        <w:rPr>
          <w:rStyle w:val="default"/>
          <w:rFonts w:cs="FrankRuehl" w:hint="cs"/>
          <w:rtl/>
        </w:rPr>
        <w:t>-</w:t>
      </w:r>
      <w:r>
        <w:rPr>
          <w:rStyle w:val="default"/>
          <w:rFonts w:cs="FrankRuehl"/>
          <w:rtl/>
        </w:rPr>
        <w:t>1954, ש</w:t>
      </w:r>
      <w:r>
        <w:rPr>
          <w:rStyle w:val="default"/>
          <w:rFonts w:cs="FrankRuehl" w:hint="cs"/>
          <w:rtl/>
        </w:rPr>
        <w:t>לפיו העבירה המפורשת בעתירה היא עבירת הסגרה;</w:t>
      </w:r>
    </w:p>
    <w:p w14:paraId="3B29A8F0" w14:textId="77777777" w:rsidR="00005E0B" w:rsidRDefault="00005E0B">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ירוט סעיפי החוק בישראל, שלפיהם ניתן להעמיד את המבוקש לדין בישראל אילו העבירות המפורשות בעתירה</w:t>
      </w:r>
      <w:r>
        <w:rPr>
          <w:rFonts w:cs="FrankRuehl"/>
          <w:sz w:val="26"/>
          <w:rtl/>
        </w:rPr>
        <w:t> </w:t>
      </w:r>
      <w:r>
        <w:rPr>
          <w:rStyle w:val="default"/>
          <w:rFonts w:cs="FrankRuehl"/>
          <w:rtl/>
        </w:rPr>
        <w:t xml:space="preserve"> נ</w:t>
      </w:r>
      <w:r>
        <w:rPr>
          <w:rStyle w:val="default"/>
          <w:rFonts w:cs="FrankRuehl" w:hint="cs"/>
          <w:rtl/>
        </w:rPr>
        <w:t>עברו בישראל;</w:t>
      </w:r>
    </w:p>
    <w:p w14:paraId="4842DA9A" w14:textId="77777777" w:rsidR="00005E0B" w:rsidRDefault="00005E0B">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ירוט הסעיפים באמנת ההסגרה שלפיהם מבקשת המדינה הזרה הסגרתו של המבוקש;</w:t>
      </w:r>
    </w:p>
    <w:p w14:paraId="47C91080" w14:textId="77777777" w:rsidR="00005E0B" w:rsidRDefault="00005E0B" w:rsidP="008E0495">
      <w:pPr>
        <w:pStyle w:val="P22"/>
        <w:spacing w:before="72"/>
        <w:ind w:left="1021"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 xml:space="preserve">יתה הבקשה מתבססת על חיוב בדין של המבוקש </w:t>
      </w:r>
      <w:r w:rsidR="008E0495">
        <w:rPr>
          <w:rStyle w:val="default"/>
          <w:rFonts w:cs="FrankRuehl" w:hint="cs"/>
          <w:rtl/>
        </w:rPr>
        <w:t>-</w:t>
      </w:r>
      <w:r>
        <w:rPr>
          <w:rStyle w:val="default"/>
          <w:rFonts w:cs="FrankRuehl"/>
          <w:rtl/>
        </w:rPr>
        <w:t xml:space="preserve"> </w:t>
      </w:r>
      <w:r>
        <w:rPr>
          <w:rStyle w:val="default"/>
          <w:rFonts w:cs="FrankRuehl" w:hint="cs"/>
          <w:rtl/>
        </w:rPr>
        <w:t>פרטים בדבר פסק הדין וגזר הדין שי</w:t>
      </w:r>
      <w:r>
        <w:rPr>
          <w:rStyle w:val="default"/>
          <w:rFonts w:cs="FrankRuehl"/>
          <w:rtl/>
        </w:rPr>
        <w:t>צא</w:t>
      </w:r>
      <w:r>
        <w:rPr>
          <w:rStyle w:val="default"/>
          <w:rFonts w:cs="FrankRuehl" w:hint="cs"/>
          <w:rtl/>
        </w:rPr>
        <w:t xml:space="preserve"> נגד המבוקש במדינה המבקשת בשל העבירה המפורשת בעתירה.</w:t>
      </w:r>
    </w:p>
    <w:p w14:paraId="078ACE14" w14:textId="77777777" w:rsidR="00005E0B" w:rsidRDefault="00005E0B">
      <w:pPr>
        <w:pStyle w:val="P00"/>
        <w:spacing w:before="72"/>
        <w:ind w:left="0" w:right="1134"/>
        <w:rPr>
          <w:rStyle w:val="default"/>
          <w:rFonts w:cs="FrankRuehl"/>
          <w:rtl/>
        </w:rPr>
      </w:pPr>
      <w:bookmarkStart w:id="4" w:name="Seif4"/>
      <w:bookmarkEnd w:id="4"/>
      <w:r>
        <w:rPr>
          <w:lang w:val="he-IL"/>
        </w:rPr>
        <w:pict w14:anchorId="5F5E5FDB">
          <v:rect id="_x0000_s1030" style="position:absolute;left:0;text-align:left;margin-left:464.5pt;margin-top:8.05pt;width:75.05pt;height:21.4pt;z-index:251652608" o:allowincell="f" filled="f" stroked="f" strokecolor="lime" strokeweight=".25pt">
            <v:textbox inset="0,0,0,0">
              <w:txbxContent>
                <w:p w14:paraId="5B2F49A1" w14:textId="77777777" w:rsidR="00005E0B" w:rsidRDefault="00005E0B">
                  <w:pPr>
                    <w:spacing w:line="160" w:lineRule="exact"/>
                    <w:jc w:val="left"/>
                    <w:rPr>
                      <w:rFonts w:cs="Miriam"/>
                      <w:noProof/>
                      <w:sz w:val="18"/>
                      <w:szCs w:val="18"/>
                      <w:rtl/>
                    </w:rPr>
                  </w:pPr>
                  <w:r>
                    <w:rPr>
                      <w:rFonts w:cs="Miriam"/>
                      <w:sz w:val="18"/>
                      <w:szCs w:val="18"/>
                      <w:rtl/>
                    </w:rPr>
                    <w:t>מס</w:t>
                  </w:r>
                  <w:r>
                    <w:rPr>
                      <w:rFonts w:cs="Miriam" w:hint="cs"/>
                      <w:sz w:val="18"/>
                      <w:szCs w:val="18"/>
                      <w:rtl/>
                    </w:rPr>
                    <w:t>מכים ומוצגים שיצורפו לעתירה</w:t>
                  </w:r>
                </w:p>
              </w:txbxContent>
            </v:textbox>
            <w10:anchorlock/>
          </v:rect>
        </w:pict>
      </w:r>
      <w:r>
        <w:rPr>
          <w:rStyle w:val="big-number"/>
          <w:rFonts w:cs="Miriam"/>
          <w:rtl/>
        </w:rPr>
        <w:t>5.</w:t>
      </w:r>
      <w:r>
        <w:rPr>
          <w:rStyle w:val="big-number"/>
          <w:rFonts w:cs="Miriam"/>
          <w:rtl/>
        </w:rPr>
        <w:tab/>
      </w:r>
      <w:r>
        <w:rPr>
          <w:rStyle w:val="default"/>
          <w:rFonts w:cs="FrankRuehl"/>
          <w:rtl/>
        </w:rPr>
        <w:t>אל</w:t>
      </w:r>
      <w:r>
        <w:rPr>
          <w:rStyle w:val="default"/>
          <w:rFonts w:cs="FrankRuehl" w:hint="cs"/>
          <w:rtl/>
        </w:rPr>
        <w:t xml:space="preserve"> העתירה יצורפו כל המסמכים והמוצגים שהוגשו בתמיכה</w:t>
      </w:r>
      <w:r>
        <w:rPr>
          <w:rFonts w:cs="FrankRuehl"/>
          <w:sz w:val="26"/>
          <w:rtl/>
        </w:rPr>
        <w:t> </w:t>
      </w:r>
      <w:r>
        <w:rPr>
          <w:rStyle w:val="default"/>
          <w:rFonts w:cs="FrankRuehl"/>
          <w:rtl/>
        </w:rPr>
        <w:t xml:space="preserve"> ל</w:t>
      </w:r>
      <w:r>
        <w:rPr>
          <w:rStyle w:val="default"/>
          <w:rFonts w:cs="FrankRuehl" w:hint="cs"/>
          <w:rtl/>
        </w:rPr>
        <w:t>בקשת ההסגרה מטעם המדינה המבקשת ובקשת ההסגרה עצמה שהוגשה מטעם המדינה המבקשת על ידי נציגותה הדיפלומטית בישראל או בדרך אחרת.</w:t>
      </w:r>
    </w:p>
    <w:p w14:paraId="731084FE" w14:textId="77777777" w:rsidR="00005E0B" w:rsidRDefault="00005E0B">
      <w:pPr>
        <w:pStyle w:val="P00"/>
        <w:spacing w:before="72"/>
        <w:ind w:left="0" w:right="1134"/>
        <w:rPr>
          <w:rStyle w:val="default"/>
          <w:rFonts w:cs="FrankRuehl"/>
          <w:rtl/>
        </w:rPr>
      </w:pPr>
      <w:bookmarkStart w:id="5" w:name="Seif5"/>
      <w:bookmarkEnd w:id="5"/>
      <w:r>
        <w:rPr>
          <w:lang w:val="he-IL"/>
        </w:rPr>
        <w:pict w14:anchorId="42902D0D">
          <v:rect id="_x0000_s1031" style="position:absolute;left:0;text-align:left;margin-left:464.5pt;margin-top:8.05pt;width:75.05pt;height:14.65pt;z-index:251653632" o:allowincell="f" filled="f" stroked="f" strokecolor="lime" strokeweight=".25pt">
            <v:textbox inset="0,0,0,0">
              <w:txbxContent>
                <w:p w14:paraId="6E13BAE4" w14:textId="77777777" w:rsidR="00005E0B" w:rsidRDefault="00005E0B">
                  <w:pPr>
                    <w:spacing w:line="160" w:lineRule="exact"/>
                    <w:jc w:val="left"/>
                    <w:rPr>
                      <w:rFonts w:cs="Miriam"/>
                      <w:noProof/>
                      <w:sz w:val="18"/>
                      <w:szCs w:val="18"/>
                      <w:rtl/>
                    </w:rPr>
                  </w:pPr>
                  <w:r>
                    <w:rPr>
                      <w:rFonts w:cs="Miriam"/>
                      <w:sz w:val="18"/>
                      <w:szCs w:val="18"/>
                      <w:rtl/>
                    </w:rPr>
                    <w:t>צי</w:t>
                  </w:r>
                  <w:r>
                    <w:rPr>
                      <w:rFonts w:cs="Miriam" w:hint="cs"/>
                      <w:sz w:val="18"/>
                      <w:szCs w:val="18"/>
                      <w:rtl/>
                    </w:rPr>
                    <w:t>רוף מבוקשים</w:t>
                  </w:r>
                </w:p>
              </w:txbxContent>
            </v:textbox>
            <w10:anchorlock/>
          </v:rect>
        </w:pict>
      </w:r>
      <w:r>
        <w:rPr>
          <w:rStyle w:val="big-number"/>
          <w:rFonts w:cs="Miriam"/>
          <w:rtl/>
        </w:rPr>
        <w:t>6.</w:t>
      </w:r>
      <w:r>
        <w:rPr>
          <w:rStyle w:val="big-number"/>
          <w:rFonts w:cs="Miriam"/>
          <w:rtl/>
        </w:rPr>
        <w:tab/>
      </w:r>
      <w:r>
        <w:rPr>
          <w:rStyle w:val="default"/>
          <w:rFonts w:cs="FrankRuehl"/>
          <w:rtl/>
        </w:rPr>
        <w:t>מו</w:t>
      </w:r>
      <w:r>
        <w:rPr>
          <w:rStyle w:val="default"/>
          <w:rFonts w:cs="FrankRuehl" w:hint="cs"/>
          <w:rtl/>
        </w:rPr>
        <w:t>תר להגיש עתירה ל</w:t>
      </w:r>
      <w:r>
        <w:rPr>
          <w:rStyle w:val="default"/>
          <w:rFonts w:cs="FrankRuehl"/>
          <w:rtl/>
        </w:rPr>
        <w:t>גב</w:t>
      </w:r>
      <w:r>
        <w:rPr>
          <w:rStyle w:val="default"/>
          <w:rFonts w:cs="FrankRuehl" w:hint="cs"/>
          <w:rtl/>
        </w:rPr>
        <w:t>י כמה מבוקשים, אם הסגרתם מבוקשת בשל אותו מעשה עבירה, או אם ניתן להאשימם בשל אותו מעשה עבירה, או אם ניתן להאשימם בכתב אישום אחד בישראל, או אם נתחייבו בדינם במשפט אחד במדינה המבקשת.</w:t>
      </w:r>
    </w:p>
    <w:p w14:paraId="5BCAF929" w14:textId="77777777" w:rsidR="00005E0B" w:rsidRDefault="00005E0B">
      <w:pPr>
        <w:pStyle w:val="P00"/>
        <w:spacing w:before="72"/>
        <w:ind w:left="0" w:right="1134"/>
        <w:rPr>
          <w:rStyle w:val="default"/>
          <w:rFonts w:cs="FrankRuehl"/>
          <w:rtl/>
        </w:rPr>
      </w:pPr>
      <w:bookmarkStart w:id="6" w:name="Seif6"/>
      <w:bookmarkEnd w:id="6"/>
      <w:r>
        <w:rPr>
          <w:lang w:val="he-IL"/>
        </w:rPr>
        <w:pict w14:anchorId="301D130E">
          <v:rect id="_x0000_s1032" style="position:absolute;left:0;text-align:left;margin-left:464.5pt;margin-top:8.05pt;width:75.05pt;height:19.15pt;z-index:251654656" o:allowincell="f" filled="f" stroked="f" strokecolor="lime" strokeweight=".25pt">
            <v:textbox inset="0,0,0,0">
              <w:txbxContent>
                <w:p w14:paraId="3C3CD1DD" w14:textId="77777777" w:rsidR="00005E0B" w:rsidRDefault="00005E0B">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 לדיון בעתירה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עתירה, יקבע בית המשפט את המועד לדיון בה ויזמין את העותר והמב</w:t>
      </w:r>
      <w:r>
        <w:rPr>
          <w:rStyle w:val="default"/>
          <w:rFonts w:cs="FrankRuehl"/>
          <w:rtl/>
        </w:rPr>
        <w:t>וקש</w:t>
      </w:r>
      <w:r>
        <w:rPr>
          <w:rStyle w:val="default"/>
          <w:rFonts w:cs="FrankRuehl" w:hint="cs"/>
          <w:rtl/>
        </w:rPr>
        <w:t xml:space="preserve"> לאותו מועד.</w:t>
      </w:r>
    </w:p>
    <w:p w14:paraId="14C58186"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ההזמנה לדיון יומצא למבוקש עותק מן העתירה.</w:t>
      </w:r>
    </w:p>
    <w:p w14:paraId="7806AD2B"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מועד להתחלת הדיון ייקבע בתאריך מוקדם ככל האפשר.</w:t>
      </w:r>
    </w:p>
    <w:p w14:paraId="332E535E" w14:textId="77777777" w:rsidR="00005E0B" w:rsidRDefault="00005E0B" w:rsidP="008E0495">
      <w:pPr>
        <w:pStyle w:val="P00"/>
        <w:spacing w:before="72"/>
        <w:ind w:left="0" w:right="1134"/>
        <w:rPr>
          <w:rStyle w:val="default"/>
          <w:rFonts w:cs="FrankRuehl"/>
          <w:rtl/>
        </w:rPr>
      </w:pPr>
      <w:bookmarkStart w:id="7" w:name="Seif7"/>
      <w:bookmarkEnd w:id="7"/>
      <w:r>
        <w:rPr>
          <w:lang w:val="he-IL"/>
        </w:rPr>
        <w:pict w14:anchorId="6670D6ED">
          <v:rect id="_x0000_s1033" style="position:absolute;left:0;text-align:left;margin-left:464.5pt;margin-top:8.05pt;width:75.05pt;height:14.6pt;z-index:251655680" o:allowincell="f" filled="f" stroked="f" strokecolor="lime" strokeweight=".25pt">
            <v:textbox inset="0,0,0,0">
              <w:txbxContent>
                <w:p w14:paraId="700EDDDF" w14:textId="77777777" w:rsidR="00005E0B" w:rsidRDefault="00005E0B">
                  <w:pPr>
                    <w:spacing w:line="160" w:lineRule="exact"/>
                    <w:jc w:val="left"/>
                    <w:rPr>
                      <w:rFonts w:cs="Miriam"/>
                      <w:noProof/>
                      <w:sz w:val="18"/>
                      <w:szCs w:val="18"/>
                      <w:rtl/>
                    </w:rPr>
                  </w:pPr>
                  <w:r>
                    <w:rPr>
                      <w:rFonts w:cs="Miriam"/>
                      <w:sz w:val="18"/>
                      <w:szCs w:val="18"/>
                      <w:rtl/>
                    </w:rPr>
                    <w:t>עי</w:t>
                  </w:r>
                  <w:r>
                    <w:rPr>
                      <w:rFonts w:cs="Miriam" w:hint="cs"/>
                      <w:sz w:val="18"/>
                      <w:szCs w:val="18"/>
                      <w:rtl/>
                    </w:rPr>
                    <w:t>ון בחומר הראיות</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גשה עתירה </w:t>
      </w:r>
      <w:r w:rsidR="008E0495">
        <w:rPr>
          <w:rStyle w:val="default"/>
          <w:rFonts w:cs="FrankRuehl" w:hint="cs"/>
          <w:rtl/>
        </w:rPr>
        <w:t>-</w:t>
      </w:r>
      <w:r>
        <w:rPr>
          <w:rStyle w:val="default"/>
          <w:rFonts w:cs="FrankRuehl"/>
          <w:rtl/>
        </w:rPr>
        <w:t xml:space="preserve"> </w:t>
      </w:r>
      <w:r>
        <w:rPr>
          <w:rStyle w:val="default"/>
          <w:rFonts w:cs="FrankRuehl" w:hint="cs"/>
          <w:rtl/>
        </w:rPr>
        <w:t>רשאי המבוקש או סניגורו לעיין בכל זמן סביר בכל חומר ראיות שבכתב הנוגע לעתירה ומצוי בידי העותר ולקבל את שמות העדים שבדעת</w:t>
      </w:r>
      <w:r>
        <w:rPr>
          <w:rStyle w:val="default"/>
          <w:rFonts w:cs="FrankRuehl"/>
          <w:rtl/>
        </w:rPr>
        <w:t xml:space="preserve"> ה</w:t>
      </w:r>
      <w:r>
        <w:rPr>
          <w:rStyle w:val="default"/>
          <w:rFonts w:cs="FrankRuehl" w:hint="cs"/>
          <w:rtl/>
        </w:rPr>
        <w:t>עותר להשמיע בעת הדיון בעתירה ונושא עדותם.</w:t>
      </w:r>
    </w:p>
    <w:p w14:paraId="134103A9" w14:textId="77777777" w:rsidR="00005E0B" w:rsidRDefault="00005E0B" w:rsidP="008E0495">
      <w:pPr>
        <w:pStyle w:val="P00"/>
        <w:spacing w:before="72"/>
        <w:ind w:left="0" w:right="1134"/>
        <w:rPr>
          <w:rStyle w:val="default"/>
          <w:rFonts w:cs="FrankRuehl"/>
          <w:rtl/>
        </w:rPr>
      </w:pPr>
      <w:bookmarkStart w:id="8" w:name="Seif8"/>
      <w:bookmarkEnd w:id="8"/>
      <w:r>
        <w:rPr>
          <w:lang w:val="he-IL"/>
        </w:rPr>
        <w:pict w14:anchorId="11F22FF2">
          <v:rect id="_x0000_s1034" style="position:absolute;left:0;text-align:left;margin-left:464.5pt;margin-top:8.05pt;width:75.05pt;height:13.5pt;z-index:251656704" o:allowincell="f" filled="f" stroked="f" strokecolor="lime" strokeweight=".25pt">
            <v:textbox inset="0,0,0,0">
              <w:txbxContent>
                <w:p w14:paraId="32E57EFA" w14:textId="77777777" w:rsidR="00005E0B" w:rsidRDefault="00005E0B">
                  <w:pPr>
                    <w:spacing w:line="160" w:lineRule="exact"/>
                    <w:jc w:val="left"/>
                    <w:rPr>
                      <w:rFonts w:cs="Miriam"/>
                      <w:noProof/>
                      <w:sz w:val="18"/>
                      <w:szCs w:val="18"/>
                      <w:rtl/>
                    </w:rPr>
                  </w:pPr>
                  <w:r>
                    <w:rPr>
                      <w:rFonts w:cs="Miriam"/>
                      <w:sz w:val="18"/>
                      <w:szCs w:val="18"/>
                      <w:rtl/>
                    </w:rPr>
                    <w:t>שמ</w:t>
                  </w:r>
                  <w:r>
                    <w:rPr>
                      <w:rFonts w:cs="Miriam" w:hint="cs"/>
                      <w:sz w:val="18"/>
                      <w:szCs w:val="18"/>
                      <w:rtl/>
                    </w:rPr>
                    <w:t>ירת ראיות</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ראות סעיפים 106 עד 112 לחוק סדר הדין הפלילי, תשכ"ה</w:t>
      </w:r>
      <w:r w:rsidR="008E0495">
        <w:rPr>
          <w:rStyle w:val="default"/>
          <w:rFonts w:cs="FrankRuehl" w:hint="cs"/>
          <w:rtl/>
        </w:rPr>
        <w:t>-</w:t>
      </w:r>
      <w:r>
        <w:rPr>
          <w:rStyle w:val="default"/>
          <w:rFonts w:cs="FrankRuehl"/>
          <w:rtl/>
        </w:rPr>
        <w:t xml:space="preserve">1965, </w:t>
      </w:r>
      <w:r>
        <w:rPr>
          <w:rStyle w:val="default"/>
          <w:rFonts w:cs="FrankRuehl" w:hint="cs"/>
          <w:rtl/>
        </w:rPr>
        <w:t>יחולו על הדיון בעתירה בשינויים המחוייבים מן הענין.</w:t>
      </w:r>
    </w:p>
    <w:p w14:paraId="40361AF3" w14:textId="77777777" w:rsidR="00005E0B" w:rsidRDefault="00005E0B">
      <w:pPr>
        <w:pStyle w:val="P00"/>
        <w:spacing w:before="72"/>
        <w:ind w:left="0" w:right="1134"/>
        <w:rPr>
          <w:rStyle w:val="default"/>
          <w:rFonts w:cs="FrankRuehl"/>
          <w:rtl/>
        </w:rPr>
      </w:pPr>
      <w:bookmarkStart w:id="9" w:name="Seif9"/>
      <w:bookmarkEnd w:id="9"/>
      <w:r>
        <w:rPr>
          <w:lang w:val="he-IL"/>
        </w:rPr>
        <w:pict w14:anchorId="13261555">
          <v:rect id="_x0000_s1035" style="position:absolute;left:0;text-align:left;margin-left:464.5pt;margin-top:8.05pt;width:75.05pt;height:14.15pt;z-index:251657728" o:allowincell="f" filled="f" stroked="f" strokecolor="lime" strokeweight=".25pt">
            <v:textbox inset="0,0,0,0">
              <w:txbxContent>
                <w:p w14:paraId="5A5DC4BF" w14:textId="77777777" w:rsidR="00005E0B" w:rsidRDefault="00005E0B">
                  <w:pPr>
                    <w:spacing w:line="160" w:lineRule="exact"/>
                    <w:jc w:val="left"/>
                    <w:rPr>
                      <w:rFonts w:cs="Miriam"/>
                      <w:noProof/>
                      <w:sz w:val="18"/>
                      <w:szCs w:val="18"/>
                      <w:rtl/>
                    </w:rPr>
                  </w:pPr>
                  <w:r>
                    <w:rPr>
                      <w:rFonts w:cs="Miriam"/>
                      <w:sz w:val="18"/>
                      <w:szCs w:val="18"/>
                      <w:rtl/>
                    </w:rPr>
                    <w:t>רצ</w:t>
                  </w:r>
                  <w:r>
                    <w:rPr>
                      <w:rFonts w:cs="Miriam" w:hint="cs"/>
                      <w:sz w:val="18"/>
                      <w:szCs w:val="18"/>
                      <w:rtl/>
                    </w:rPr>
                    <w:t>יפות הדיון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בית המשפט לדחות את הדיון בעתירה למועד</w:t>
      </w:r>
      <w:r>
        <w:rPr>
          <w:rStyle w:val="default"/>
          <w:rFonts w:cs="FrankRuehl"/>
          <w:rtl/>
        </w:rPr>
        <w:t xml:space="preserve"> </w:t>
      </w:r>
      <w:r>
        <w:rPr>
          <w:rStyle w:val="default"/>
          <w:rFonts w:cs="FrankRuehl" w:hint="cs"/>
          <w:rtl/>
        </w:rPr>
        <w:t>אחר, כפי שייראה לו, אם נראה לו כי לא ניתנה הוד</w:t>
      </w:r>
      <w:r>
        <w:rPr>
          <w:rStyle w:val="default"/>
          <w:rFonts w:cs="FrankRuehl"/>
          <w:rtl/>
        </w:rPr>
        <w:t>עה</w:t>
      </w:r>
      <w:r>
        <w:rPr>
          <w:rStyle w:val="default"/>
          <w:rFonts w:cs="FrankRuehl" w:hint="cs"/>
          <w:rtl/>
        </w:rPr>
        <w:t xml:space="preserve"> מספקת למבוקש להכין את התנגדותו.</w:t>
      </w:r>
    </w:p>
    <w:p w14:paraId="76B4AAB9"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שהוחל בדיון בעתירה ימשיך בו בית המשפט ברציפות יום יום עד גמירא, זולת אם ראה, מטעמים שיירשמו, כי אין אפשרות סבירה לנהוג כך.</w:t>
      </w:r>
    </w:p>
    <w:p w14:paraId="0C06823B" w14:textId="77777777" w:rsidR="00005E0B" w:rsidRDefault="00005E0B" w:rsidP="008E0495">
      <w:pPr>
        <w:pStyle w:val="P00"/>
        <w:spacing w:before="72"/>
        <w:ind w:left="0" w:right="1134"/>
        <w:rPr>
          <w:rStyle w:val="default"/>
          <w:rFonts w:cs="FrankRuehl"/>
          <w:rtl/>
        </w:rPr>
      </w:pPr>
      <w:bookmarkStart w:id="10" w:name="Seif10"/>
      <w:bookmarkEnd w:id="10"/>
      <w:r>
        <w:rPr>
          <w:lang w:val="he-IL"/>
        </w:rPr>
        <w:pict w14:anchorId="370D1D1F">
          <v:rect id="_x0000_s1036" style="position:absolute;left:0;text-align:left;margin-left:464.5pt;margin-top:8.05pt;width:75.05pt;height:13.2pt;z-index:251658752" o:allowincell="f" filled="f" stroked="f" strokecolor="lime" strokeweight=".25pt">
            <v:textbox inset="0,0,0,0">
              <w:txbxContent>
                <w:p w14:paraId="0CA5A245" w14:textId="77777777" w:rsidR="00005E0B" w:rsidRDefault="00005E0B">
                  <w:pPr>
                    <w:spacing w:line="160" w:lineRule="exact"/>
                    <w:jc w:val="left"/>
                    <w:rPr>
                      <w:rFonts w:cs="Miriam"/>
                      <w:noProof/>
                      <w:sz w:val="18"/>
                      <w:szCs w:val="18"/>
                      <w:rtl/>
                    </w:rPr>
                  </w:pPr>
                  <w:r>
                    <w:rPr>
                      <w:rFonts w:cs="Miriam"/>
                      <w:sz w:val="18"/>
                      <w:szCs w:val="18"/>
                      <w:rtl/>
                    </w:rPr>
                    <w:t>טע</w:t>
                  </w:r>
                  <w:r>
                    <w:rPr>
                      <w:rFonts w:cs="Miriam" w:hint="cs"/>
                      <w:sz w:val="18"/>
                      <w:szCs w:val="18"/>
                      <w:rtl/>
                    </w:rPr>
                    <w:t>נות מקדמיות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פני תחילת הדיון רשאי המבוקש לטעון טענות מקדמיות</w:t>
      </w:r>
      <w:r>
        <w:rPr>
          <w:rStyle w:val="default"/>
          <w:rFonts w:cs="FrankRuehl"/>
          <w:rtl/>
        </w:rPr>
        <w:t xml:space="preserve"> ל</w:t>
      </w:r>
      <w:r>
        <w:rPr>
          <w:rStyle w:val="default"/>
          <w:rFonts w:cs="FrankRuehl" w:hint="cs"/>
          <w:rtl/>
        </w:rPr>
        <w:t xml:space="preserve">ביסוס החלטה לדחות את </w:t>
      </w:r>
      <w:r>
        <w:rPr>
          <w:rStyle w:val="default"/>
          <w:rFonts w:cs="FrankRuehl" w:hint="cs"/>
          <w:rtl/>
        </w:rPr>
        <w:lastRenderedPageBreak/>
        <w:t>העתירה.</w:t>
      </w:r>
    </w:p>
    <w:p w14:paraId="70BED132"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טענה טענה מקדמית, יתן בית המשפט לעותר הזדמנות להשיב עליה, אולם רשאי הוא לדחותה גם אם לא עשה כן. בית המשפט יחליט בטענה בתום טענות בעלי הדין כאמור.</w:t>
      </w:r>
    </w:p>
    <w:p w14:paraId="636C5B1B"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תקבלה טענה מקדמית רשאי בית המשפט ביזמתו או לפי בקשת אחד מבעלי הדין לתקן את </w:t>
      </w:r>
      <w:r>
        <w:rPr>
          <w:rStyle w:val="default"/>
          <w:rFonts w:cs="FrankRuehl"/>
          <w:rtl/>
        </w:rPr>
        <w:t>הע</w:t>
      </w:r>
      <w:r>
        <w:rPr>
          <w:rStyle w:val="default"/>
          <w:rFonts w:cs="FrankRuehl" w:hint="cs"/>
          <w:rtl/>
        </w:rPr>
        <w:t>תירה או לדחותה.</w:t>
      </w:r>
    </w:p>
    <w:p w14:paraId="4EF00309" w14:textId="77777777" w:rsidR="00005E0B" w:rsidRDefault="00005E0B" w:rsidP="008E0495">
      <w:pPr>
        <w:pStyle w:val="P00"/>
        <w:spacing w:before="72"/>
        <w:ind w:left="0" w:right="1134"/>
        <w:rPr>
          <w:rStyle w:val="default"/>
          <w:rFonts w:cs="FrankRuehl"/>
          <w:rtl/>
        </w:rPr>
      </w:pPr>
      <w:bookmarkStart w:id="11" w:name="Seif11"/>
      <w:bookmarkEnd w:id="11"/>
      <w:r>
        <w:rPr>
          <w:lang w:val="he-IL"/>
        </w:rPr>
        <w:pict w14:anchorId="0D22ED6E">
          <v:rect id="_x0000_s1037" style="position:absolute;left:0;text-align:left;margin-left:464.5pt;margin-top:8.05pt;width:75.05pt;height:16.25pt;z-index:251659776" o:allowincell="f" filled="f" stroked="f" strokecolor="lime" strokeweight=".25pt">
            <v:textbox inset="0,0,0,0">
              <w:txbxContent>
                <w:p w14:paraId="71A2A5AD" w14:textId="77777777" w:rsidR="00005E0B" w:rsidRDefault="00005E0B">
                  <w:pPr>
                    <w:spacing w:line="160" w:lineRule="exact"/>
                    <w:jc w:val="left"/>
                    <w:rPr>
                      <w:rFonts w:cs="Miriam"/>
                      <w:noProof/>
                      <w:sz w:val="18"/>
                      <w:szCs w:val="18"/>
                      <w:rtl/>
                    </w:rPr>
                  </w:pPr>
                  <w:r>
                    <w:rPr>
                      <w:rFonts w:cs="Miriam"/>
                      <w:sz w:val="18"/>
                      <w:szCs w:val="18"/>
                      <w:rtl/>
                    </w:rPr>
                    <w:t>סד</w:t>
                  </w:r>
                  <w:r>
                    <w:rPr>
                      <w:rFonts w:cs="Miriam" w:hint="cs"/>
                      <w:sz w:val="18"/>
                      <w:szCs w:val="18"/>
                      <w:rtl/>
                    </w:rPr>
                    <w:t>ר טענות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נטענה טענה מקדמית, או נטענה ולא נדחתה העתירה</w:t>
      </w:r>
      <w:r>
        <w:rPr>
          <w:rStyle w:val="default"/>
          <w:rFonts w:cs="FrankRuehl"/>
          <w:rtl/>
        </w:rPr>
        <w:t xml:space="preserve"> כ</w:t>
      </w:r>
      <w:r>
        <w:rPr>
          <w:rStyle w:val="default"/>
          <w:rFonts w:cs="FrankRuehl" w:hint="cs"/>
          <w:rtl/>
        </w:rPr>
        <w:t>אמור, יפתח העותר ויגיש את ראיותיו ורשאי הוא להגיש ראיות נוספות, בין בכתב ובין בעל פה, לראיות שצורפו לעתי</w:t>
      </w:r>
      <w:r>
        <w:rPr>
          <w:rStyle w:val="default"/>
          <w:rFonts w:cs="FrankRuehl"/>
          <w:rtl/>
        </w:rPr>
        <w:t>ר</w:t>
      </w:r>
      <w:r>
        <w:rPr>
          <w:rStyle w:val="default"/>
          <w:rFonts w:cs="FrankRuehl" w:hint="cs"/>
          <w:rtl/>
        </w:rPr>
        <w:t>ה בהתאם לתקנה 5.</w:t>
      </w:r>
    </w:p>
    <w:p w14:paraId="68B13D25"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מבוקש רשאי להשיב בעצמו או על ידי סניגורו, ולהגיש את</w:t>
      </w:r>
      <w:r>
        <w:rPr>
          <w:rStyle w:val="default"/>
          <w:rFonts w:cs="FrankRuehl"/>
          <w:rtl/>
        </w:rPr>
        <w:t xml:space="preserve"> ר</w:t>
      </w:r>
      <w:r>
        <w:rPr>
          <w:rStyle w:val="default"/>
          <w:rFonts w:cs="FrankRuehl" w:hint="cs"/>
          <w:rtl/>
        </w:rPr>
        <w:t>איותיו, ורשאי בית המשפט להרשות לכל בעל דין להוסיף ולטעון אחרי טענות בעל הדין האחר, ובלבד שלמבוקש תהא זכות לטעון אחרון, בעצמו או על ידי סניגורו.</w:t>
      </w:r>
    </w:p>
    <w:p w14:paraId="72839C37" w14:textId="77777777" w:rsidR="00005E0B" w:rsidRDefault="00005E0B" w:rsidP="008E0495">
      <w:pPr>
        <w:pStyle w:val="P00"/>
        <w:spacing w:before="72"/>
        <w:ind w:left="0" w:right="1134"/>
        <w:rPr>
          <w:rStyle w:val="default"/>
          <w:rFonts w:cs="FrankRuehl"/>
          <w:rtl/>
        </w:rPr>
      </w:pPr>
      <w:bookmarkStart w:id="12" w:name="Seif12"/>
      <w:bookmarkEnd w:id="12"/>
      <w:r>
        <w:rPr>
          <w:lang w:val="he-IL"/>
        </w:rPr>
        <w:pict w14:anchorId="0FFB4D29">
          <v:rect id="_x0000_s1038" style="position:absolute;left:0;text-align:left;margin-left:464.5pt;margin-top:8.05pt;width:75.05pt;height:11.75pt;z-index:251660800" o:allowincell="f" filled="f" stroked="f" strokecolor="lime" strokeweight=".25pt">
            <v:textbox inset="0,0,0,0">
              <w:txbxContent>
                <w:p w14:paraId="244D6845" w14:textId="77777777" w:rsidR="00005E0B" w:rsidRDefault="00005E0B">
                  <w:pPr>
                    <w:spacing w:line="160" w:lineRule="exact"/>
                    <w:jc w:val="left"/>
                    <w:rPr>
                      <w:rFonts w:cs="Miriam"/>
                      <w:noProof/>
                      <w:sz w:val="18"/>
                      <w:szCs w:val="18"/>
                      <w:rtl/>
                    </w:rPr>
                  </w:pPr>
                  <w:r>
                    <w:rPr>
                      <w:rFonts w:cs="Miriam"/>
                      <w:sz w:val="18"/>
                      <w:szCs w:val="18"/>
                      <w:rtl/>
                    </w:rPr>
                    <w:t>סד</w:t>
                  </w:r>
                  <w:r>
                    <w:rPr>
                      <w:rFonts w:cs="Miriam" w:hint="cs"/>
                      <w:sz w:val="18"/>
                      <w:szCs w:val="18"/>
                      <w:rtl/>
                    </w:rPr>
                    <w:t>ר חקירת עדים</w:t>
                  </w:r>
                </w:p>
              </w:txbxContent>
            </v:textbox>
            <w10:anchorlock/>
          </v:rect>
        </w:pict>
      </w:r>
      <w:r>
        <w:rPr>
          <w:rStyle w:val="big-number"/>
          <w:rFonts w:cs="Miriam"/>
          <w:rtl/>
        </w:rPr>
        <w:t>13.</w:t>
      </w:r>
      <w:r>
        <w:rPr>
          <w:rStyle w:val="big-number"/>
          <w:rFonts w:cs="Miriam"/>
          <w:rtl/>
        </w:rPr>
        <w:tab/>
      </w:r>
      <w:r>
        <w:rPr>
          <w:rStyle w:val="default"/>
          <w:rFonts w:cs="FrankRuehl"/>
          <w:rtl/>
        </w:rPr>
        <w:t>סד</w:t>
      </w:r>
      <w:r>
        <w:rPr>
          <w:rStyle w:val="default"/>
          <w:rFonts w:cs="FrankRuehl" w:hint="cs"/>
          <w:rtl/>
        </w:rPr>
        <w:t>ר חקירת עדי</w:t>
      </w:r>
      <w:r>
        <w:rPr>
          <w:rStyle w:val="default"/>
          <w:rFonts w:cs="FrankRuehl"/>
          <w:rtl/>
        </w:rPr>
        <w:t>ם</w:t>
      </w:r>
      <w:r>
        <w:rPr>
          <w:rStyle w:val="default"/>
          <w:rFonts w:cs="FrankRuehl" w:hint="cs"/>
          <w:rtl/>
        </w:rPr>
        <w:t xml:space="preserve"> יהיה כסדר חקירתם במשפט פלילי על פי חוק סדר הדין הפלילי, תשכ"ה</w:t>
      </w:r>
      <w:r w:rsidR="008E0495">
        <w:rPr>
          <w:rStyle w:val="default"/>
          <w:rFonts w:cs="FrankRuehl" w:hint="cs"/>
          <w:rtl/>
        </w:rPr>
        <w:t>-</w:t>
      </w:r>
      <w:r>
        <w:rPr>
          <w:rStyle w:val="default"/>
          <w:rFonts w:cs="FrankRuehl"/>
          <w:rtl/>
        </w:rPr>
        <w:t xml:space="preserve">1965, </w:t>
      </w:r>
      <w:r>
        <w:rPr>
          <w:rStyle w:val="default"/>
          <w:rFonts w:cs="FrankRuehl" w:hint="cs"/>
          <w:rtl/>
        </w:rPr>
        <w:t>בשינויים המחוייבים מהע</w:t>
      </w:r>
      <w:r>
        <w:rPr>
          <w:rStyle w:val="default"/>
          <w:rFonts w:cs="FrankRuehl"/>
          <w:rtl/>
        </w:rPr>
        <w:t>ני</w:t>
      </w:r>
      <w:r>
        <w:rPr>
          <w:rStyle w:val="default"/>
          <w:rFonts w:cs="FrankRuehl" w:hint="cs"/>
          <w:rtl/>
        </w:rPr>
        <w:t>ן.</w:t>
      </w:r>
    </w:p>
    <w:p w14:paraId="3E0CD9C6" w14:textId="77777777" w:rsidR="00005E0B" w:rsidRDefault="00005E0B">
      <w:pPr>
        <w:pStyle w:val="P00"/>
        <w:spacing w:before="72"/>
        <w:ind w:left="0" w:right="1134"/>
        <w:rPr>
          <w:rStyle w:val="default"/>
          <w:rFonts w:cs="FrankRuehl"/>
          <w:rtl/>
        </w:rPr>
      </w:pPr>
      <w:bookmarkStart w:id="13" w:name="Seif13"/>
      <w:bookmarkEnd w:id="13"/>
      <w:r>
        <w:rPr>
          <w:lang w:val="he-IL"/>
        </w:rPr>
        <w:pict w14:anchorId="36CBDA36">
          <v:rect id="_x0000_s1039" style="position:absolute;left:0;text-align:left;margin-left:464.5pt;margin-top:8.05pt;width:75.05pt;height:12.45pt;z-index:251661824" o:allowincell="f" filled="f" stroked="f" strokecolor="lime" strokeweight=".25pt">
            <v:textbox inset="0,0,0,0">
              <w:txbxContent>
                <w:p w14:paraId="21285B04" w14:textId="77777777" w:rsidR="00005E0B" w:rsidRDefault="00005E0B">
                  <w:pPr>
                    <w:spacing w:line="160" w:lineRule="exact"/>
                    <w:jc w:val="left"/>
                    <w:rPr>
                      <w:rFonts w:cs="Miriam"/>
                      <w:noProof/>
                      <w:sz w:val="18"/>
                      <w:szCs w:val="18"/>
                      <w:rtl/>
                    </w:rPr>
                  </w:pPr>
                  <w:r>
                    <w:rPr>
                      <w:rFonts w:cs="Miriam"/>
                      <w:sz w:val="18"/>
                      <w:szCs w:val="18"/>
                      <w:rtl/>
                    </w:rPr>
                    <w:t>אי</w:t>
                  </w:r>
                  <w:r>
                    <w:rPr>
                      <w:rFonts w:cs="Miriam" w:hint="cs"/>
                      <w:sz w:val="18"/>
                      <w:szCs w:val="18"/>
                      <w:rtl/>
                    </w:rPr>
                    <w:t>מות מסמכים</w:t>
                  </w:r>
                </w:p>
              </w:txbxContent>
            </v:textbox>
            <w10:anchorlock/>
          </v:rect>
        </w:pict>
      </w:r>
      <w:r>
        <w:rPr>
          <w:rStyle w:val="big-number"/>
          <w:rFonts w:cs="Miriam"/>
          <w:rtl/>
        </w:rPr>
        <w:t>14.</w:t>
      </w:r>
      <w:r>
        <w:rPr>
          <w:rStyle w:val="big-number"/>
          <w:rFonts w:cs="Miriam"/>
          <w:rtl/>
        </w:rPr>
        <w:tab/>
      </w:r>
      <w:r>
        <w:rPr>
          <w:rStyle w:val="default"/>
          <w:rFonts w:cs="FrankRuehl"/>
          <w:rtl/>
        </w:rPr>
        <w:t>מס</w:t>
      </w:r>
      <w:r>
        <w:rPr>
          <w:rStyle w:val="default"/>
          <w:rFonts w:cs="FrankRuehl" w:hint="cs"/>
          <w:rtl/>
        </w:rPr>
        <w:t>מך או מוצג המוגש בדיון בעתירה יהיה מאומת כדין, אם אומת בהתאם להוראות פקודת העדות או כללי האימות שנקבעו באמנת ההסגרה.</w:t>
      </w:r>
    </w:p>
    <w:p w14:paraId="0E0B5B12" w14:textId="77777777" w:rsidR="00005E0B" w:rsidRDefault="00005E0B">
      <w:pPr>
        <w:pStyle w:val="P00"/>
        <w:spacing w:before="72"/>
        <w:ind w:left="0" w:right="1134"/>
        <w:rPr>
          <w:rStyle w:val="default"/>
          <w:rFonts w:cs="FrankRuehl"/>
          <w:rtl/>
        </w:rPr>
      </w:pPr>
      <w:bookmarkStart w:id="14" w:name="Seif14"/>
      <w:bookmarkEnd w:id="14"/>
      <w:r>
        <w:rPr>
          <w:lang w:val="he-IL"/>
        </w:rPr>
        <w:pict w14:anchorId="457F2BEC">
          <v:rect id="_x0000_s1040" style="position:absolute;left:0;text-align:left;margin-left:464.5pt;margin-top:8.05pt;width:75.05pt;height:13.1pt;z-index:251662848" o:allowincell="f" filled="f" stroked="f" strokecolor="lime" strokeweight=".25pt">
            <v:textbox inset="0,0,0,0">
              <w:txbxContent>
                <w:p w14:paraId="25FCB3A7" w14:textId="77777777" w:rsidR="00005E0B" w:rsidRDefault="00005E0B">
                  <w:pPr>
                    <w:spacing w:line="160" w:lineRule="exact"/>
                    <w:jc w:val="left"/>
                    <w:rPr>
                      <w:rFonts w:cs="Miriam"/>
                      <w:noProof/>
                      <w:sz w:val="18"/>
                      <w:szCs w:val="18"/>
                      <w:rtl/>
                    </w:rPr>
                  </w:pPr>
                  <w:r>
                    <w:rPr>
                      <w:rFonts w:cs="Miriam"/>
                      <w:sz w:val="18"/>
                      <w:szCs w:val="18"/>
                      <w:rtl/>
                    </w:rPr>
                    <w:t>תצ</w:t>
                  </w:r>
                  <w:r>
                    <w:rPr>
                      <w:rFonts w:cs="Miriam" w:hint="cs"/>
                      <w:sz w:val="18"/>
                      <w:szCs w:val="18"/>
                      <w:rtl/>
                    </w:rPr>
                    <w:t>הירים וראיות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דיון בעתירה רשאי בית המשפט לקבל כראיה, בנוסף לכל דרך הוכחה אחרת, הודעת אדם שניתנה בשבועה או בהן צדק לפני השופט או רשו</w:t>
      </w:r>
      <w:r>
        <w:rPr>
          <w:rStyle w:val="default"/>
          <w:rFonts w:cs="FrankRuehl"/>
          <w:rtl/>
        </w:rPr>
        <w:t xml:space="preserve">ת </w:t>
      </w:r>
      <w:r>
        <w:rPr>
          <w:rStyle w:val="default"/>
          <w:rFonts w:cs="FrankRuehl" w:hint="cs"/>
          <w:rtl/>
        </w:rPr>
        <w:t>אחרת המוסמכת לקבל אותה במדינה המבקשת כשהיא חתומה</w:t>
      </w:r>
      <w:r>
        <w:rPr>
          <w:rFonts w:cs="FrankRuehl"/>
          <w:sz w:val="26"/>
          <w:rtl/>
        </w:rPr>
        <w:t> </w:t>
      </w:r>
      <w:r>
        <w:rPr>
          <w:rStyle w:val="default"/>
          <w:rFonts w:cs="FrankRuehl"/>
          <w:rtl/>
        </w:rPr>
        <w:t xml:space="preserve"> ב</w:t>
      </w:r>
      <w:r>
        <w:rPr>
          <w:rStyle w:val="default"/>
          <w:rFonts w:cs="FrankRuehl" w:hint="cs"/>
          <w:rtl/>
        </w:rPr>
        <w:t>ידי הרשות שקיבלה אותה והחתימה מאומתת כאמור בתקנה 14, והוא כשאין הוראה אחרת באמנ</w:t>
      </w:r>
      <w:r>
        <w:rPr>
          <w:rStyle w:val="default"/>
          <w:rFonts w:cs="FrankRuehl"/>
          <w:rtl/>
        </w:rPr>
        <w:t>ת</w:t>
      </w:r>
      <w:r>
        <w:rPr>
          <w:rStyle w:val="default"/>
          <w:rFonts w:cs="FrankRuehl" w:hint="cs"/>
          <w:rtl/>
        </w:rPr>
        <w:t xml:space="preserve"> ההסגרה.</w:t>
      </w:r>
    </w:p>
    <w:p w14:paraId="64B188B8"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הודעה כאמור בתקנת משנה (א) מטעם המבוקש, רשאי העותר או נציגו בחוץ-לארץ לחקור בחקירה שכנגד את מי שהגישה.</w:t>
      </w:r>
    </w:p>
    <w:p w14:paraId="09D6EA1E" w14:textId="77777777" w:rsidR="00005E0B" w:rsidRDefault="00005E0B">
      <w:pPr>
        <w:pStyle w:val="P00"/>
        <w:spacing w:before="72"/>
        <w:ind w:left="0" w:right="1134"/>
        <w:rPr>
          <w:rStyle w:val="default"/>
          <w:rFonts w:cs="FrankRuehl"/>
          <w:rtl/>
        </w:rPr>
      </w:pPr>
      <w:bookmarkStart w:id="15" w:name="Seif15"/>
      <w:bookmarkEnd w:id="15"/>
      <w:r>
        <w:rPr>
          <w:lang w:val="he-IL"/>
        </w:rPr>
        <w:pict w14:anchorId="3AC4E290">
          <v:rect id="_x0000_s1041" style="position:absolute;left:0;text-align:left;margin-left:464.5pt;margin-top:8.05pt;width:75.05pt;height:14.2pt;z-index:251663872" o:allowincell="f" filled="f" stroked="f" strokecolor="lime" strokeweight=".25pt">
            <v:textbox inset="0,0,0,0">
              <w:txbxContent>
                <w:p w14:paraId="07255E3D" w14:textId="77777777" w:rsidR="00005E0B" w:rsidRDefault="00005E0B">
                  <w:pPr>
                    <w:spacing w:line="160" w:lineRule="exact"/>
                    <w:jc w:val="left"/>
                    <w:rPr>
                      <w:rFonts w:cs="Miriam"/>
                      <w:noProof/>
                      <w:sz w:val="18"/>
                      <w:szCs w:val="18"/>
                      <w:rtl/>
                    </w:rPr>
                  </w:pPr>
                  <w:r>
                    <w:rPr>
                      <w:rFonts w:cs="Miriam"/>
                      <w:sz w:val="18"/>
                      <w:szCs w:val="18"/>
                      <w:rtl/>
                    </w:rPr>
                    <w:t>הח</w:t>
                  </w:r>
                  <w:r>
                    <w:rPr>
                      <w:rFonts w:cs="Miriam" w:hint="cs"/>
                      <w:sz w:val="18"/>
                      <w:szCs w:val="18"/>
                      <w:rtl/>
                    </w:rPr>
                    <w:t>לטת בית המשפט</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הדיון בעתירה יתן בית המשפט את החלטתו בעתירה, מנומקת ובכתב, יקראנה בפומבי, יחתום עליה ויסמנה בתאריך הקריאה.</w:t>
      </w:r>
    </w:p>
    <w:p w14:paraId="14E02A43" w14:textId="77777777" w:rsidR="00005E0B" w:rsidRDefault="00005E0B" w:rsidP="008E04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המשפט כי המבוקש הוא בר-הסגרה, יפרט</w:t>
      </w:r>
      <w:r>
        <w:rPr>
          <w:rStyle w:val="default"/>
          <w:rFonts w:cs="FrankRuehl"/>
          <w:rtl/>
        </w:rPr>
        <w:t xml:space="preserve"> ב</w:t>
      </w:r>
      <w:r>
        <w:rPr>
          <w:rStyle w:val="default"/>
          <w:rFonts w:cs="FrankRuehl" w:hint="cs"/>
          <w:rtl/>
        </w:rPr>
        <w:t>החלטתו את סעיפי החוק שלפיהם ניתן להעמיד את המבוקש לדין בישראל בשל עבירת ההסגרה, ואת</w:t>
      </w:r>
      <w:r>
        <w:rPr>
          <w:rStyle w:val="default"/>
          <w:rFonts w:cs="FrankRuehl"/>
          <w:rtl/>
        </w:rPr>
        <w:t xml:space="preserve"> ה</w:t>
      </w:r>
      <w:r>
        <w:rPr>
          <w:rStyle w:val="default"/>
          <w:rFonts w:cs="FrankRuehl" w:hint="cs"/>
          <w:rtl/>
        </w:rPr>
        <w:t>סעיפים באמנת ההסגרה אשר לגביהם יש ראיות מספיקות להעמדת המבוקש לדין.</w:t>
      </w:r>
    </w:p>
    <w:p w14:paraId="76C20A01" w14:textId="77777777" w:rsidR="00005E0B" w:rsidRDefault="00005E0B">
      <w:pPr>
        <w:pStyle w:val="P00"/>
        <w:spacing w:before="72"/>
        <w:ind w:left="0" w:right="1134"/>
        <w:rPr>
          <w:rStyle w:val="default"/>
          <w:rFonts w:cs="FrankRuehl"/>
          <w:rtl/>
        </w:rPr>
      </w:pPr>
      <w:bookmarkStart w:id="16" w:name="Seif16"/>
      <w:bookmarkEnd w:id="16"/>
      <w:r>
        <w:rPr>
          <w:lang w:val="he-IL"/>
        </w:rPr>
        <w:pict w14:anchorId="2E348262">
          <v:rect id="_x0000_s1042" style="position:absolute;left:0;text-align:left;margin-left:464.5pt;margin-top:8.05pt;width:75.05pt;height:17.25pt;z-index:251664896" o:allowincell="f" filled="f" stroked="f" strokecolor="lime" strokeweight=".25pt">
            <v:textbox style="mso-next-textbox:#_x0000_s1042" inset="0,0,0,0">
              <w:txbxContent>
                <w:p w14:paraId="062DF735" w14:textId="77777777" w:rsidR="00005E0B" w:rsidRDefault="00005E0B">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ער</w:t>
      </w:r>
      <w:r>
        <w:rPr>
          <w:rStyle w:val="default"/>
          <w:rFonts w:cs="FrankRuehl" w:hint="cs"/>
          <w:rtl/>
        </w:rPr>
        <w:t>עור, בין של המבוקש ובין של העותר, יהיה בהגשת הודעת ערעור בפני בית המשפט העליון בשבתו כבית משפט לערעורים פליליים.</w:t>
      </w:r>
    </w:p>
    <w:p w14:paraId="0D06B503"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תוך 30 יום מיום מתן</w:t>
      </w:r>
      <w:r>
        <w:rPr>
          <w:rStyle w:val="default"/>
          <w:rFonts w:cs="FrankRuehl"/>
          <w:rtl/>
        </w:rPr>
        <w:t xml:space="preserve"> ה</w:t>
      </w:r>
      <w:r>
        <w:rPr>
          <w:rStyle w:val="default"/>
          <w:rFonts w:cs="FrankRuehl" w:hint="cs"/>
          <w:rtl/>
        </w:rPr>
        <w:t>החלטה מאת בית המשפט המחוזי.</w:t>
      </w:r>
    </w:p>
    <w:p w14:paraId="555AF640"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דיון בערעור יהיה בפני בעלי הדין.</w:t>
      </w:r>
    </w:p>
    <w:p w14:paraId="1DA5DE01" w14:textId="77777777" w:rsidR="00005E0B" w:rsidRDefault="00005E0B" w:rsidP="008E049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סעיפים 184, 185, 187, 188, 190, 193 ו-195 לחוק סדר הדין הפלילי, תשכ"ה</w:t>
      </w:r>
      <w:r w:rsidR="008E0495">
        <w:rPr>
          <w:rStyle w:val="default"/>
          <w:rFonts w:cs="FrankRuehl" w:hint="cs"/>
          <w:rtl/>
        </w:rPr>
        <w:t>-</w:t>
      </w:r>
      <w:r>
        <w:rPr>
          <w:rStyle w:val="default"/>
          <w:rFonts w:cs="FrankRuehl"/>
          <w:rtl/>
        </w:rPr>
        <w:t xml:space="preserve">1965, </w:t>
      </w:r>
      <w:r>
        <w:rPr>
          <w:rStyle w:val="default"/>
          <w:rFonts w:cs="FrankRuehl" w:hint="cs"/>
          <w:rtl/>
        </w:rPr>
        <w:t>יחולו בשינויים המחוייבים לפי הענין.</w:t>
      </w:r>
    </w:p>
    <w:p w14:paraId="7F427D4A" w14:textId="77777777" w:rsidR="00005E0B" w:rsidRDefault="00005E0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תקנה 16 יחולו גם על החלטת בית המשפט לערעורים.</w:t>
      </w:r>
    </w:p>
    <w:p w14:paraId="34CD712D" w14:textId="77777777" w:rsidR="00005E0B" w:rsidRDefault="00005E0B" w:rsidP="008E0495">
      <w:pPr>
        <w:pStyle w:val="P00"/>
        <w:spacing w:before="72"/>
        <w:ind w:left="0" w:right="1134"/>
        <w:rPr>
          <w:rStyle w:val="default"/>
          <w:rFonts w:cs="FrankRuehl"/>
          <w:rtl/>
        </w:rPr>
      </w:pPr>
      <w:bookmarkStart w:id="17" w:name="Seif17"/>
      <w:bookmarkEnd w:id="17"/>
      <w:r>
        <w:rPr>
          <w:lang w:val="he-IL"/>
        </w:rPr>
        <w:pict w14:anchorId="2F7ABBCD">
          <v:rect id="_x0000_s1043" style="position:absolute;left:0;text-align:left;margin-left:464.5pt;margin-top:8.05pt;width:75.05pt;height:11.15pt;z-index:251665920" o:allowincell="f" filled="f" stroked="f" strokecolor="lime" strokeweight=".25pt">
            <v:textbox inset="0,0,0,0">
              <w:txbxContent>
                <w:p w14:paraId="1532F1F2" w14:textId="77777777" w:rsidR="00005E0B" w:rsidRDefault="00005E0B">
                  <w:pPr>
                    <w:spacing w:line="160" w:lineRule="exact"/>
                    <w:jc w:val="left"/>
                    <w:rPr>
                      <w:rFonts w:cs="Miriam"/>
                      <w:noProof/>
                      <w:sz w:val="18"/>
                      <w:szCs w:val="18"/>
                      <w:rtl/>
                    </w:rPr>
                  </w:pPr>
                  <w:r>
                    <w:rPr>
                      <w:rFonts w:cs="Miriam"/>
                      <w:sz w:val="18"/>
                      <w:szCs w:val="18"/>
                      <w:rtl/>
                    </w:rPr>
                    <w:t>הו</w:t>
                  </w:r>
                  <w:r>
                    <w:rPr>
                      <w:rFonts w:cs="Miriam" w:hint="cs"/>
                      <w:sz w:val="18"/>
                      <w:szCs w:val="18"/>
                      <w:rtl/>
                    </w:rPr>
                    <w:t>ראות שונות</w:t>
                  </w:r>
                </w:p>
              </w:txbxContent>
            </v:textbox>
            <w10:anchorlock/>
          </v:rect>
        </w:pict>
      </w:r>
      <w:r>
        <w:rPr>
          <w:rStyle w:val="big-number"/>
          <w:rFonts w:cs="Miriam"/>
          <w:rtl/>
        </w:rPr>
        <w:t>18.</w:t>
      </w:r>
      <w:r>
        <w:rPr>
          <w:rStyle w:val="big-number"/>
          <w:rFonts w:cs="Miriam"/>
          <w:rtl/>
        </w:rPr>
        <w:tab/>
      </w:r>
      <w:r>
        <w:rPr>
          <w:rStyle w:val="default"/>
          <w:rFonts w:cs="FrankRuehl"/>
          <w:rtl/>
        </w:rPr>
        <w:t>סע</w:t>
      </w:r>
      <w:r>
        <w:rPr>
          <w:rStyle w:val="default"/>
          <w:rFonts w:cs="FrankRuehl" w:hint="cs"/>
          <w:rtl/>
        </w:rPr>
        <w:t>יפים 204, 205, 207, 210 ו-211 לחוק סדר הדין הפלילי, תשכ"ה</w:t>
      </w:r>
      <w:r w:rsidR="008E0495">
        <w:rPr>
          <w:rStyle w:val="default"/>
          <w:rFonts w:cs="FrankRuehl" w:hint="cs"/>
          <w:rtl/>
        </w:rPr>
        <w:t>-</w:t>
      </w:r>
      <w:r>
        <w:rPr>
          <w:rStyle w:val="default"/>
          <w:rFonts w:cs="FrankRuehl"/>
          <w:rtl/>
        </w:rPr>
        <w:t xml:space="preserve">1965, </w:t>
      </w:r>
      <w:r>
        <w:rPr>
          <w:rStyle w:val="default"/>
          <w:rFonts w:cs="FrankRuehl" w:hint="cs"/>
          <w:rtl/>
        </w:rPr>
        <w:t>יחולו בשינויים המחוייבים</w:t>
      </w:r>
      <w:r>
        <w:rPr>
          <w:rStyle w:val="default"/>
          <w:rFonts w:cs="FrankRuehl"/>
          <w:rtl/>
        </w:rPr>
        <w:t xml:space="preserve"> </w:t>
      </w:r>
      <w:r>
        <w:rPr>
          <w:rStyle w:val="default"/>
          <w:rFonts w:cs="FrankRuehl" w:hint="cs"/>
          <w:rtl/>
        </w:rPr>
        <w:t>מהענין בהליכים לפי תקנות אלה.</w:t>
      </w:r>
    </w:p>
    <w:p w14:paraId="487B9766" w14:textId="77777777" w:rsidR="00005E0B" w:rsidRDefault="00005E0B" w:rsidP="008E0495">
      <w:pPr>
        <w:pStyle w:val="P00"/>
        <w:spacing w:before="72"/>
        <w:ind w:left="0" w:right="1134"/>
        <w:rPr>
          <w:rStyle w:val="default"/>
          <w:rFonts w:cs="FrankRuehl"/>
          <w:rtl/>
        </w:rPr>
      </w:pPr>
      <w:bookmarkStart w:id="18" w:name="Seif18"/>
      <w:bookmarkEnd w:id="18"/>
      <w:r>
        <w:rPr>
          <w:lang w:val="he-IL"/>
        </w:rPr>
        <w:pict w14:anchorId="128364EB">
          <v:rect id="_x0000_s1044" style="position:absolute;left:0;text-align:left;margin-left:464.5pt;margin-top:8.05pt;width:75.05pt;height:11.8pt;z-index:251666944" o:allowincell="f" filled="f" stroked="f" strokecolor="lime" strokeweight=".25pt">
            <v:textbox inset="0,0,0,0">
              <w:txbxContent>
                <w:p w14:paraId="4F482FD6" w14:textId="77777777" w:rsidR="00005E0B" w:rsidRDefault="00005E0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לת</w:t>
      </w:r>
      <w:r>
        <w:rPr>
          <w:rStyle w:val="default"/>
          <w:rFonts w:cs="FrankRuehl" w:hint="cs"/>
          <w:rtl/>
        </w:rPr>
        <w:t>קנות אלה ייקרא "תקנות ההסגרה (סדרי דין וכללי ראיות</w:t>
      </w:r>
      <w:r>
        <w:rPr>
          <w:rFonts w:cs="FrankRuehl"/>
          <w:sz w:val="26"/>
          <w:rtl/>
        </w:rPr>
        <w:t> </w:t>
      </w:r>
      <w:r>
        <w:rPr>
          <w:rStyle w:val="default"/>
          <w:rFonts w:cs="FrankRuehl"/>
          <w:rtl/>
        </w:rPr>
        <w:t xml:space="preserve"> ב</w:t>
      </w:r>
      <w:r>
        <w:rPr>
          <w:rStyle w:val="default"/>
          <w:rFonts w:cs="FrankRuehl" w:hint="cs"/>
          <w:rtl/>
        </w:rPr>
        <w:t>עתירות), תשל"א</w:t>
      </w:r>
      <w:r w:rsidR="008E0495">
        <w:rPr>
          <w:rStyle w:val="default"/>
          <w:rFonts w:cs="FrankRuehl" w:hint="cs"/>
          <w:rtl/>
        </w:rPr>
        <w:t>-</w:t>
      </w:r>
      <w:r>
        <w:rPr>
          <w:rStyle w:val="default"/>
          <w:rFonts w:cs="FrankRuehl"/>
          <w:rtl/>
        </w:rPr>
        <w:t>1970".</w:t>
      </w:r>
    </w:p>
    <w:p w14:paraId="486C0BE8" w14:textId="77777777" w:rsidR="00005E0B" w:rsidRDefault="00005E0B">
      <w:pPr>
        <w:pStyle w:val="P00"/>
        <w:spacing w:before="72"/>
        <w:ind w:left="0" w:right="1134"/>
        <w:rPr>
          <w:rStyle w:val="default"/>
          <w:rFonts w:cs="FrankRuehl"/>
          <w:rtl/>
        </w:rPr>
      </w:pPr>
    </w:p>
    <w:p w14:paraId="741193AD" w14:textId="77777777" w:rsidR="00005E0B" w:rsidRDefault="00005E0B">
      <w:pPr>
        <w:pStyle w:val="P00"/>
        <w:spacing w:before="72"/>
        <w:ind w:left="0" w:right="1134"/>
        <w:rPr>
          <w:rStyle w:val="default"/>
          <w:rFonts w:cs="FrankRuehl"/>
          <w:rtl/>
        </w:rPr>
      </w:pPr>
    </w:p>
    <w:p w14:paraId="615B503A" w14:textId="77777777" w:rsidR="00005E0B" w:rsidRDefault="00005E0B">
      <w:pPr>
        <w:pStyle w:val="sig-0"/>
        <w:ind w:left="0" w:right="1134"/>
        <w:rPr>
          <w:rFonts w:cs="FrankRuehl"/>
          <w:sz w:val="26"/>
          <w:rtl/>
        </w:rPr>
      </w:pPr>
      <w:r>
        <w:rPr>
          <w:rFonts w:cs="FrankRuehl"/>
          <w:sz w:val="26"/>
          <w:rtl/>
        </w:rPr>
        <w:t>כ"</w:t>
      </w:r>
      <w:r>
        <w:rPr>
          <w:rFonts w:cs="FrankRuehl" w:hint="cs"/>
          <w:sz w:val="26"/>
          <w:rtl/>
        </w:rPr>
        <w:t>ח בתשרי תשל"א (28 באוקטובר 1970)</w:t>
      </w:r>
      <w:r>
        <w:rPr>
          <w:rFonts w:cs="FrankRuehl"/>
          <w:sz w:val="26"/>
          <w:rtl/>
        </w:rPr>
        <w:tab/>
        <w:t>י</w:t>
      </w:r>
      <w:r>
        <w:rPr>
          <w:rFonts w:cs="FrankRuehl" w:hint="cs"/>
          <w:sz w:val="26"/>
          <w:rtl/>
        </w:rPr>
        <w:t>עקב ש' שפירא</w:t>
      </w:r>
    </w:p>
    <w:p w14:paraId="0721AEFE" w14:textId="77777777" w:rsidR="00005E0B" w:rsidRDefault="00005E0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32430BA8" w14:textId="77777777" w:rsidR="00005E0B" w:rsidRPr="008E0495" w:rsidRDefault="00005E0B" w:rsidP="008E0495">
      <w:pPr>
        <w:pStyle w:val="P00"/>
        <w:spacing w:before="72"/>
        <w:ind w:left="0" w:right="1134"/>
        <w:rPr>
          <w:rStyle w:val="default"/>
          <w:rFonts w:cs="FrankRuehl"/>
          <w:rtl/>
        </w:rPr>
      </w:pPr>
    </w:p>
    <w:p w14:paraId="51230D83" w14:textId="77777777" w:rsidR="00005E0B" w:rsidRPr="008E0495" w:rsidRDefault="00005E0B" w:rsidP="008E0495">
      <w:pPr>
        <w:pStyle w:val="P00"/>
        <w:spacing w:before="72"/>
        <w:ind w:left="0" w:right="1134"/>
        <w:rPr>
          <w:rStyle w:val="default"/>
          <w:rFonts w:cs="FrankRuehl"/>
          <w:rtl/>
        </w:rPr>
      </w:pPr>
    </w:p>
    <w:p w14:paraId="48CA407E" w14:textId="77777777" w:rsidR="00005E0B" w:rsidRPr="008E0495" w:rsidRDefault="00005E0B" w:rsidP="008E0495">
      <w:pPr>
        <w:pStyle w:val="P00"/>
        <w:spacing w:before="72"/>
        <w:ind w:left="0" w:right="1134"/>
        <w:rPr>
          <w:rStyle w:val="default"/>
          <w:rFonts w:cs="FrankRuehl"/>
          <w:rtl/>
        </w:rPr>
      </w:pPr>
    </w:p>
    <w:p w14:paraId="1218FCD0" w14:textId="77777777" w:rsidR="00005E0B" w:rsidRPr="008E0495" w:rsidRDefault="00005E0B" w:rsidP="008E0495">
      <w:pPr>
        <w:pStyle w:val="P00"/>
        <w:spacing w:before="72"/>
        <w:ind w:left="0" w:right="1134"/>
        <w:rPr>
          <w:rStyle w:val="default"/>
          <w:rFonts w:cs="FrankRuehl"/>
          <w:rtl/>
        </w:rPr>
      </w:pPr>
    </w:p>
    <w:sectPr w:rsidR="00005E0B" w:rsidRPr="008E049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5E87" w14:textId="77777777" w:rsidR="00E526F8" w:rsidRDefault="00E526F8">
      <w:r>
        <w:separator/>
      </w:r>
    </w:p>
  </w:endnote>
  <w:endnote w:type="continuationSeparator" w:id="0">
    <w:p w14:paraId="4B6C771D" w14:textId="77777777" w:rsidR="00E526F8" w:rsidRDefault="00E5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3289" w14:textId="77777777" w:rsidR="00005E0B" w:rsidRDefault="00005E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5E9533" w14:textId="77777777" w:rsidR="00005E0B" w:rsidRDefault="00005E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8EA0CA" w14:textId="77777777" w:rsidR="00005E0B" w:rsidRDefault="00005E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0495">
      <w:rPr>
        <w:rFonts w:cs="TopType Jerushalmi"/>
        <w:noProof/>
        <w:color w:val="000000"/>
        <w:sz w:val="14"/>
        <w:szCs w:val="14"/>
      </w:rPr>
      <w:t>C:\Yael\hakika\Revadim\109_004.doc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EF9B" w14:textId="77777777" w:rsidR="00005E0B" w:rsidRDefault="00005E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48BC">
      <w:rPr>
        <w:rFonts w:hAnsi="FrankRuehl" w:cs="FrankRuehl"/>
        <w:noProof/>
        <w:sz w:val="24"/>
        <w:szCs w:val="24"/>
        <w:rtl/>
      </w:rPr>
      <w:t>2</w:t>
    </w:r>
    <w:r>
      <w:rPr>
        <w:rFonts w:hAnsi="FrankRuehl" w:cs="FrankRuehl"/>
        <w:sz w:val="24"/>
        <w:szCs w:val="24"/>
        <w:rtl/>
      </w:rPr>
      <w:fldChar w:fldCharType="end"/>
    </w:r>
  </w:p>
  <w:p w14:paraId="519BBC4A" w14:textId="77777777" w:rsidR="00005E0B" w:rsidRDefault="00005E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933873" w14:textId="77777777" w:rsidR="00005E0B" w:rsidRDefault="00005E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0495">
      <w:rPr>
        <w:rFonts w:cs="TopType Jerushalmi"/>
        <w:noProof/>
        <w:color w:val="000000"/>
        <w:sz w:val="14"/>
        <w:szCs w:val="14"/>
      </w:rPr>
      <w:t>C:\Yael\hakika\Revadim\109_004.doc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3CBF" w14:textId="77777777" w:rsidR="00E526F8" w:rsidRDefault="00E526F8" w:rsidP="008E0495">
      <w:pPr>
        <w:spacing w:before="60" w:line="240" w:lineRule="auto"/>
        <w:ind w:right="1134"/>
      </w:pPr>
      <w:r>
        <w:separator/>
      </w:r>
    </w:p>
  </w:footnote>
  <w:footnote w:type="continuationSeparator" w:id="0">
    <w:p w14:paraId="62BA8550" w14:textId="77777777" w:rsidR="00E526F8" w:rsidRDefault="00E526F8">
      <w:r>
        <w:continuationSeparator/>
      </w:r>
    </w:p>
  </w:footnote>
  <w:footnote w:id="1">
    <w:p w14:paraId="32FB17A8" w14:textId="77777777" w:rsidR="008E0495" w:rsidRPr="008E0495" w:rsidRDefault="008E0495" w:rsidP="008E04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E0495">
        <w:rPr>
          <w:rFonts w:cs="FrankRuehl"/>
          <w:rtl/>
        </w:rPr>
        <w:t xml:space="preserve">* </w:t>
      </w:r>
      <w:r>
        <w:rPr>
          <w:rFonts w:cs="FrankRuehl"/>
          <w:rtl/>
        </w:rPr>
        <w:t>פו</w:t>
      </w:r>
      <w:r>
        <w:rPr>
          <w:rFonts w:cs="FrankRuehl" w:hint="cs"/>
          <w:rtl/>
        </w:rPr>
        <w:t xml:space="preserve">רסמו </w:t>
      </w:r>
      <w:hyperlink r:id="rId1" w:history="1">
        <w:r w:rsidRPr="00762F2A">
          <w:rPr>
            <w:rStyle w:val="Hyperlink"/>
            <w:rFonts w:cs="FrankRuehl" w:hint="cs"/>
            <w:rtl/>
          </w:rPr>
          <w:t>ק"ת תשל"א מס' 2632</w:t>
        </w:r>
      </w:hyperlink>
      <w:r>
        <w:rPr>
          <w:rFonts w:cs="FrankRuehl" w:hint="cs"/>
          <w:rtl/>
        </w:rPr>
        <w:t xml:space="preserve"> מיום 12.11.1970 עמ' 126.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4090" w14:textId="77777777" w:rsidR="00005E0B" w:rsidRDefault="00005E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ההסגרה (סדרי דין וכללי ראיות בעתירות), תשל"א–1970</w:t>
    </w:r>
  </w:p>
  <w:p w14:paraId="36CD7F52" w14:textId="77777777" w:rsidR="00005E0B" w:rsidRDefault="00005E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9A50AC" w14:textId="77777777" w:rsidR="00005E0B" w:rsidRDefault="00005E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54BA1" w14:textId="77777777" w:rsidR="00005E0B" w:rsidRDefault="00005E0B" w:rsidP="008E04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ההסגרה (סדרי דין וכללי ראיות בעתירות), תשל"א</w:t>
    </w:r>
    <w:r w:rsidR="008E0495">
      <w:rPr>
        <w:rFonts w:hAnsi="FrankRuehl" w:cs="FrankRuehl" w:hint="cs"/>
        <w:color w:val="000000"/>
        <w:sz w:val="28"/>
        <w:szCs w:val="28"/>
        <w:rtl/>
      </w:rPr>
      <w:t>-</w:t>
    </w:r>
    <w:r>
      <w:rPr>
        <w:rFonts w:hAnsi="FrankRuehl" w:cs="FrankRuehl"/>
        <w:color w:val="000000"/>
        <w:sz w:val="28"/>
        <w:szCs w:val="28"/>
        <w:rtl/>
      </w:rPr>
      <w:t>1970</w:t>
    </w:r>
  </w:p>
  <w:p w14:paraId="71035FEA" w14:textId="77777777" w:rsidR="00005E0B" w:rsidRDefault="00005E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837A96" w14:textId="77777777" w:rsidR="00005E0B" w:rsidRDefault="00005E0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2F2A"/>
    <w:rsid w:val="00005E0B"/>
    <w:rsid w:val="001D48BC"/>
    <w:rsid w:val="00256DFB"/>
    <w:rsid w:val="006C0BEA"/>
    <w:rsid w:val="00762F2A"/>
    <w:rsid w:val="008E0495"/>
    <w:rsid w:val="00C62D59"/>
    <w:rsid w:val="00C80DE6"/>
    <w:rsid w:val="00E221B6"/>
    <w:rsid w:val="00E526F8"/>
    <w:rsid w:val="00FA38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61FE97"/>
  <w15:chartTrackingRefBased/>
  <w15:docId w15:val="{D81A8F2D-192D-4779-89FD-CB878F1F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E0495"/>
    <w:rPr>
      <w:sz w:val="20"/>
      <w:szCs w:val="20"/>
    </w:rPr>
  </w:style>
  <w:style w:type="character" w:styleId="a6">
    <w:name w:val="footnote reference"/>
    <w:basedOn w:val="a0"/>
    <w:semiHidden/>
    <w:rsid w:val="008E04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פרק 109</vt:lpstr>
    </vt:vector>
  </TitlesOfParts>
  <Company/>
  <LinksUpToDate>false</LinksUpToDate>
  <CharactersWithSpaces>6406</CharactersWithSpaces>
  <SharedDoc>false</SharedDoc>
  <HLinks>
    <vt:vector size="120" baseType="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0</vt:i4>
      </vt:variant>
      <vt:variant>
        <vt:i4>0</vt:i4>
      </vt:variant>
      <vt:variant>
        <vt:i4>5</vt:i4>
      </vt:variant>
      <vt:variant>
        <vt:lpwstr>http://www.nevo.co.il/Law_word/law06/TAK-2632.pdf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109</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0109</vt:lpwstr>
  </property>
  <property fmtid="{D5CDD505-2E9C-101B-9397-08002B2CF9AE}" pid="3" name="CHNAME">
    <vt:lpwstr>הסגרה</vt:lpwstr>
  </property>
  <property fmtid="{D5CDD505-2E9C-101B-9397-08002B2CF9AE}" pid="4" name="LAWNAME">
    <vt:lpwstr>תקנות ההסגרה (סדרי דין וכללי ראיות בעתירות), תשל"א-1970</vt:lpwstr>
  </property>
  <property fmtid="{D5CDD505-2E9C-101B-9397-08002B2CF9AE}" pid="5" name="LAWNUMBER">
    <vt:lpwstr>0004</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הסגרה</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הסגרה</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ראיות</vt:lpwstr>
  </property>
  <property fmtid="{D5CDD505-2E9C-101B-9397-08002B2CF9AE}" pid="21" name="NOSE34">
    <vt:lpwstr/>
  </property>
  <property fmtid="{D5CDD505-2E9C-101B-9397-08002B2CF9AE}" pid="22" name="NOSE44">
    <vt:lpwstr/>
  </property>
  <property fmtid="{D5CDD505-2E9C-101B-9397-08002B2CF9AE}" pid="23" name="NOSE15">
    <vt:lpwstr>עונשין ומשפט פלילי</vt:lpwstr>
  </property>
  <property fmtid="{D5CDD505-2E9C-101B-9397-08002B2CF9AE}" pid="24" name="NOSE25">
    <vt:lpwstr>סדר דין פלילי</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