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0B78" w14:textId="77777777" w:rsidR="007B7BC9" w:rsidRDefault="007B7BC9" w:rsidP="007B7BC9">
      <w:pPr>
        <w:pStyle w:val="big-header"/>
        <w:ind w:left="0" w:right="1134"/>
        <w:rPr>
          <w:rStyle w:val="default"/>
          <w:sz w:val="22"/>
          <w:szCs w:val="22"/>
        </w:rPr>
      </w:pPr>
      <w:r>
        <w:rPr>
          <w:rFonts w:cs="FrankRuehl" w:hint="cs"/>
          <w:sz w:val="32"/>
          <w:rtl/>
        </w:rPr>
        <w:t xml:space="preserve">תקנות ההסדרים במשק המדינה (תיקוני חקיקה להשגת יעדי התקציב והמדיניות הכלכלית לשנת הכספים 2002) (כללים למימון הגנות חוף בים המלח), </w:t>
      </w:r>
      <w:r>
        <w:rPr>
          <w:rFonts w:cs="FrankRuehl"/>
          <w:sz w:val="32"/>
          <w:rtl/>
        </w:rPr>
        <w:br/>
      </w:r>
      <w:r>
        <w:rPr>
          <w:rFonts w:cs="FrankRuehl" w:hint="cs"/>
          <w:sz w:val="32"/>
          <w:rtl/>
        </w:rPr>
        <w:t>תשס"ג-2002</w:t>
      </w:r>
      <w:r>
        <w:rPr>
          <w:rStyle w:val="default"/>
          <w:sz w:val="22"/>
          <w:szCs w:val="22"/>
          <w:rtl/>
        </w:rPr>
        <w:footnoteReference w:customMarkFollows="1" w:id="1"/>
        <w:t>*</w:t>
      </w:r>
    </w:p>
    <w:p w14:paraId="462CDF86" w14:textId="77777777" w:rsidR="00D44E24" w:rsidRDefault="00D44E24" w:rsidP="00D44E24">
      <w:pPr>
        <w:spacing w:line="320" w:lineRule="auto"/>
        <w:rPr>
          <w:rtl/>
        </w:rPr>
      </w:pPr>
    </w:p>
    <w:p w14:paraId="4287E4DB" w14:textId="77777777" w:rsidR="00D44E24" w:rsidRPr="00D44E24" w:rsidRDefault="00D44E24" w:rsidP="00D44E24">
      <w:pPr>
        <w:spacing w:line="320" w:lineRule="auto"/>
        <w:rPr>
          <w:rFonts w:cs="Miriam" w:hint="cs"/>
          <w:szCs w:val="22"/>
          <w:rtl/>
        </w:rPr>
      </w:pPr>
      <w:r w:rsidRPr="00D44E24">
        <w:rPr>
          <w:rFonts w:cs="Miriam"/>
          <w:szCs w:val="22"/>
          <w:rtl/>
        </w:rPr>
        <w:t>משפט פרטי וכלכלה</w:t>
      </w:r>
      <w:r w:rsidRPr="00D44E24">
        <w:rPr>
          <w:rFonts w:cs="FrankRuehl"/>
          <w:szCs w:val="26"/>
          <w:rtl/>
        </w:rPr>
        <w:t xml:space="preserve"> – כספים – תקציב ומשק המדינה – השגת יעדי תקציב</w:t>
      </w:r>
    </w:p>
    <w:p w14:paraId="726382D7" w14:textId="77777777" w:rsidR="007B7BC9" w:rsidRDefault="007B7BC9">
      <w:pPr>
        <w:pStyle w:val="big-header"/>
        <w:ind w:left="0" w:right="1134"/>
        <w:rPr>
          <w:rFonts w:cs="FrankRuehl" w:hint="cs"/>
          <w:sz w:val="32"/>
          <w:rtl/>
        </w:rPr>
      </w:pPr>
      <w:r>
        <w:rPr>
          <w:rFonts w:cs="FrankRuehl" w:hint="cs"/>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330D8" w14:paraId="43051DE4" w14:textId="77777777">
        <w:tblPrEx>
          <w:tblCellMar>
            <w:top w:w="0" w:type="dxa"/>
            <w:bottom w:w="0" w:type="dxa"/>
          </w:tblCellMar>
        </w:tblPrEx>
        <w:tc>
          <w:tcPr>
            <w:tcW w:w="850" w:type="dxa"/>
          </w:tcPr>
          <w:p w14:paraId="6E9F77C6" w14:textId="77777777" w:rsidR="00B330D8" w:rsidRDefault="00B330D8">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1</w:t>
            </w:r>
            <w:r>
              <w:rPr>
                <w:rtl/>
              </w:rPr>
              <w:fldChar w:fldCharType="end"/>
            </w:r>
          </w:p>
        </w:tc>
        <w:tc>
          <w:tcPr>
            <w:tcW w:w="567" w:type="dxa"/>
          </w:tcPr>
          <w:p w14:paraId="76C2E8ED" w14:textId="77777777" w:rsidR="00B330D8" w:rsidRDefault="00B330D8">
            <w:hyperlink w:anchor="Seif0" w:tooltip="הגדרות" w:history="1">
              <w:r>
                <w:rPr>
                  <w:rStyle w:val="Hyperlink"/>
                </w:rPr>
                <w:t>Go</w:t>
              </w:r>
            </w:hyperlink>
          </w:p>
        </w:tc>
        <w:tc>
          <w:tcPr>
            <w:tcW w:w="5669" w:type="dxa"/>
          </w:tcPr>
          <w:p w14:paraId="2E6ED1FF" w14:textId="77777777" w:rsidR="00B330D8" w:rsidRDefault="00B330D8">
            <w:pPr>
              <w:rPr>
                <w:rtl/>
              </w:rPr>
            </w:pPr>
            <w:r>
              <w:rPr>
                <w:rtl/>
              </w:rPr>
              <w:t>הגדרות</w:t>
            </w:r>
          </w:p>
        </w:tc>
        <w:tc>
          <w:tcPr>
            <w:tcW w:w="1247" w:type="dxa"/>
          </w:tcPr>
          <w:p w14:paraId="6C7AEDE3" w14:textId="77777777" w:rsidR="00B330D8" w:rsidRDefault="00B330D8">
            <w:r>
              <w:rPr>
                <w:rtl/>
              </w:rPr>
              <w:t xml:space="preserve">סעיף 1 </w:t>
            </w:r>
          </w:p>
        </w:tc>
      </w:tr>
      <w:tr w:rsidR="00B330D8" w14:paraId="26908626" w14:textId="77777777">
        <w:tblPrEx>
          <w:tblCellMar>
            <w:top w:w="0" w:type="dxa"/>
            <w:bottom w:w="0" w:type="dxa"/>
          </w:tblCellMar>
        </w:tblPrEx>
        <w:tc>
          <w:tcPr>
            <w:tcW w:w="850" w:type="dxa"/>
          </w:tcPr>
          <w:p w14:paraId="36589A8E" w14:textId="77777777" w:rsidR="00B330D8" w:rsidRDefault="00B330D8">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1</w:t>
            </w:r>
            <w:r>
              <w:rPr>
                <w:rtl/>
              </w:rPr>
              <w:fldChar w:fldCharType="end"/>
            </w:r>
          </w:p>
        </w:tc>
        <w:tc>
          <w:tcPr>
            <w:tcW w:w="567" w:type="dxa"/>
          </w:tcPr>
          <w:p w14:paraId="002E148E" w14:textId="77777777" w:rsidR="00B330D8" w:rsidRDefault="00B330D8">
            <w:hyperlink w:anchor="Seif1" w:tooltip="אופן קביעת העלות של שלב א/2" w:history="1">
              <w:r>
                <w:rPr>
                  <w:rStyle w:val="Hyperlink"/>
                </w:rPr>
                <w:t>Go</w:t>
              </w:r>
            </w:hyperlink>
          </w:p>
        </w:tc>
        <w:tc>
          <w:tcPr>
            <w:tcW w:w="5669" w:type="dxa"/>
          </w:tcPr>
          <w:p w14:paraId="02D72C55" w14:textId="77777777" w:rsidR="00B330D8" w:rsidRDefault="00B330D8">
            <w:pPr>
              <w:rPr>
                <w:rtl/>
              </w:rPr>
            </w:pPr>
            <w:r>
              <w:rPr>
                <w:rtl/>
              </w:rPr>
              <w:t>אופן קביעת העלות של שלב א/2</w:t>
            </w:r>
          </w:p>
        </w:tc>
        <w:tc>
          <w:tcPr>
            <w:tcW w:w="1247" w:type="dxa"/>
          </w:tcPr>
          <w:p w14:paraId="13CC7AD2" w14:textId="77777777" w:rsidR="00B330D8" w:rsidRDefault="00B330D8">
            <w:r>
              <w:rPr>
                <w:rtl/>
              </w:rPr>
              <w:t xml:space="preserve">סעיף 2 </w:t>
            </w:r>
          </w:p>
        </w:tc>
      </w:tr>
      <w:tr w:rsidR="00B330D8" w14:paraId="5E56A54B" w14:textId="77777777">
        <w:tblPrEx>
          <w:tblCellMar>
            <w:top w:w="0" w:type="dxa"/>
            <w:bottom w:w="0" w:type="dxa"/>
          </w:tblCellMar>
        </w:tblPrEx>
        <w:tc>
          <w:tcPr>
            <w:tcW w:w="850" w:type="dxa"/>
          </w:tcPr>
          <w:p w14:paraId="1177186B" w14:textId="77777777" w:rsidR="00B330D8" w:rsidRDefault="00B330D8">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1</w:t>
            </w:r>
            <w:r>
              <w:rPr>
                <w:rtl/>
              </w:rPr>
              <w:fldChar w:fldCharType="end"/>
            </w:r>
          </w:p>
        </w:tc>
        <w:tc>
          <w:tcPr>
            <w:tcW w:w="567" w:type="dxa"/>
          </w:tcPr>
          <w:p w14:paraId="20F069F9" w14:textId="77777777" w:rsidR="00B330D8" w:rsidRDefault="00B330D8">
            <w:hyperlink w:anchor="Seif3" w:tooltip="אופן חישוב חלקו היחסי של כל בית מלון באזור" w:history="1">
              <w:r>
                <w:rPr>
                  <w:rStyle w:val="Hyperlink"/>
                </w:rPr>
                <w:t>Go</w:t>
              </w:r>
            </w:hyperlink>
          </w:p>
        </w:tc>
        <w:tc>
          <w:tcPr>
            <w:tcW w:w="5669" w:type="dxa"/>
          </w:tcPr>
          <w:p w14:paraId="421E2DEA" w14:textId="77777777" w:rsidR="00B330D8" w:rsidRDefault="00B330D8">
            <w:pPr>
              <w:rPr>
                <w:rtl/>
              </w:rPr>
            </w:pPr>
            <w:r>
              <w:rPr>
                <w:rtl/>
              </w:rPr>
              <w:t>אופן חישוב חלקו היחסי של כל בית מלון באזור</w:t>
            </w:r>
          </w:p>
        </w:tc>
        <w:tc>
          <w:tcPr>
            <w:tcW w:w="1247" w:type="dxa"/>
          </w:tcPr>
          <w:p w14:paraId="1AD451E6" w14:textId="77777777" w:rsidR="00B330D8" w:rsidRDefault="00B330D8">
            <w:r>
              <w:rPr>
                <w:rtl/>
              </w:rPr>
              <w:t xml:space="preserve">סעיף 3 </w:t>
            </w:r>
          </w:p>
        </w:tc>
      </w:tr>
      <w:tr w:rsidR="00B330D8" w14:paraId="3750D6DA" w14:textId="77777777">
        <w:tblPrEx>
          <w:tblCellMar>
            <w:top w:w="0" w:type="dxa"/>
            <w:bottom w:w="0" w:type="dxa"/>
          </w:tblCellMar>
        </w:tblPrEx>
        <w:tc>
          <w:tcPr>
            <w:tcW w:w="850" w:type="dxa"/>
          </w:tcPr>
          <w:p w14:paraId="3D1005B0" w14:textId="77777777" w:rsidR="00B330D8" w:rsidRDefault="00B330D8">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1</w:t>
            </w:r>
            <w:r>
              <w:rPr>
                <w:rtl/>
              </w:rPr>
              <w:fldChar w:fldCharType="end"/>
            </w:r>
          </w:p>
        </w:tc>
        <w:tc>
          <w:tcPr>
            <w:tcW w:w="567" w:type="dxa"/>
          </w:tcPr>
          <w:p w14:paraId="2AB709CE" w14:textId="77777777" w:rsidR="00B330D8" w:rsidRDefault="00B330D8">
            <w:hyperlink w:anchor="Seif2" w:tooltip="דרישה לתשלום" w:history="1">
              <w:r>
                <w:rPr>
                  <w:rStyle w:val="Hyperlink"/>
                </w:rPr>
                <w:t>Go</w:t>
              </w:r>
            </w:hyperlink>
          </w:p>
        </w:tc>
        <w:tc>
          <w:tcPr>
            <w:tcW w:w="5669" w:type="dxa"/>
          </w:tcPr>
          <w:p w14:paraId="4AFFE7A5" w14:textId="77777777" w:rsidR="00B330D8" w:rsidRDefault="00B330D8">
            <w:pPr>
              <w:rPr>
                <w:rtl/>
              </w:rPr>
            </w:pPr>
            <w:r>
              <w:rPr>
                <w:rtl/>
              </w:rPr>
              <w:t>דרישה לתשלום</w:t>
            </w:r>
          </w:p>
        </w:tc>
        <w:tc>
          <w:tcPr>
            <w:tcW w:w="1247" w:type="dxa"/>
          </w:tcPr>
          <w:p w14:paraId="56668D8A" w14:textId="77777777" w:rsidR="00B330D8" w:rsidRDefault="00B330D8">
            <w:r>
              <w:rPr>
                <w:rtl/>
              </w:rPr>
              <w:t xml:space="preserve">סעיף 4 </w:t>
            </w:r>
          </w:p>
        </w:tc>
      </w:tr>
      <w:tr w:rsidR="00B330D8" w14:paraId="57B7DF35" w14:textId="77777777">
        <w:tblPrEx>
          <w:tblCellMar>
            <w:top w:w="0" w:type="dxa"/>
            <w:bottom w:w="0" w:type="dxa"/>
          </w:tblCellMar>
        </w:tblPrEx>
        <w:tc>
          <w:tcPr>
            <w:tcW w:w="850" w:type="dxa"/>
          </w:tcPr>
          <w:p w14:paraId="334F3C5E" w14:textId="77777777" w:rsidR="00B330D8" w:rsidRDefault="00B330D8">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14:paraId="01CBAD75" w14:textId="77777777" w:rsidR="00B330D8" w:rsidRDefault="00B330D8">
            <w:hyperlink w:anchor="Seif4" w:tooltip="ביצוע התשלום" w:history="1">
              <w:r>
                <w:rPr>
                  <w:rStyle w:val="Hyperlink"/>
                </w:rPr>
                <w:t>Go</w:t>
              </w:r>
            </w:hyperlink>
          </w:p>
        </w:tc>
        <w:tc>
          <w:tcPr>
            <w:tcW w:w="5669" w:type="dxa"/>
          </w:tcPr>
          <w:p w14:paraId="7DCA03AB" w14:textId="77777777" w:rsidR="00B330D8" w:rsidRDefault="00B330D8">
            <w:pPr>
              <w:rPr>
                <w:rtl/>
              </w:rPr>
            </w:pPr>
            <w:r>
              <w:rPr>
                <w:rtl/>
              </w:rPr>
              <w:t>ביצוע התשלום</w:t>
            </w:r>
          </w:p>
        </w:tc>
        <w:tc>
          <w:tcPr>
            <w:tcW w:w="1247" w:type="dxa"/>
          </w:tcPr>
          <w:p w14:paraId="49FBB0BB" w14:textId="77777777" w:rsidR="00B330D8" w:rsidRDefault="00B330D8">
            <w:r>
              <w:rPr>
                <w:rtl/>
              </w:rPr>
              <w:t xml:space="preserve">סעיף 5 </w:t>
            </w:r>
          </w:p>
        </w:tc>
      </w:tr>
      <w:tr w:rsidR="00B330D8" w14:paraId="4FFA8E09" w14:textId="77777777">
        <w:tblPrEx>
          <w:tblCellMar>
            <w:top w:w="0" w:type="dxa"/>
            <w:bottom w:w="0" w:type="dxa"/>
          </w:tblCellMar>
        </w:tblPrEx>
        <w:tc>
          <w:tcPr>
            <w:tcW w:w="850" w:type="dxa"/>
          </w:tcPr>
          <w:p w14:paraId="43FAD5F6" w14:textId="77777777" w:rsidR="00B330D8" w:rsidRDefault="00B330D8">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2</w:t>
            </w:r>
            <w:r>
              <w:rPr>
                <w:rtl/>
              </w:rPr>
              <w:fldChar w:fldCharType="end"/>
            </w:r>
          </w:p>
        </w:tc>
        <w:tc>
          <w:tcPr>
            <w:tcW w:w="567" w:type="dxa"/>
          </w:tcPr>
          <w:p w14:paraId="08EF12D1" w14:textId="77777777" w:rsidR="00B330D8" w:rsidRDefault="00B330D8">
            <w:hyperlink w:anchor="Seif5" w:tooltip="תחילה" w:history="1">
              <w:r>
                <w:rPr>
                  <w:rStyle w:val="Hyperlink"/>
                </w:rPr>
                <w:t>Go</w:t>
              </w:r>
            </w:hyperlink>
          </w:p>
        </w:tc>
        <w:tc>
          <w:tcPr>
            <w:tcW w:w="5669" w:type="dxa"/>
          </w:tcPr>
          <w:p w14:paraId="56B1843C" w14:textId="77777777" w:rsidR="00B330D8" w:rsidRDefault="00B330D8">
            <w:pPr>
              <w:rPr>
                <w:rtl/>
              </w:rPr>
            </w:pPr>
            <w:r>
              <w:rPr>
                <w:rtl/>
              </w:rPr>
              <w:t>תחילה</w:t>
            </w:r>
          </w:p>
        </w:tc>
        <w:tc>
          <w:tcPr>
            <w:tcW w:w="1247" w:type="dxa"/>
          </w:tcPr>
          <w:p w14:paraId="732AE75B" w14:textId="77777777" w:rsidR="00B330D8" w:rsidRDefault="00B330D8">
            <w:r>
              <w:rPr>
                <w:rtl/>
              </w:rPr>
              <w:t xml:space="preserve">סעיף 6 </w:t>
            </w:r>
          </w:p>
        </w:tc>
      </w:tr>
    </w:tbl>
    <w:p w14:paraId="5A27D266" w14:textId="77777777" w:rsidR="007B7BC9" w:rsidRDefault="007B7BC9" w:rsidP="007B7BC9">
      <w:pPr>
        <w:pStyle w:val="big-header"/>
        <w:ind w:left="0" w:right="1134"/>
        <w:rPr>
          <w:rFonts w:cs="FrankRuehl" w:hint="cs"/>
          <w:sz w:val="32"/>
          <w:rtl/>
        </w:rPr>
      </w:pPr>
    </w:p>
    <w:p w14:paraId="44BF78CF" w14:textId="77777777" w:rsidR="007B7BC9" w:rsidRDefault="007B7BC9" w:rsidP="00D44E24">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תקנות ההסדרים במשק המדינה (תיקוני חקיקה להשגת יעדי התקציב והמדיניות הכלכלית לשנת הכספים 2002) (כללים למימון הגנות חוף בים המלח), </w:t>
      </w:r>
      <w:r>
        <w:rPr>
          <w:rFonts w:cs="FrankRuehl"/>
          <w:sz w:val="32"/>
          <w:rtl/>
        </w:rPr>
        <w:br/>
      </w:r>
      <w:r>
        <w:rPr>
          <w:rFonts w:cs="FrankRuehl" w:hint="cs"/>
          <w:sz w:val="32"/>
          <w:rtl/>
        </w:rPr>
        <w:t>תשס"ג-2002</w:t>
      </w:r>
      <w:r>
        <w:rPr>
          <w:rStyle w:val="default"/>
          <w:sz w:val="22"/>
          <w:szCs w:val="22"/>
          <w:rtl/>
        </w:rPr>
        <w:footnoteReference w:customMarkFollows="1" w:id="2"/>
        <w:t>*</w:t>
      </w:r>
    </w:p>
    <w:p w14:paraId="008A6A4E" w14:textId="77777777" w:rsidR="00B330D8" w:rsidRDefault="00B330D8">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w:t>
      </w:r>
      <w:r>
        <w:rPr>
          <w:rStyle w:val="default"/>
          <w:rFonts w:cs="FrankRuehl" w:hint="cs"/>
          <w:rtl/>
        </w:rPr>
        <w:t xml:space="preserve">לפי סעיף 22(ה) לחוק ההסדרים במשק המדינה (תיקוני חקיקה להשגת יעדי התקציב והמדיניות הכלכלית לשנת הכספים 2002), התשס"ב-2002 (להלן </w:t>
      </w:r>
      <w:r>
        <w:rPr>
          <w:rStyle w:val="default"/>
          <w:rFonts w:cs="FrankRuehl"/>
          <w:rtl/>
        </w:rPr>
        <w:t>–</w:t>
      </w:r>
      <w:r>
        <w:rPr>
          <w:rStyle w:val="default"/>
          <w:rFonts w:cs="FrankRuehl" w:hint="cs"/>
          <w:rtl/>
        </w:rPr>
        <w:t xml:space="preserve"> החוק), ובהתייעצות עם שר התיירות ועם שר הפנים, אני מתקין תקנות אלה</w:t>
      </w:r>
      <w:r>
        <w:rPr>
          <w:rStyle w:val="default"/>
          <w:rFonts w:cs="FrankRuehl"/>
          <w:rtl/>
        </w:rPr>
        <w:t>:</w:t>
      </w:r>
    </w:p>
    <w:p w14:paraId="591CE24A" w14:textId="77777777" w:rsidR="00B330D8" w:rsidRDefault="00B330D8">
      <w:pPr>
        <w:pStyle w:val="P00"/>
        <w:spacing w:before="72"/>
        <w:ind w:left="0" w:right="1134"/>
        <w:rPr>
          <w:rStyle w:val="default"/>
          <w:rFonts w:cs="FrankRuehl" w:hint="cs"/>
          <w:rtl/>
        </w:rPr>
      </w:pPr>
      <w:bookmarkStart w:id="0" w:name="Seif0"/>
      <w:bookmarkEnd w:id="0"/>
      <w:r>
        <w:rPr>
          <w:rFonts w:cs="Miriam"/>
          <w:lang w:val="he-IL"/>
        </w:rPr>
        <w:pict w14:anchorId="298E4646">
          <v:rect id="_x0000_s1026" style="position:absolute;left:0;text-align:left;margin-left:464.5pt;margin-top:8.05pt;width:75.05pt;height:17pt;z-index:251655168" o:allowincell="f" filled="f" stroked="f" strokecolor="lime" strokeweight=".25pt">
            <v:textbox inset="0,0,0,0">
              <w:txbxContent>
                <w:p w14:paraId="1A6A243D" w14:textId="77777777" w:rsidR="00B330D8" w:rsidRDefault="00B330D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44221450" w14:textId="77777777" w:rsidR="00B330D8" w:rsidRDefault="00B330D8">
      <w:pPr>
        <w:pStyle w:val="P00"/>
        <w:spacing w:before="72"/>
        <w:ind w:left="0" w:right="1134"/>
        <w:rPr>
          <w:rStyle w:val="default"/>
          <w:rFonts w:cs="FrankRuehl" w:hint="cs"/>
          <w:rtl/>
        </w:rPr>
      </w:pPr>
      <w:r>
        <w:rPr>
          <w:rStyle w:val="default"/>
          <w:rFonts w:cs="FrankRuehl" w:hint="cs"/>
          <w:rtl/>
        </w:rPr>
        <w:tab/>
        <w:t xml:space="preserve">"הועדה" </w:t>
      </w:r>
      <w:r>
        <w:rPr>
          <w:rStyle w:val="default"/>
          <w:rFonts w:cs="FrankRuehl"/>
          <w:rtl/>
        </w:rPr>
        <w:t>–</w:t>
      </w:r>
      <w:r>
        <w:rPr>
          <w:rStyle w:val="default"/>
          <w:rFonts w:cs="FrankRuehl" w:hint="cs"/>
          <w:rtl/>
        </w:rPr>
        <w:t xml:space="preserve"> ועדת ההיגוי שהקים שר התיירות לענין הגנות ים המלח, שחברים בה:</w:t>
      </w:r>
    </w:p>
    <w:p w14:paraId="6A7227C9" w14:textId="77777777" w:rsidR="00B330D8" w:rsidRDefault="00B330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שר התיירות, יושב ראש;</w:t>
      </w:r>
    </w:p>
    <w:p w14:paraId="386D4B59" w14:textId="77777777" w:rsidR="00B330D8" w:rsidRDefault="00B330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שר האוצר;</w:t>
      </w:r>
    </w:p>
    <w:p w14:paraId="53F05C70" w14:textId="77777777" w:rsidR="00B330D8" w:rsidRDefault="00B330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השר לתשתיות לאומיות;</w:t>
      </w:r>
    </w:p>
    <w:p w14:paraId="47171CFD" w14:textId="77777777" w:rsidR="00B330D8" w:rsidRDefault="00B330D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מינהל מקרקעי ישראל;</w:t>
      </w:r>
    </w:p>
    <w:p w14:paraId="5CBFE9C1" w14:textId="77777777" w:rsidR="00B330D8" w:rsidRDefault="00B330D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המועצה האזורית "תמר";</w:t>
      </w:r>
    </w:p>
    <w:p w14:paraId="497774C5" w14:textId="77777777" w:rsidR="00B330D8" w:rsidRDefault="00B330D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חברת מפעלי ים המלח בע"מ;</w:t>
      </w:r>
    </w:p>
    <w:p w14:paraId="06C77360" w14:textId="77777777" w:rsidR="00B330D8" w:rsidRDefault="00B330D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נציג התאחדות בתי המלון באזור עין בוקק </w:t>
      </w:r>
      <w:r>
        <w:rPr>
          <w:rStyle w:val="default"/>
          <w:rFonts w:cs="FrankRuehl"/>
          <w:rtl/>
        </w:rPr>
        <w:t>–</w:t>
      </w:r>
      <w:r>
        <w:rPr>
          <w:rStyle w:val="default"/>
          <w:rFonts w:cs="FrankRuehl" w:hint="cs"/>
          <w:rtl/>
        </w:rPr>
        <w:t xml:space="preserve"> חמי זוהר;</w:t>
      </w:r>
    </w:p>
    <w:p w14:paraId="2CA1DA21" w14:textId="77777777" w:rsidR="00B330D8" w:rsidRDefault="00B330D8">
      <w:pPr>
        <w:pStyle w:val="P00"/>
        <w:spacing w:before="72"/>
        <w:ind w:left="0" w:right="1134"/>
        <w:rPr>
          <w:rStyle w:val="default"/>
          <w:rFonts w:cs="FrankRuehl" w:hint="cs"/>
          <w:rtl/>
        </w:rPr>
      </w:pPr>
      <w:r>
        <w:rPr>
          <w:rStyle w:val="default"/>
          <w:rFonts w:cs="FrankRuehl" w:hint="cs"/>
          <w:rtl/>
        </w:rPr>
        <w:tab/>
        <w:t xml:space="preserve">"החשב הכללי" </w:t>
      </w:r>
      <w:r>
        <w:rPr>
          <w:rStyle w:val="default"/>
          <w:rFonts w:cs="FrankRuehl"/>
          <w:rtl/>
        </w:rPr>
        <w:t>–</w:t>
      </w:r>
      <w:r>
        <w:rPr>
          <w:rStyle w:val="default"/>
          <w:rFonts w:cs="FrankRuehl" w:hint="cs"/>
          <w:rtl/>
        </w:rPr>
        <w:t xml:space="preserve"> החשב הכללי במשרד האוצר;</w:t>
      </w:r>
    </w:p>
    <w:p w14:paraId="5839FCED" w14:textId="77777777" w:rsidR="00B330D8" w:rsidRDefault="00B330D8">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3A9013D" w14:textId="77777777" w:rsidR="00B330D8" w:rsidRDefault="00B330D8">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הממונה על התקציבים במשרד האוצר.</w:t>
      </w:r>
    </w:p>
    <w:p w14:paraId="45A165A4" w14:textId="77777777" w:rsidR="00B330D8" w:rsidRDefault="00B330D8">
      <w:pPr>
        <w:pStyle w:val="P00"/>
        <w:spacing w:before="72"/>
        <w:ind w:left="0" w:right="1134"/>
        <w:rPr>
          <w:rStyle w:val="default"/>
          <w:rFonts w:cs="FrankRuehl" w:hint="cs"/>
          <w:rtl/>
        </w:rPr>
      </w:pPr>
      <w:bookmarkStart w:id="1" w:name="Seif1"/>
      <w:bookmarkEnd w:id="1"/>
      <w:r>
        <w:rPr>
          <w:rFonts w:cs="Miriam"/>
          <w:lang w:val="he-IL"/>
        </w:rPr>
        <w:pict w14:anchorId="522AB216">
          <v:rect id="_x0000_s1032" style="position:absolute;left:0;text-align:left;margin-left:468pt;margin-top:8.05pt;width:71.55pt;height:18.5pt;z-index:251656192" o:allowincell="f" filled="f" stroked="f" strokecolor="lime" strokeweight=".25pt">
            <v:textbox style="mso-next-textbox:#_x0000_s1032" inset="0,0,0,0">
              <w:txbxContent>
                <w:p w14:paraId="1981F196" w14:textId="77777777" w:rsidR="00B330D8" w:rsidRDefault="00B330D8">
                  <w:pPr>
                    <w:pStyle w:val="a7"/>
                    <w:rPr>
                      <w:rFonts w:hint="cs"/>
                      <w:noProof/>
                      <w:rtl/>
                    </w:rPr>
                  </w:pPr>
                  <w:r>
                    <w:rPr>
                      <w:rFonts w:hint="cs"/>
                      <w:rtl/>
                    </w:rPr>
                    <w:t>אופן קביעת העלות של שלב א/2</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הממונה, בהתייעצות עם הועדה, יקבע את עלותו של כל רכיב הוצאה מבין הרכיבים המפורטים בתוספת, והוא רשאי לקבוע פירוט של כל רכיב למספר רכיבי משנה ולקבוע את עלותו של כל רכיב משנה בנפרד, והכל בהתאם לעלות העבודה אשר בוצעה בפועל, בתוספת תקורה בשיעור של 7.5%, כאמור בהסכם שבין מדינת ישראל לבין חברת מפעלי ים המלח בע"מ, מיום ח' בטבת התש"ס (17 בדצמבר 2000); העלות הסופית של שלב א/2 היא החיבור של כל עלויות רכיבי ההוצאה שנקבעו, בתוספת תקורה כאמור (להלן </w:t>
      </w:r>
      <w:r>
        <w:rPr>
          <w:rStyle w:val="default"/>
          <w:rFonts w:cs="FrankRuehl"/>
          <w:rtl/>
        </w:rPr>
        <w:t>–</w:t>
      </w:r>
      <w:r>
        <w:rPr>
          <w:rStyle w:val="default"/>
          <w:rFonts w:cs="FrankRuehl" w:hint="cs"/>
          <w:rtl/>
        </w:rPr>
        <w:t xml:space="preserve"> העלות הסופית).</w:t>
      </w:r>
    </w:p>
    <w:p w14:paraId="5BC50E4E" w14:textId="77777777" w:rsidR="00B330D8" w:rsidRDefault="00B33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קביעת העלות של כל רכיב הוצאה כאמור בתקנת משנה (א), רשאי הממונה לקבוע את העלות הבסיסית של כל רכיב הוצאה כאמור, לפי הערכה ראשונית של עלויות העבודה.</w:t>
      </w:r>
    </w:p>
    <w:p w14:paraId="31C2BC59" w14:textId="77777777" w:rsidR="00B330D8" w:rsidRDefault="00B330D8">
      <w:pPr>
        <w:pStyle w:val="P00"/>
        <w:spacing w:before="72"/>
        <w:ind w:left="0" w:right="1134"/>
        <w:rPr>
          <w:rStyle w:val="default"/>
          <w:rFonts w:cs="FrankRuehl" w:hint="cs"/>
          <w:rtl/>
        </w:rPr>
      </w:pPr>
      <w:bookmarkStart w:id="2" w:name="Seif3"/>
      <w:bookmarkEnd w:id="2"/>
      <w:r>
        <w:rPr>
          <w:rFonts w:cs="Miriam"/>
          <w:szCs w:val="32"/>
          <w:rtl/>
          <w:lang w:val="he-IL"/>
        </w:rPr>
        <w:pict w14:anchorId="4AFEDAD8">
          <v:shapetype id="_x0000_t202" coordsize="21600,21600" o:spt="202" path="m,l,21600r21600,l21600,xe">
            <v:stroke joinstyle="miter"/>
            <v:path gradientshapeok="t" o:connecttype="rect"/>
          </v:shapetype>
          <v:shape id="_x0000_s1059" type="#_x0000_t202" style="position:absolute;left:0;text-align:left;margin-left:459pt;margin-top:1.6pt;width:85.5pt;height:32.4pt;z-index:251658240" filled="f" stroked="f">
            <v:textbox>
              <w:txbxContent>
                <w:p w14:paraId="76666A6F" w14:textId="77777777" w:rsidR="00B330D8" w:rsidRDefault="00B330D8">
                  <w:pPr>
                    <w:pStyle w:val="a7"/>
                    <w:rPr>
                      <w:rFonts w:hint="cs"/>
                      <w:rtl/>
                    </w:rPr>
                  </w:pPr>
                  <w:r>
                    <w:rPr>
                      <w:rFonts w:hint="cs"/>
                      <w:rtl/>
                    </w:rPr>
                    <w:t>אופן חישוב חלקו היחסי של כל בית מלון באזור</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חלקו היחסי של כל בית מלון באזור במימון עלותו של שלב א/2 ייקבע לפי חלקו היחסי בסך כל חיובי הארנונה הכללית שהוטלה לפי דין על כל בתי המלון באזור בשנת הכספים 2001.</w:t>
      </w:r>
    </w:p>
    <w:p w14:paraId="16C07F65" w14:textId="77777777" w:rsidR="00B330D8" w:rsidRDefault="00B33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קביעת חלקו היחסי בעלות, של כל בית מלון באזור כאמור בתקנת משנה (א), תמסור המועצה האזורית "תמר" לממונה, בתוך עשרה ימים מיום תחילתן של תקנות אלה, פירוט של חיובי הארנונה שהוטלו על כל בית מלון באזור בשנת הכספים 2001.</w:t>
      </w:r>
    </w:p>
    <w:p w14:paraId="71E41018" w14:textId="77777777" w:rsidR="00B330D8" w:rsidRDefault="00B330D8">
      <w:pPr>
        <w:pStyle w:val="P00"/>
        <w:spacing w:before="72"/>
        <w:ind w:left="0" w:right="1134"/>
        <w:rPr>
          <w:rStyle w:val="default"/>
          <w:rFonts w:cs="FrankRuehl" w:hint="cs"/>
          <w:rtl/>
        </w:rPr>
      </w:pPr>
      <w:bookmarkStart w:id="3" w:name="Seif2"/>
      <w:bookmarkEnd w:id="3"/>
      <w:r>
        <w:rPr>
          <w:rFonts w:cs="Miriam"/>
          <w:szCs w:val="32"/>
          <w:rtl/>
          <w:lang w:val="he-IL"/>
        </w:rPr>
        <w:pict w14:anchorId="2E1E7D0B">
          <v:shape id="_x0000_s1057" type="#_x0000_t202" style="position:absolute;left:0;text-align:left;margin-left:472.5pt;margin-top:6.5pt;width:1in;height:18pt;z-index:251657216" filled="f" stroked="f">
            <v:textbox>
              <w:txbxContent>
                <w:p w14:paraId="0F44D9C5" w14:textId="77777777" w:rsidR="00B330D8" w:rsidRDefault="00B330D8">
                  <w:pPr>
                    <w:pStyle w:val="a7"/>
                    <w:rPr>
                      <w:rFonts w:hint="cs"/>
                      <w:rtl/>
                    </w:rPr>
                  </w:pPr>
                  <w:r>
                    <w:rPr>
                      <w:rFonts w:hint="cs"/>
                      <w:rtl/>
                    </w:rPr>
                    <w:t>דרישה לתשלום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החשב הכללי ישלח דרישות תשלום לכל אחד מן הגופים המפורטים בסעיף 22(ב)(2) עד (4) לחוק, ובהן יצוינו הסכומים שגוף כאמור חייב בתשלומם והמועדים לתשלומם; נקבעה עלות בסיסית לפי תקנה 2(ב), ישלח החשב הכללי דרישות תשלום כאמור לפי העלות הבסיסית שנקבעה ובהתאם לחלקו היחסי של כל גוף כאמור לפי תקנה 3; עם קביעת העלות לפי תקנה 2(א) יישלחו דרישות תשלום מתוקנות, להשלמת התשלומים לפי העלות הסופית שנקבעה.</w:t>
      </w:r>
    </w:p>
    <w:p w14:paraId="554A50B8" w14:textId="77777777" w:rsidR="00B330D8" w:rsidRDefault="00B330D8">
      <w:pPr>
        <w:pStyle w:val="P00"/>
        <w:spacing w:before="72"/>
        <w:ind w:left="0" w:right="1134"/>
        <w:rPr>
          <w:rStyle w:val="default"/>
          <w:rFonts w:cs="FrankRuehl" w:hint="cs"/>
          <w:rtl/>
        </w:rPr>
      </w:pPr>
      <w:bookmarkStart w:id="4" w:name="Seif4"/>
      <w:bookmarkEnd w:id="4"/>
      <w:r>
        <w:rPr>
          <w:rFonts w:cs="Miriam"/>
          <w:szCs w:val="32"/>
          <w:rtl/>
          <w:lang w:val="he-IL"/>
        </w:rPr>
        <w:pict w14:anchorId="62AFCA0A">
          <v:shape id="_x0000_s1060" type="#_x0000_t202" style="position:absolute;left:0;text-align:left;margin-left:472.5pt;margin-top:8.55pt;width:1in;height:18pt;z-index:251659264" filled="f" stroked="f">
            <v:textbox>
              <w:txbxContent>
                <w:p w14:paraId="5E1DFEE6" w14:textId="77777777" w:rsidR="00B330D8" w:rsidRDefault="00B330D8">
                  <w:pPr>
                    <w:pStyle w:val="a7"/>
                    <w:rPr>
                      <w:rFonts w:hint="cs"/>
                      <w:rtl/>
                    </w:rPr>
                  </w:pPr>
                  <w:r>
                    <w:rPr>
                      <w:rFonts w:hint="cs"/>
                      <w:rtl/>
                    </w:rPr>
                    <w:t>ביצוע התשלום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 xml:space="preserve">חלקם של הגופים המפורטים בסעיף 22(ב)(2) ו-(4) לחוק במימון עלות שלב א/2 ישולם בשישה תשלומים חודשיים רצופים בצירוף הפרשי הצמדה וריבית כמשמעותם בחוק פסיקת ריבית והצמדה, התשכ"א-1961, לפי המדד הידוע ביום דרישת התשלום הראשונה של </w:t>
      </w:r>
      <w:r>
        <w:rPr>
          <w:rStyle w:val="default"/>
          <w:rFonts w:cs="FrankRuehl" w:hint="cs"/>
          <w:rtl/>
        </w:rPr>
        <w:lastRenderedPageBreak/>
        <w:t xml:space="preserve">החשב הכללי (להלן </w:t>
      </w:r>
      <w:r>
        <w:rPr>
          <w:rStyle w:val="default"/>
          <w:rFonts w:cs="FrankRuehl"/>
          <w:rtl/>
        </w:rPr>
        <w:t>–</w:t>
      </w:r>
      <w:r>
        <w:rPr>
          <w:rStyle w:val="default"/>
          <w:rFonts w:cs="FrankRuehl" w:hint="cs"/>
          <w:rtl/>
        </w:rPr>
        <w:t xml:space="preserve"> הפרשי הצמדה וריבית).</w:t>
      </w:r>
    </w:p>
    <w:p w14:paraId="1F07812E" w14:textId="77777777" w:rsidR="00B330D8" w:rsidRDefault="00B33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חלקם של הגופים המפורטים בסעיף 22(ב)(3) לחוק במימון כאמור בתקנת משנה (א) ישולם בשנים עשר תשלומים חודשיים רצופים בצירוף הפרשי הצמדה וריבית; המועד לתשלום הראשון מבין התשלומים כאמור יחול בחודש ינואר 2003.</w:t>
      </w:r>
    </w:p>
    <w:p w14:paraId="7DF38F7C" w14:textId="77777777" w:rsidR="00B330D8" w:rsidRDefault="00B330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בעד התחזוקה השוטפת לאחר תום ביצוע העבודות, ישלמו הגופים האמורים בתקנות משנה (א) ו-(ב) מזמן לזמן, לפי דרישות התשלום של החשב הכללי.</w:t>
      </w:r>
    </w:p>
    <w:p w14:paraId="03D476B8" w14:textId="77777777" w:rsidR="00B330D8" w:rsidRDefault="00B330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שולם תשלום לפי תקנה זו במועדו, תיווסף עליו ריבית פיגורים בשיעור שקובע החשב הכללי מזמן לזמן, עד מועד תשלומו בפועל.</w:t>
      </w:r>
    </w:p>
    <w:p w14:paraId="08DB2F43" w14:textId="77777777" w:rsidR="00B330D8" w:rsidRDefault="00B330D8">
      <w:pPr>
        <w:pStyle w:val="P00"/>
        <w:spacing w:before="72"/>
        <w:ind w:left="0" w:right="1134"/>
        <w:rPr>
          <w:rStyle w:val="default"/>
          <w:rFonts w:cs="FrankRuehl" w:hint="cs"/>
          <w:rtl/>
        </w:rPr>
      </w:pPr>
      <w:bookmarkStart w:id="5" w:name="Seif5"/>
      <w:bookmarkEnd w:id="5"/>
      <w:r>
        <w:rPr>
          <w:rFonts w:cs="Miriam"/>
          <w:szCs w:val="32"/>
          <w:rtl/>
          <w:lang w:val="he-IL"/>
        </w:rPr>
        <w:pict w14:anchorId="0CE6C092">
          <v:shape id="_x0000_s1061" type="#_x0000_t202" style="position:absolute;left:0;text-align:left;margin-left:472.5pt;margin-top:.25pt;width:1in;height:18pt;z-index:251660288" filled="f" stroked="f">
            <v:textbox>
              <w:txbxContent>
                <w:p w14:paraId="19964B42" w14:textId="77777777" w:rsidR="00B330D8" w:rsidRDefault="00B330D8">
                  <w:pPr>
                    <w:pStyle w:val="a7"/>
                    <w:rPr>
                      <w:rFonts w:hint="cs"/>
                      <w:rtl/>
                    </w:rPr>
                  </w:pPr>
                  <w:r>
                    <w:rPr>
                      <w:rFonts w:hint="cs"/>
                      <w:rtl/>
                    </w:rPr>
                    <w:t>תחילה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תחילתן של תקנות אלה שלושים ימים מיום פרסומן.</w:t>
      </w:r>
    </w:p>
    <w:p w14:paraId="5BB0DC94" w14:textId="77777777" w:rsidR="00B330D8" w:rsidRDefault="00B330D8">
      <w:pPr>
        <w:pStyle w:val="P00"/>
        <w:spacing w:before="72"/>
        <w:ind w:left="0" w:right="1134"/>
        <w:rPr>
          <w:rStyle w:val="default"/>
          <w:rFonts w:cs="FrankRuehl" w:hint="cs"/>
          <w:rtl/>
        </w:rPr>
      </w:pPr>
    </w:p>
    <w:p w14:paraId="2B0AFF4C" w14:textId="77777777" w:rsidR="00B330D8" w:rsidRPr="007B7BC9" w:rsidRDefault="00B330D8">
      <w:pPr>
        <w:pStyle w:val="P00"/>
        <w:spacing w:before="72"/>
        <w:ind w:left="0" w:right="1134"/>
        <w:jc w:val="center"/>
        <w:rPr>
          <w:rStyle w:val="default"/>
          <w:rFonts w:cs="FrankRuehl" w:hint="cs"/>
          <w:b/>
          <w:bCs/>
          <w:rtl/>
        </w:rPr>
      </w:pPr>
      <w:r w:rsidRPr="007B7BC9">
        <w:rPr>
          <w:rStyle w:val="default"/>
          <w:rFonts w:cs="FrankRuehl" w:hint="cs"/>
          <w:b/>
          <w:bCs/>
          <w:rtl/>
        </w:rPr>
        <w:t>תוספת</w:t>
      </w:r>
    </w:p>
    <w:p w14:paraId="5FF0BECE" w14:textId="77777777" w:rsidR="00B330D8" w:rsidRPr="007B7BC9" w:rsidRDefault="00B330D8">
      <w:pPr>
        <w:pStyle w:val="P00"/>
        <w:spacing w:before="72"/>
        <w:ind w:left="0" w:right="1134"/>
        <w:jc w:val="center"/>
        <w:rPr>
          <w:rStyle w:val="default"/>
          <w:rFonts w:cs="FrankRuehl" w:hint="cs"/>
          <w:sz w:val="24"/>
          <w:szCs w:val="24"/>
          <w:rtl/>
        </w:rPr>
      </w:pPr>
      <w:r w:rsidRPr="007B7BC9">
        <w:rPr>
          <w:rStyle w:val="default"/>
          <w:rFonts w:cs="FrankRuehl" w:hint="cs"/>
          <w:sz w:val="24"/>
          <w:szCs w:val="24"/>
          <w:rtl/>
        </w:rPr>
        <w:t>(תקנה 2)</w:t>
      </w:r>
    </w:p>
    <w:p w14:paraId="31D4C785" w14:textId="77777777" w:rsidR="00B330D8" w:rsidRDefault="00B330D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תכנון וביצוע:</w:t>
      </w:r>
    </w:p>
    <w:p w14:paraId="4AF6F542" w14:textId="77777777" w:rsidR="00B330D8" w:rsidRDefault="00B330D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עבודות הנדסה אזרחית;</w:t>
      </w:r>
    </w:p>
    <w:p w14:paraId="7F2BCACD" w14:textId="77777777" w:rsidR="00B330D8" w:rsidRDefault="00B330D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עבודות מכניות וחשמליות בסוללה הקיימת;</w:t>
      </w:r>
    </w:p>
    <w:p w14:paraId="4E1014E8" w14:textId="77777777" w:rsidR="00B330D8" w:rsidRDefault="00B330D8">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תחנות שאיבה חדשות;</w:t>
      </w:r>
    </w:p>
    <w:p w14:paraId="59FEDAA0" w14:textId="77777777" w:rsidR="00B330D8" w:rsidRDefault="00B330D8">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מדידהניטור ובקרה;</w:t>
      </w:r>
    </w:p>
    <w:p w14:paraId="21161DDE" w14:textId="77777777" w:rsidR="00B330D8" w:rsidRDefault="00B330D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תחזוקה שוטפת.</w:t>
      </w:r>
    </w:p>
    <w:p w14:paraId="68849D25" w14:textId="77777777" w:rsidR="00B330D8" w:rsidRDefault="00B330D8" w:rsidP="007B7BC9">
      <w:pPr>
        <w:pStyle w:val="P00"/>
        <w:spacing w:before="72"/>
        <w:ind w:left="0" w:right="1134"/>
        <w:rPr>
          <w:rStyle w:val="default"/>
          <w:rFonts w:cs="FrankRuehl"/>
          <w:rtl/>
        </w:rPr>
      </w:pPr>
    </w:p>
    <w:p w14:paraId="428D89EE" w14:textId="77777777" w:rsidR="00B330D8" w:rsidRDefault="00B330D8" w:rsidP="007B7BC9">
      <w:pPr>
        <w:pStyle w:val="P00"/>
        <w:spacing w:before="72"/>
        <w:ind w:left="0" w:right="1134"/>
        <w:rPr>
          <w:rStyle w:val="default"/>
          <w:rFonts w:cs="FrankRuehl"/>
          <w:rtl/>
        </w:rPr>
      </w:pPr>
    </w:p>
    <w:p w14:paraId="4AF1421B" w14:textId="77777777" w:rsidR="00B330D8" w:rsidRDefault="00B330D8">
      <w:pPr>
        <w:pStyle w:val="sig-0"/>
        <w:ind w:left="0" w:right="1134"/>
        <w:rPr>
          <w:rFonts w:cs="FrankRuehl" w:hint="cs"/>
          <w:sz w:val="26"/>
          <w:rtl/>
        </w:rPr>
      </w:pPr>
      <w:r>
        <w:rPr>
          <w:rFonts w:cs="FrankRuehl" w:hint="cs"/>
          <w:sz w:val="26"/>
          <w:rtl/>
        </w:rPr>
        <w:t>י"א בחשון התשס"ג (17 באוקטובר 2002)</w:t>
      </w:r>
      <w:r>
        <w:rPr>
          <w:rFonts w:cs="FrankRuehl"/>
          <w:sz w:val="26"/>
          <w:rtl/>
        </w:rPr>
        <w:tab/>
      </w:r>
      <w:r>
        <w:rPr>
          <w:rFonts w:cs="FrankRuehl" w:hint="cs"/>
          <w:sz w:val="26"/>
          <w:rtl/>
        </w:rPr>
        <w:t>סילבן שלום</w:t>
      </w:r>
    </w:p>
    <w:p w14:paraId="2481ED10" w14:textId="77777777" w:rsidR="00B330D8" w:rsidRDefault="00B330D8">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האוצר</w:t>
      </w:r>
    </w:p>
    <w:p w14:paraId="27703DD4" w14:textId="77777777" w:rsidR="00B330D8" w:rsidRPr="007B7BC9" w:rsidRDefault="00B330D8" w:rsidP="007B7BC9">
      <w:pPr>
        <w:pStyle w:val="P00"/>
        <w:spacing w:before="72"/>
        <w:ind w:left="0" w:right="1134"/>
        <w:rPr>
          <w:rStyle w:val="default"/>
          <w:rFonts w:cs="FrankRuehl"/>
          <w:rtl/>
        </w:rPr>
      </w:pPr>
    </w:p>
    <w:p w14:paraId="1800BEA4" w14:textId="77777777" w:rsidR="00B330D8" w:rsidRPr="007B7BC9" w:rsidRDefault="00B330D8" w:rsidP="007B7BC9">
      <w:pPr>
        <w:pStyle w:val="P00"/>
        <w:spacing w:before="72"/>
        <w:ind w:left="0" w:right="1134"/>
        <w:rPr>
          <w:rStyle w:val="default"/>
          <w:rFonts w:cs="FrankRuehl" w:hint="cs"/>
          <w:rtl/>
        </w:rPr>
      </w:pPr>
    </w:p>
    <w:p w14:paraId="6F9E5E23" w14:textId="77777777" w:rsidR="007B7BC9" w:rsidRPr="007B7BC9" w:rsidRDefault="007B7BC9" w:rsidP="007B7BC9">
      <w:pPr>
        <w:pStyle w:val="P00"/>
        <w:spacing w:before="72"/>
        <w:ind w:left="0" w:right="1134"/>
        <w:rPr>
          <w:rStyle w:val="default"/>
          <w:rFonts w:cs="FrankRuehl"/>
          <w:rtl/>
        </w:rPr>
      </w:pPr>
    </w:p>
    <w:sectPr w:rsidR="007B7BC9" w:rsidRPr="007B7BC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25AA" w14:textId="77777777" w:rsidR="00CC79CA" w:rsidRDefault="00CC79CA">
      <w:r>
        <w:separator/>
      </w:r>
    </w:p>
  </w:endnote>
  <w:endnote w:type="continuationSeparator" w:id="0">
    <w:p w14:paraId="2A61D41B" w14:textId="77777777" w:rsidR="00CC79CA" w:rsidRDefault="00CC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D9E2" w14:textId="77777777" w:rsidR="00B330D8" w:rsidRDefault="00B330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205BA3" w14:textId="77777777" w:rsidR="00B330D8" w:rsidRDefault="00B330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686052" w14:textId="77777777" w:rsidR="00B330D8" w:rsidRDefault="00B330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G:\Nevo\InAsc\999_054.doc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EB19" w14:textId="77777777" w:rsidR="00B330D8" w:rsidRDefault="00B330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4E24">
      <w:rPr>
        <w:rFonts w:hAnsi="FrankRuehl" w:cs="FrankRuehl"/>
        <w:noProof/>
        <w:sz w:val="24"/>
        <w:szCs w:val="24"/>
        <w:rtl/>
      </w:rPr>
      <w:t>2</w:t>
    </w:r>
    <w:r>
      <w:rPr>
        <w:rFonts w:hAnsi="FrankRuehl" w:cs="FrankRuehl"/>
        <w:sz w:val="24"/>
        <w:szCs w:val="24"/>
        <w:rtl/>
      </w:rPr>
      <w:fldChar w:fldCharType="end"/>
    </w:r>
  </w:p>
  <w:p w14:paraId="5CE80EFF" w14:textId="77777777" w:rsidR="00B330D8" w:rsidRDefault="00B330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9442A6" w14:textId="77777777" w:rsidR="00B330D8" w:rsidRDefault="00B330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G:\Nevo\InAsc\999_054.doc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59D7" w14:textId="77777777" w:rsidR="00CC79CA" w:rsidRDefault="00CC79CA">
      <w:r>
        <w:separator/>
      </w:r>
    </w:p>
  </w:footnote>
  <w:footnote w:type="continuationSeparator" w:id="0">
    <w:p w14:paraId="6A25BAC0" w14:textId="77777777" w:rsidR="00CC79CA" w:rsidRDefault="00CC79CA">
      <w:r>
        <w:continuationSeparator/>
      </w:r>
    </w:p>
  </w:footnote>
  <w:footnote w:id="1">
    <w:p w14:paraId="5EC51839" w14:textId="77777777" w:rsidR="007B7BC9" w:rsidRDefault="007B7BC9" w:rsidP="007B7B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56C11">
          <w:rPr>
            <w:rStyle w:val="Hyperlink"/>
            <w:rFonts w:cs="FrankRuehl" w:hint="cs"/>
            <w:rtl/>
          </w:rPr>
          <w:t>ק"ת תשס"ג מס' 6205</w:t>
        </w:r>
      </w:hyperlink>
      <w:r>
        <w:rPr>
          <w:rFonts w:cs="FrankRuehl" w:hint="cs"/>
          <w:rtl/>
        </w:rPr>
        <w:t xml:space="preserve"> מיום 31.10.2002 עמ' 126.</w:t>
      </w:r>
    </w:p>
  </w:footnote>
  <w:footnote w:id="2">
    <w:p w14:paraId="4A3F210B" w14:textId="77777777" w:rsidR="007B7BC9" w:rsidRDefault="007B7BC9" w:rsidP="007B7B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2" w:history="1">
        <w:r w:rsidRPr="00B56C11">
          <w:rPr>
            <w:rStyle w:val="Hyperlink"/>
            <w:rFonts w:cs="FrankRuehl" w:hint="cs"/>
            <w:rtl/>
          </w:rPr>
          <w:t>ק"ת תשס"ג מס' 6205</w:t>
        </w:r>
      </w:hyperlink>
      <w:r>
        <w:rPr>
          <w:rFonts w:cs="FrankRuehl" w:hint="cs"/>
          <w:rtl/>
        </w:rPr>
        <w:t xml:space="preserve"> מיום 31.10.2002 עמ' 126.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0717" w14:textId="77777777" w:rsidR="00B330D8" w:rsidRDefault="00B330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3B5AEE2" w14:textId="77777777" w:rsidR="00B330D8" w:rsidRDefault="00B330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02F06A" w14:textId="77777777" w:rsidR="00B330D8" w:rsidRDefault="00B330D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F27E" w14:textId="77777777" w:rsidR="00B330D8" w:rsidRDefault="00B330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ההסדרים במשק המדינה (תיקוני חקיקה להשגת יעדי התקציב והמדיניות הכלכלית לשנת הכספים 2002) (כללים למימון הגנות חוף בים המלח), תשס"ג-2002</w:t>
    </w:r>
  </w:p>
  <w:p w14:paraId="72997FFF" w14:textId="77777777" w:rsidR="00B330D8" w:rsidRDefault="00B330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D04AA2" w14:textId="77777777" w:rsidR="00B330D8" w:rsidRDefault="00B330D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882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6C11"/>
    <w:rsid w:val="00126C34"/>
    <w:rsid w:val="00407C2F"/>
    <w:rsid w:val="00710520"/>
    <w:rsid w:val="00712107"/>
    <w:rsid w:val="007B7BC9"/>
    <w:rsid w:val="00AA052F"/>
    <w:rsid w:val="00B330D8"/>
    <w:rsid w:val="00B56C11"/>
    <w:rsid w:val="00CC79CA"/>
    <w:rsid w:val="00D44E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2F6365C8"/>
  <w15:chartTrackingRefBased/>
  <w15:docId w15:val="{FBF23F44-11B3-47B5-96AC-8CF1587D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05.pdf" TargetMode="External"/><Relationship Id="rId1" Type="http://schemas.openxmlformats.org/officeDocument/2006/relationships/hyperlink" Target="http://www.nevo.co.il/Law_word/law06/TAK-62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4034</CharactersWithSpaces>
  <SharedDoc>false</SharedDoc>
  <HLinks>
    <vt:vector size="48"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3</vt:i4>
      </vt:variant>
      <vt:variant>
        <vt:i4>0</vt:i4>
      </vt:variant>
      <vt:variant>
        <vt:i4>5</vt:i4>
      </vt:variant>
      <vt:variant>
        <vt:lpwstr>http://www.nevo.co.il/Law_word/law06/TAK-6205.pdf</vt:lpwstr>
      </vt:variant>
      <vt:variant>
        <vt:lpwstr/>
      </vt:variant>
      <vt:variant>
        <vt:i4>8323087</vt:i4>
      </vt:variant>
      <vt:variant>
        <vt:i4>0</vt:i4>
      </vt:variant>
      <vt:variant>
        <vt:i4>0</vt:i4>
      </vt:variant>
      <vt:variant>
        <vt:i4>5</vt:i4>
      </vt:variant>
      <vt:variant>
        <vt:lpwstr>http://www.nevo.co.il/Law_word/law06/TAK-6205.pdf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ההסדרים במשק המדינה (תיקוני חקיקה להשגת יעדי התקציב והמדיניות הכלכלית לשנת הכספים 2002) (כללים למימון הגנות חוף בים המלח), תשס"ג-2002</vt:lpwstr>
  </property>
  <property fmtid="{D5CDD505-2E9C-101B-9397-08002B2CF9AE}" pid="4" name="LAWNUMBER">
    <vt:lpwstr>0054</vt:lpwstr>
  </property>
  <property fmtid="{D5CDD505-2E9C-101B-9397-08002B2CF9AE}" pid="5" name="TYPE">
    <vt:lpwstr>01</vt:lpwstr>
  </property>
  <property fmtid="{D5CDD505-2E9C-101B-9397-08002B2CF9AE}" pid="6" name="MEKOR_NAME1">
    <vt:lpwstr>חוק ההסדרים במשק המדינה (תיקוני חקיקה להשגת יעדי התקציב והמדיניות הכלכלית לשנת הכספים 2002)</vt:lpwstr>
  </property>
  <property fmtid="{D5CDD505-2E9C-101B-9397-08002B2CF9AE}" pid="7" name="MEKOR_SAIF1">
    <vt:lpwstr>22XהX</vt:lpwstr>
  </property>
  <property fmtid="{D5CDD505-2E9C-101B-9397-08002B2CF9AE}" pid="8" name="NOSE11">
    <vt:lpwstr>משפט פרטי וכלכלה</vt:lpwstr>
  </property>
  <property fmtid="{D5CDD505-2E9C-101B-9397-08002B2CF9AE}" pid="9" name="NOSE21">
    <vt:lpwstr>כספים</vt:lpwstr>
  </property>
  <property fmtid="{D5CDD505-2E9C-101B-9397-08002B2CF9AE}" pid="10" name="NOSE31">
    <vt:lpwstr>תקציב ומשק המדינה</vt:lpwstr>
  </property>
  <property fmtid="{D5CDD505-2E9C-101B-9397-08002B2CF9AE}" pid="11" name="NOSE41">
    <vt:lpwstr>השגת יעדי תקציב</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