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5434" w14:textId="77777777" w:rsidR="004329E6" w:rsidRDefault="004329E6">
      <w:pPr>
        <w:pStyle w:val="big-header"/>
        <w:ind w:left="0" w:right="1134"/>
        <w:rPr>
          <w:rFonts w:cs="FrankRuehl" w:hint="cs"/>
          <w:sz w:val="32"/>
          <w:rtl/>
        </w:rPr>
      </w:pPr>
      <w:r>
        <w:rPr>
          <w:rFonts w:cs="FrankRuehl"/>
          <w:sz w:val="32"/>
          <w:rtl/>
        </w:rPr>
        <w:t>תקנות ההענקות לחיילים ולבני-משפחותיהם, תש"ל–1970</w:t>
      </w:r>
    </w:p>
    <w:p w14:paraId="023B4967" w14:textId="77777777" w:rsidR="00BC0EF3" w:rsidRPr="00BC0EF3" w:rsidRDefault="00BC0EF3" w:rsidP="00BC0EF3">
      <w:pPr>
        <w:spacing w:line="320" w:lineRule="auto"/>
        <w:jc w:val="left"/>
        <w:rPr>
          <w:rFonts w:cs="FrankRuehl"/>
          <w:szCs w:val="26"/>
          <w:rtl/>
        </w:rPr>
      </w:pPr>
    </w:p>
    <w:p w14:paraId="377BA74C" w14:textId="77777777" w:rsidR="00BC0EF3" w:rsidRDefault="00BC0EF3" w:rsidP="00BC0EF3">
      <w:pPr>
        <w:spacing w:line="320" w:lineRule="auto"/>
        <w:jc w:val="left"/>
        <w:rPr>
          <w:rFonts w:cs="Miriam"/>
          <w:szCs w:val="22"/>
          <w:rtl/>
        </w:rPr>
      </w:pPr>
      <w:r w:rsidRPr="00BC0EF3">
        <w:rPr>
          <w:rFonts w:cs="Miriam"/>
          <w:szCs w:val="22"/>
          <w:rtl/>
        </w:rPr>
        <w:t>בטחון</w:t>
      </w:r>
      <w:r w:rsidRPr="00BC0EF3">
        <w:rPr>
          <w:rFonts w:cs="FrankRuehl"/>
          <w:szCs w:val="26"/>
          <w:rtl/>
        </w:rPr>
        <w:t xml:space="preserve"> – צה"ל – חיילים – חיילים משוחררים</w:t>
      </w:r>
    </w:p>
    <w:p w14:paraId="1DCDCEE7" w14:textId="77777777" w:rsidR="004329E6" w:rsidRPr="00BC0EF3" w:rsidRDefault="00BC0EF3" w:rsidP="00BC0EF3">
      <w:pPr>
        <w:spacing w:line="320" w:lineRule="auto"/>
        <w:jc w:val="left"/>
        <w:rPr>
          <w:rFonts w:cs="Miriam" w:hint="cs"/>
          <w:szCs w:val="22"/>
          <w:rtl/>
        </w:rPr>
      </w:pPr>
      <w:r w:rsidRPr="00BC0EF3">
        <w:rPr>
          <w:rFonts w:cs="Miriam"/>
          <w:szCs w:val="22"/>
          <w:rtl/>
        </w:rPr>
        <w:t>ביטוח</w:t>
      </w:r>
      <w:r w:rsidRPr="00BC0EF3">
        <w:rPr>
          <w:rFonts w:cs="FrankRuehl"/>
          <w:szCs w:val="26"/>
          <w:rtl/>
        </w:rPr>
        <w:t xml:space="preserve"> – ביטוח לאומי – קיצבאות והענקות</w:t>
      </w:r>
    </w:p>
    <w:p w14:paraId="7B87388D" w14:textId="77777777" w:rsidR="004329E6" w:rsidRDefault="004329E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329E6" w14:paraId="2CD5C35D" w14:textId="77777777">
        <w:tblPrEx>
          <w:tblCellMar>
            <w:top w:w="0" w:type="dxa"/>
            <w:bottom w:w="0" w:type="dxa"/>
          </w:tblCellMar>
        </w:tblPrEx>
        <w:tc>
          <w:tcPr>
            <w:tcW w:w="850" w:type="dxa"/>
          </w:tcPr>
          <w:p w14:paraId="0D9161C0"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D5FC537" w14:textId="77777777" w:rsidR="004329E6" w:rsidRDefault="004329E6">
            <w:pPr>
              <w:spacing w:line="240" w:lineRule="auto"/>
              <w:rPr>
                <w:sz w:val="24"/>
              </w:rPr>
            </w:pPr>
            <w:hyperlink w:anchor="Seif0" w:tooltip="פרשנות" w:history="1">
              <w:r>
                <w:rPr>
                  <w:rStyle w:val="Hyperlink"/>
                </w:rPr>
                <w:t>Go</w:t>
              </w:r>
            </w:hyperlink>
          </w:p>
        </w:tc>
        <w:tc>
          <w:tcPr>
            <w:tcW w:w="5669" w:type="dxa"/>
          </w:tcPr>
          <w:p w14:paraId="7E1D86E0" w14:textId="77777777" w:rsidR="004329E6" w:rsidRDefault="004329E6">
            <w:pPr>
              <w:spacing w:line="240" w:lineRule="auto"/>
              <w:rPr>
                <w:sz w:val="24"/>
                <w:rtl/>
              </w:rPr>
            </w:pPr>
            <w:r>
              <w:rPr>
                <w:sz w:val="24"/>
                <w:rtl/>
              </w:rPr>
              <w:t>פרשנות</w:t>
            </w:r>
          </w:p>
        </w:tc>
        <w:tc>
          <w:tcPr>
            <w:tcW w:w="1247" w:type="dxa"/>
          </w:tcPr>
          <w:p w14:paraId="4DCC2C8C" w14:textId="77777777" w:rsidR="004329E6" w:rsidRDefault="004329E6">
            <w:pPr>
              <w:spacing w:line="240" w:lineRule="auto"/>
              <w:rPr>
                <w:sz w:val="24"/>
              </w:rPr>
            </w:pPr>
            <w:r>
              <w:rPr>
                <w:sz w:val="24"/>
                <w:rtl/>
              </w:rPr>
              <w:t xml:space="preserve">סעיף 1 </w:t>
            </w:r>
          </w:p>
        </w:tc>
      </w:tr>
      <w:tr w:rsidR="004329E6" w14:paraId="5A26D91D" w14:textId="77777777">
        <w:tblPrEx>
          <w:tblCellMar>
            <w:top w:w="0" w:type="dxa"/>
            <w:bottom w:w="0" w:type="dxa"/>
          </w:tblCellMar>
        </w:tblPrEx>
        <w:tc>
          <w:tcPr>
            <w:tcW w:w="850" w:type="dxa"/>
          </w:tcPr>
          <w:p w14:paraId="1FB48BB9"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C60EFE0" w14:textId="77777777" w:rsidR="004329E6" w:rsidRDefault="004329E6">
            <w:pPr>
              <w:spacing w:line="240" w:lineRule="auto"/>
              <w:rPr>
                <w:sz w:val="24"/>
              </w:rPr>
            </w:pPr>
            <w:hyperlink w:anchor="Seif1" w:tooltip="הזכאים להענקה" w:history="1">
              <w:r>
                <w:rPr>
                  <w:rStyle w:val="Hyperlink"/>
                </w:rPr>
                <w:t>Go</w:t>
              </w:r>
            </w:hyperlink>
          </w:p>
        </w:tc>
        <w:tc>
          <w:tcPr>
            <w:tcW w:w="5669" w:type="dxa"/>
          </w:tcPr>
          <w:p w14:paraId="5DDF6301" w14:textId="77777777" w:rsidR="004329E6" w:rsidRDefault="004329E6">
            <w:pPr>
              <w:spacing w:line="240" w:lineRule="auto"/>
              <w:rPr>
                <w:sz w:val="24"/>
                <w:rtl/>
              </w:rPr>
            </w:pPr>
            <w:r>
              <w:rPr>
                <w:sz w:val="24"/>
                <w:rtl/>
              </w:rPr>
              <w:t>הזכאים להענקה</w:t>
            </w:r>
          </w:p>
        </w:tc>
        <w:tc>
          <w:tcPr>
            <w:tcW w:w="1247" w:type="dxa"/>
          </w:tcPr>
          <w:p w14:paraId="5DE5F64D" w14:textId="77777777" w:rsidR="004329E6" w:rsidRDefault="004329E6">
            <w:pPr>
              <w:spacing w:line="240" w:lineRule="auto"/>
              <w:rPr>
                <w:sz w:val="24"/>
              </w:rPr>
            </w:pPr>
            <w:r>
              <w:rPr>
                <w:sz w:val="24"/>
                <w:rtl/>
              </w:rPr>
              <w:t xml:space="preserve">סעיף 2 </w:t>
            </w:r>
          </w:p>
        </w:tc>
      </w:tr>
      <w:tr w:rsidR="004329E6" w14:paraId="492D6A78" w14:textId="77777777">
        <w:tblPrEx>
          <w:tblCellMar>
            <w:top w:w="0" w:type="dxa"/>
            <w:bottom w:w="0" w:type="dxa"/>
          </w:tblCellMar>
        </w:tblPrEx>
        <w:tc>
          <w:tcPr>
            <w:tcW w:w="850" w:type="dxa"/>
          </w:tcPr>
          <w:p w14:paraId="1F641204"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D13ED2E" w14:textId="77777777" w:rsidR="004329E6" w:rsidRDefault="004329E6">
            <w:pPr>
              <w:spacing w:line="240" w:lineRule="auto"/>
              <w:rPr>
                <w:sz w:val="24"/>
              </w:rPr>
            </w:pPr>
            <w:hyperlink w:anchor="Seif2" w:tooltip="מנין הילדים" w:history="1">
              <w:r>
                <w:rPr>
                  <w:rStyle w:val="Hyperlink"/>
                </w:rPr>
                <w:t>Go</w:t>
              </w:r>
            </w:hyperlink>
          </w:p>
        </w:tc>
        <w:tc>
          <w:tcPr>
            <w:tcW w:w="5669" w:type="dxa"/>
          </w:tcPr>
          <w:p w14:paraId="607EF3B9" w14:textId="77777777" w:rsidR="004329E6" w:rsidRDefault="004329E6">
            <w:pPr>
              <w:spacing w:line="240" w:lineRule="auto"/>
              <w:rPr>
                <w:sz w:val="24"/>
                <w:rtl/>
              </w:rPr>
            </w:pPr>
            <w:r>
              <w:rPr>
                <w:sz w:val="24"/>
                <w:rtl/>
              </w:rPr>
              <w:t>מנין הילדים</w:t>
            </w:r>
          </w:p>
        </w:tc>
        <w:tc>
          <w:tcPr>
            <w:tcW w:w="1247" w:type="dxa"/>
          </w:tcPr>
          <w:p w14:paraId="0158DD46" w14:textId="77777777" w:rsidR="004329E6" w:rsidRDefault="004329E6">
            <w:pPr>
              <w:spacing w:line="240" w:lineRule="auto"/>
              <w:rPr>
                <w:sz w:val="24"/>
              </w:rPr>
            </w:pPr>
            <w:r>
              <w:rPr>
                <w:sz w:val="24"/>
                <w:rtl/>
              </w:rPr>
              <w:t xml:space="preserve">סעיף 3 </w:t>
            </w:r>
          </w:p>
        </w:tc>
      </w:tr>
      <w:tr w:rsidR="004329E6" w14:paraId="7BFE493B" w14:textId="77777777">
        <w:tblPrEx>
          <w:tblCellMar>
            <w:top w:w="0" w:type="dxa"/>
            <w:bottom w:w="0" w:type="dxa"/>
          </w:tblCellMar>
        </w:tblPrEx>
        <w:tc>
          <w:tcPr>
            <w:tcW w:w="850" w:type="dxa"/>
          </w:tcPr>
          <w:p w14:paraId="6E5A6598"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CF86205" w14:textId="77777777" w:rsidR="004329E6" w:rsidRDefault="004329E6">
            <w:pPr>
              <w:spacing w:line="240" w:lineRule="auto"/>
              <w:rPr>
                <w:sz w:val="24"/>
              </w:rPr>
            </w:pPr>
            <w:hyperlink w:anchor="Seif3" w:tooltip="שיעורי הענקה" w:history="1">
              <w:r>
                <w:rPr>
                  <w:rStyle w:val="Hyperlink"/>
                </w:rPr>
                <w:t>Go</w:t>
              </w:r>
            </w:hyperlink>
          </w:p>
        </w:tc>
        <w:tc>
          <w:tcPr>
            <w:tcW w:w="5669" w:type="dxa"/>
          </w:tcPr>
          <w:p w14:paraId="7FD51F92" w14:textId="77777777" w:rsidR="004329E6" w:rsidRDefault="004329E6">
            <w:pPr>
              <w:spacing w:line="240" w:lineRule="auto"/>
              <w:rPr>
                <w:sz w:val="24"/>
                <w:rtl/>
              </w:rPr>
            </w:pPr>
            <w:r>
              <w:rPr>
                <w:sz w:val="24"/>
                <w:rtl/>
              </w:rPr>
              <w:t>שיעורי הענקה</w:t>
            </w:r>
          </w:p>
        </w:tc>
        <w:tc>
          <w:tcPr>
            <w:tcW w:w="1247" w:type="dxa"/>
          </w:tcPr>
          <w:p w14:paraId="2E29285D" w14:textId="77777777" w:rsidR="004329E6" w:rsidRDefault="004329E6">
            <w:pPr>
              <w:spacing w:line="240" w:lineRule="auto"/>
              <w:rPr>
                <w:sz w:val="24"/>
              </w:rPr>
            </w:pPr>
            <w:r>
              <w:rPr>
                <w:sz w:val="24"/>
                <w:rtl/>
              </w:rPr>
              <w:t xml:space="preserve">סעיף 4 </w:t>
            </w:r>
          </w:p>
        </w:tc>
      </w:tr>
      <w:tr w:rsidR="004329E6" w14:paraId="605A6103" w14:textId="77777777">
        <w:tblPrEx>
          <w:tblCellMar>
            <w:top w:w="0" w:type="dxa"/>
            <w:bottom w:w="0" w:type="dxa"/>
          </w:tblCellMar>
        </w:tblPrEx>
        <w:tc>
          <w:tcPr>
            <w:tcW w:w="850" w:type="dxa"/>
          </w:tcPr>
          <w:p w14:paraId="654C4748"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A576FE5" w14:textId="77777777" w:rsidR="004329E6" w:rsidRDefault="004329E6">
            <w:pPr>
              <w:spacing w:line="240" w:lineRule="auto"/>
              <w:rPr>
                <w:sz w:val="24"/>
              </w:rPr>
            </w:pPr>
            <w:hyperlink w:anchor="Seif4" w:tooltip="מקבל ההענקה" w:history="1">
              <w:r>
                <w:rPr>
                  <w:rStyle w:val="Hyperlink"/>
                </w:rPr>
                <w:t>Go</w:t>
              </w:r>
            </w:hyperlink>
          </w:p>
        </w:tc>
        <w:tc>
          <w:tcPr>
            <w:tcW w:w="5669" w:type="dxa"/>
          </w:tcPr>
          <w:p w14:paraId="476C7CC2" w14:textId="77777777" w:rsidR="004329E6" w:rsidRDefault="004329E6">
            <w:pPr>
              <w:spacing w:line="240" w:lineRule="auto"/>
              <w:rPr>
                <w:sz w:val="24"/>
                <w:rtl/>
              </w:rPr>
            </w:pPr>
            <w:r>
              <w:rPr>
                <w:sz w:val="24"/>
                <w:rtl/>
              </w:rPr>
              <w:t>מקבל ההענקה</w:t>
            </w:r>
          </w:p>
        </w:tc>
        <w:tc>
          <w:tcPr>
            <w:tcW w:w="1247" w:type="dxa"/>
          </w:tcPr>
          <w:p w14:paraId="27FAECC7" w14:textId="77777777" w:rsidR="004329E6" w:rsidRDefault="004329E6">
            <w:pPr>
              <w:spacing w:line="240" w:lineRule="auto"/>
              <w:rPr>
                <w:sz w:val="24"/>
              </w:rPr>
            </w:pPr>
            <w:r>
              <w:rPr>
                <w:sz w:val="24"/>
                <w:rtl/>
              </w:rPr>
              <w:t xml:space="preserve">סעיף 5 </w:t>
            </w:r>
          </w:p>
        </w:tc>
      </w:tr>
      <w:tr w:rsidR="004329E6" w14:paraId="00B08060" w14:textId="77777777">
        <w:tblPrEx>
          <w:tblCellMar>
            <w:top w:w="0" w:type="dxa"/>
            <w:bottom w:w="0" w:type="dxa"/>
          </w:tblCellMar>
        </w:tblPrEx>
        <w:tc>
          <w:tcPr>
            <w:tcW w:w="850" w:type="dxa"/>
          </w:tcPr>
          <w:p w14:paraId="06489E50"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AEE1DF5" w14:textId="77777777" w:rsidR="004329E6" w:rsidRDefault="004329E6">
            <w:pPr>
              <w:spacing w:line="240" w:lineRule="auto"/>
              <w:rPr>
                <w:sz w:val="24"/>
              </w:rPr>
            </w:pPr>
            <w:hyperlink w:anchor="Seif5" w:tooltip="מועד תחילת התשלום והפסקתו" w:history="1">
              <w:r>
                <w:rPr>
                  <w:rStyle w:val="Hyperlink"/>
                </w:rPr>
                <w:t>Go</w:t>
              </w:r>
            </w:hyperlink>
          </w:p>
        </w:tc>
        <w:tc>
          <w:tcPr>
            <w:tcW w:w="5669" w:type="dxa"/>
          </w:tcPr>
          <w:p w14:paraId="0C001101" w14:textId="77777777" w:rsidR="004329E6" w:rsidRDefault="004329E6">
            <w:pPr>
              <w:spacing w:line="240" w:lineRule="auto"/>
              <w:rPr>
                <w:sz w:val="24"/>
                <w:rtl/>
              </w:rPr>
            </w:pPr>
            <w:r>
              <w:rPr>
                <w:sz w:val="24"/>
                <w:rtl/>
              </w:rPr>
              <w:t>מועד תחילת התשלום והפסקתו</w:t>
            </w:r>
          </w:p>
        </w:tc>
        <w:tc>
          <w:tcPr>
            <w:tcW w:w="1247" w:type="dxa"/>
          </w:tcPr>
          <w:p w14:paraId="79991466" w14:textId="77777777" w:rsidR="004329E6" w:rsidRDefault="004329E6">
            <w:pPr>
              <w:spacing w:line="240" w:lineRule="auto"/>
              <w:rPr>
                <w:sz w:val="24"/>
              </w:rPr>
            </w:pPr>
            <w:r>
              <w:rPr>
                <w:sz w:val="24"/>
                <w:rtl/>
              </w:rPr>
              <w:t xml:space="preserve">סעיף 6 </w:t>
            </w:r>
          </w:p>
        </w:tc>
      </w:tr>
      <w:tr w:rsidR="004329E6" w14:paraId="6E8D04B8" w14:textId="77777777">
        <w:tblPrEx>
          <w:tblCellMar>
            <w:top w:w="0" w:type="dxa"/>
            <w:bottom w:w="0" w:type="dxa"/>
          </w:tblCellMar>
        </w:tblPrEx>
        <w:tc>
          <w:tcPr>
            <w:tcW w:w="850" w:type="dxa"/>
          </w:tcPr>
          <w:p w14:paraId="0E3984F9"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FAEEA5F" w14:textId="77777777" w:rsidR="004329E6" w:rsidRDefault="004329E6">
            <w:pPr>
              <w:spacing w:line="240" w:lineRule="auto"/>
              <w:rPr>
                <w:sz w:val="24"/>
              </w:rPr>
            </w:pPr>
            <w:hyperlink w:anchor="Seif6" w:tooltip="הוראות לחישוב גיל" w:history="1">
              <w:r>
                <w:rPr>
                  <w:rStyle w:val="Hyperlink"/>
                </w:rPr>
                <w:t>Go</w:t>
              </w:r>
            </w:hyperlink>
          </w:p>
        </w:tc>
        <w:tc>
          <w:tcPr>
            <w:tcW w:w="5669" w:type="dxa"/>
          </w:tcPr>
          <w:p w14:paraId="04622069" w14:textId="77777777" w:rsidR="004329E6" w:rsidRDefault="004329E6">
            <w:pPr>
              <w:spacing w:line="240" w:lineRule="auto"/>
              <w:rPr>
                <w:sz w:val="24"/>
                <w:rtl/>
              </w:rPr>
            </w:pPr>
            <w:r>
              <w:rPr>
                <w:sz w:val="24"/>
                <w:rtl/>
              </w:rPr>
              <w:t>הוראות לחישוב גיל</w:t>
            </w:r>
          </w:p>
        </w:tc>
        <w:tc>
          <w:tcPr>
            <w:tcW w:w="1247" w:type="dxa"/>
          </w:tcPr>
          <w:p w14:paraId="43820881" w14:textId="77777777" w:rsidR="004329E6" w:rsidRDefault="004329E6">
            <w:pPr>
              <w:spacing w:line="240" w:lineRule="auto"/>
              <w:rPr>
                <w:sz w:val="24"/>
              </w:rPr>
            </w:pPr>
            <w:r>
              <w:rPr>
                <w:sz w:val="24"/>
                <w:rtl/>
              </w:rPr>
              <w:t xml:space="preserve">סעיף 7 </w:t>
            </w:r>
          </w:p>
        </w:tc>
      </w:tr>
      <w:tr w:rsidR="004329E6" w14:paraId="1BB81082" w14:textId="77777777">
        <w:tblPrEx>
          <w:tblCellMar>
            <w:top w:w="0" w:type="dxa"/>
            <w:bottom w:w="0" w:type="dxa"/>
          </w:tblCellMar>
        </w:tblPrEx>
        <w:tc>
          <w:tcPr>
            <w:tcW w:w="850" w:type="dxa"/>
          </w:tcPr>
          <w:p w14:paraId="32FAE81A"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EA6FE97" w14:textId="77777777" w:rsidR="004329E6" w:rsidRDefault="004329E6">
            <w:pPr>
              <w:spacing w:line="240" w:lineRule="auto"/>
              <w:rPr>
                <w:sz w:val="24"/>
              </w:rPr>
            </w:pPr>
            <w:hyperlink w:anchor="Seif7" w:tooltip="הגשת בקשה" w:history="1">
              <w:r>
                <w:rPr>
                  <w:rStyle w:val="Hyperlink"/>
                </w:rPr>
                <w:t>Go</w:t>
              </w:r>
            </w:hyperlink>
          </w:p>
        </w:tc>
        <w:tc>
          <w:tcPr>
            <w:tcW w:w="5669" w:type="dxa"/>
          </w:tcPr>
          <w:p w14:paraId="4781DC31" w14:textId="77777777" w:rsidR="004329E6" w:rsidRDefault="004329E6">
            <w:pPr>
              <w:spacing w:line="240" w:lineRule="auto"/>
              <w:rPr>
                <w:sz w:val="24"/>
                <w:rtl/>
              </w:rPr>
            </w:pPr>
            <w:r>
              <w:rPr>
                <w:sz w:val="24"/>
                <w:rtl/>
              </w:rPr>
              <w:t>הגשת בקשה</w:t>
            </w:r>
          </w:p>
        </w:tc>
        <w:tc>
          <w:tcPr>
            <w:tcW w:w="1247" w:type="dxa"/>
          </w:tcPr>
          <w:p w14:paraId="5BE92EDF" w14:textId="77777777" w:rsidR="004329E6" w:rsidRDefault="004329E6">
            <w:pPr>
              <w:spacing w:line="240" w:lineRule="auto"/>
              <w:rPr>
                <w:sz w:val="24"/>
              </w:rPr>
            </w:pPr>
            <w:r>
              <w:rPr>
                <w:sz w:val="24"/>
                <w:rtl/>
              </w:rPr>
              <w:t xml:space="preserve">סעיף 8 </w:t>
            </w:r>
          </w:p>
        </w:tc>
      </w:tr>
      <w:tr w:rsidR="004329E6" w14:paraId="1511A492" w14:textId="77777777">
        <w:tblPrEx>
          <w:tblCellMar>
            <w:top w:w="0" w:type="dxa"/>
            <w:bottom w:w="0" w:type="dxa"/>
          </w:tblCellMar>
        </w:tblPrEx>
        <w:tc>
          <w:tcPr>
            <w:tcW w:w="850" w:type="dxa"/>
          </w:tcPr>
          <w:p w14:paraId="7F5E097D"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59EFE70" w14:textId="77777777" w:rsidR="004329E6" w:rsidRDefault="004329E6">
            <w:pPr>
              <w:spacing w:line="240" w:lineRule="auto"/>
              <w:rPr>
                <w:sz w:val="24"/>
              </w:rPr>
            </w:pPr>
            <w:hyperlink w:anchor="Seif8" w:tooltip="ראיות" w:history="1">
              <w:r>
                <w:rPr>
                  <w:rStyle w:val="Hyperlink"/>
                </w:rPr>
                <w:t>Go</w:t>
              </w:r>
            </w:hyperlink>
          </w:p>
        </w:tc>
        <w:tc>
          <w:tcPr>
            <w:tcW w:w="5669" w:type="dxa"/>
          </w:tcPr>
          <w:p w14:paraId="4F93FC9B" w14:textId="77777777" w:rsidR="004329E6" w:rsidRDefault="004329E6">
            <w:pPr>
              <w:spacing w:line="240" w:lineRule="auto"/>
              <w:rPr>
                <w:sz w:val="24"/>
                <w:rtl/>
              </w:rPr>
            </w:pPr>
            <w:r>
              <w:rPr>
                <w:sz w:val="24"/>
                <w:rtl/>
              </w:rPr>
              <w:t>ראיות</w:t>
            </w:r>
          </w:p>
        </w:tc>
        <w:tc>
          <w:tcPr>
            <w:tcW w:w="1247" w:type="dxa"/>
          </w:tcPr>
          <w:p w14:paraId="7B4EB20D" w14:textId="77777777" w:rsidR="004329E6" w:rsidRDefault="004329E6">
            <w:pPr>
              <w:spacing w:line="240" w:lineRule="auto"/>
              <w:rPr>
                <w:sz w:val="24"/>
              </w:rPr>
            </w:pPr>
            <w:r>
              <w:rPr>
                <w:sz w:val="24"/>
                <w:rtl/>
              </w:rPr>
              <w:t xml:space="preserve">סעיף 9 </w:t>
            </w:r>
          </w:p>
        </w:tc>
      </w:tr>
      <w:tr w:rsidR="004329E6" w14:paraId="035DC83F" w14:textId="77777777">
        <w:tblPrEx>
          <w:tblCellMar>
            <w:top w:w="0" w:type="dxa"/>
            <w:bottom w:w="0" w:type="dxa"/>
          </w:tblCellMar>
        </w:tblPrEx>
        <w:tc>
          <w:tcPr>
            <w:tcW w:w="850" w:type="dxa"/>
          </w:tcPr>
          <w:p w14:paraId="60E334A7"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767CCAE" w14:textId="77777777" w:rsidR="004329E6" w:rsidRDefault="004329E6">
            <w:pPr>
              <w:spacing w:line="240" w:lineRule="auto"/>
              <w:rPr>
                <w:sz w:val="24"/>
              </w:rPr>
            </w:pPr>
            <w:hyperlink w:anchor="Seif9" w:tooltip="המועד להגשת בקשה" w:history="1">
              <w:r>
                <w:rPr>
                  <w:rStyle w:val="Hyperlink"/>
                </w:rPr>
                <w:t>Go</w:t>
              </w:r>
            </w:hyperlink>
          </w:p>
        </w:tc>
        <w:tc>
          <w:tcPr>
            <w:tcW w:w="5669" w:type="dxa"/>
          </w:tcPr>
          <w:p w14:paraId="3423D2CE" w14:textId="77777777" w:rsidR="004329E6" w:rsidRDefault="004329E6">
            <w:pPr>
              <w:spacing w:line="240" w:lineRule="auto"/>
              <w:rPr>
                <w:sz w:val="24"/>
                <w:rtl/>
              </w:rPr>
            </w:pPr>
            <w:r>
              <w:rPr>
                <w:sz w:val="24"/>
                <w:rtl/>
              </w:rPr>
              <w:t>המועד להגשת בקשה</w:t>
            </w:r>
          </w:p>
        </w:tc>
        <w:tc>
          <w:tcPr>
            <w:tcW w:w="1247" w:type="dxa"/>
          </w:tcPr>
          <w:p w14:paraId="5D5AE706" w14:textId="77777777" w:rsidR="004329E6" w:rsidRDefault="004329E6">
            <w:pPr>
              <w:spacing w:line="240" w:lineRule="auto"/>
              <w:rPr>
                <w:sz w:val="24"/>
              </w:rPr>
            </w:pPr>
            <w:r>
              <w:rPr>
                <w:sz w:val="24"/>
                <w:rtl/>
              </w:rPr>
              <w:t xml:space="preserve">סעיף 10 </w:t>
            </w:r>
          </w:p>
        </w:tc>
      </w:tr>
      <w:tr w:rsidR="004329E6" w14:paraId="12DAE226" w14:textId="77777777">
        <w:tblPrEx>
          <w:tblCellMar>
            <w:top w:w="0" w:type="dxa"/>
            <w:bottom w:w="0" w:type="dxa"/>
          </w:tblCellMar>
        </w:tblPrEx>
        <w:tc>
          <w:tcPr>
            <w:tcW w:w="850" w:type="dxa"/>
          </w:tcPr>
          <w:p w14:paraId="3FD7BE0D"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2A2D628" w14:textId="77777777" w:rsidR="004329E6" w:rsidRDefault="004329E6">
            <w:pPr>
              <w:spacing w:line="240" w:lineRule="auto"/>
              <w:rPr>
                <w:sz w:val="24"/>
              </w:rPr>
            </w:pPr>
            <w:hyperlink w:anchor="Seif10" w:tooltip="מועד התשלום" w:history="1">
              <w:r>
                <w:rPr>
                  <w:rStyle w:val="Hyperlink"/>
                </w:rPr>
                <w:t>Go</w:t>
              </w:r>
            </w:hyperlink>
          </w:p>
        </w:tc>
        <w:tc>
          <w:tcPr>
            <w:tcW w:w="5669" w:type="dxa"/>
          </w:tcPr>
          <w:p w14:paraId="4BFEA9C7" w14:textId="77777777" w:rsidR="004329E6" w:rsidRDefault="004329E6">
            <w:pPr>
              <w:spacing w:line="240" w:lineRule="auto"/>
              <w:rPr>
                <w:sz w:val="24"/>
                <w:rtl/>
              </w:rPr>
            </w:pPr>
            <w:r>
              <w:rPr>
                <w:sz w:val="24"/>
                <w:rtl/>
              </w:rPr>
              <w:t>מועד התשלום</w:t>
            </w:r>
          </w:p>
        </w:tc>
        <w:tc>
          <w:tcPr>
            <w:tcW w:w="1247" w:type="dxa"/>
          </w:tcPr>
          <w:p w14:paraId="03C40AB1" w14:textId="77777777" w:rsidR="004329E6" w:rsidRDefault="004329E6">
            <w:pPr>
              <w:spacing w:line="240" w:lineRule="auto"/>
              <w:rPr>
                <w:sz w:val="24"/>
              </w:rPr>
            </w:pPr>
            <w:r>
              <w:rPr>
                <w:sz w:val="24"/>
                <w:rtl/>
              </w:rPr>
              <w:t xml:space="preserve">סעיף 11 </w:t>
            </w:r>
          </w:p>
        </w:tc>
      </w:tr>
      <w:tr w:rsidR="004329E6" w14:paraId="5A229B10" w14:textId="77777777">
        <w:tblPrEx>
          <w:tblCellMar>
            <w:top w:w="0" w:type="dxa"/>
            <w:bottom w:w="0" w:type="dxa"/>
          </w:tblCellMar>
        </w:tblPrEx>
        <w:tc>
          <w:tcPr>
            <w:tcW w:w="850" w:type="dxa"/>
          </w:tcPr>
          <w:p w14:paraId="722287F8"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1C72FD4" w14:textId="77777777" w:rsidR="004329E6" w:rsidRDefault="004329E6">
            <w:pPr>
              <w:spacing w:line="240" w:lineRule="auto"/>
              <w:rPr>
                <w:sz w:val="24"/>
              </w:rPr>
            </w:pPr>
            <w:hyperlink w:anchor="Seif11" w:tooltip="שינויים" w:history="1">
              <w:r>
                <w:rPr>
                  <w:rStyle w:val="Hyperlink"/>
                </w:rPr>
                <w:t>Go</w:t>
              </w:r>
            </w:hyperlink>
          </w:p>
        </w:tc>
        <w:tc>
          <w:tcPr>
            <w:tcW w:w="5669" w:type="dxa"/>
          </w:tcPr>
          <w:p w14:paraId="41829FDF" w14:textId="77777777" w:rsidR="004329E6" w:rsidRDefault="004329E6">
            <w:pPr>
              <w:spacing w:line="240" w:lineRule="auto"/>
              <w:rPr>
                <w:sz w:val="24"/>
                <w:rtl/>
              </w:rPr>
            </w:pPr>
            <w:r>
              <w:rPr>
                <w:sz w:val="24"/>
                <w:rtl/>
              </w:rPr>
              <w:t>שינויים</w:t>
            </w:r>
          </w:p>
        </w:tc>
        <w:tc>
          <w:tcPr>
            <w:tcW w:w="1247" w:type="dxa"/>
          </w:tcPr>
          <w:p w14:paraId="4B3C0F45" w14:textId="77777777" w:rsidR="004329E6" w:rsidRDefault="004329E6">
            <w:pPr>
              <w:spacing w:line="240" w:lineRule="auto"/>
              <w:rPr>
                <w:sz w:val="24"/>
              </w:rPr>
            </w:pPr>
            <w:r>
              <w:rPr>
                <w:sz w:val="24"/>
                <w:rtl/>
              </w:rPr>
              <w:t xml:space="preserve">סעיף 12 </w:t>
            </w:r>
          </w:p>
        </w:tc>
      </w:tr>
      <w:tr w:rsidR="004329E6" w14:paraId="1E9FA5B8" w14:textId="77777777">
        <w:tblPrEx>
          <w:tblCellMar>
            <w:top w:w="0" w:type="dxa"/>
            <w:bottom w:w="0" w:type="dxa"/>
          </w:tblCellMar>
        </w:tblPrEx>
        <w:tc>
          <w:tcPr>
            <w:tcW w:w="850" w:type="dxa"/>
          </w:tcPr>
          <w:p w14:paraId="7CA39C36"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BACB6EF" w14:textId="77777777" w:rsidR="004329E6" w:rsidRDefault="004329E6">
            <w:pPr>
              <w:spacing w:line="240" w:lineRule="auto"/>
              <w:rPr>
                <w:sz w:val="24"/>
              </w:rPr>
            </w:pPr>
            <w:hyperlink w:anchor="Seif12" w:tooltip="הענקה שבספק" w:history="1">
              <w:r>
                <w:rPr>
                  <w:rStyle w:val="Hyperlink"/>
                </w:rPr>
                <w:t>Go</w:t>
              </w:r>
            </w:hyperlink>
          </w:p>
        </w:tc>
        <w:tc>
          <w:tcPr>
            <w:tcW w:w="5669" w:type="dxa"/>
          </w:tcPr>
          <w:p w14:paraId="1BF2B748" w14:textId="77777777" w:rsidR="004329E6" w:rsidRDefault="004329E6">
            <w:pPr>
              <w:spacing w:line="240" w:lineRule="auto"/>
              <w:rPr>
                <w:sz w:val="24"/>
                <w:rtl/>
              </w:rPr>
            </w:pPr>
            <w:r>
              <w:rPr>
                <w:sz w:val="24"/>
                <w:rtl/>
              </w:rPr>
              <w:t>הענקה שבספק</w:t>
            </w:r>
          </w:p>
        </w:tc>
        <w:tc>
          <w:tcPr>
            <w:tcW w:w="1247" w:type="dxa"/>
          </w:tcPr>
          <w:p w14:paraId="496E116F" w14:textId="77777777" w:rsidR="004329E6" w:rsidRDefault="004329E6">
            <w:pPr>
              <w:spacing w:line="240" w:lineRule="auto"/>
              <w:rPr>
                <w:sz w:val="24"/>
              </w:rPr>
            </w:pPr>
            <w:r>
              <w:rPr>
                <w:sz w:val="24"/>
                <w:rtl/>
              </w:rPr>
              <w:t xml:space="preserve">סעיף 13 </w:t>
            </w:r>
          </w:p>
        </w:tc>
      </w:tr>
      <w:tr w:rsidR="004329E6" w14:paraId="07DBAD08" w14:textId="77777777">
        <w:tblPrEx>
          <w:tblCellMar>
            <w:top w:w="0" w:type="dxa"/>
            <w:bottom w:w="0" w:type="dxa"/>
          </w:tblCellMar>
        </w:tblPrEx>
        <w:tc>
          <w:tcPr>
            <w:tcW w:w="850" w:type="dxa"/>
          </w:tcPr>
          <w:p w14:paraId="6DA547E0"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8C359E0" w14:textId="77777777" w:rsidR="004329E6" w:rsidRDefault="004329E6">
            <w:pPr>
              <w:spacing w:line="240" w:lineRule="auto"/>
              <w:rPr>
                <w:sz w:val="24"/>
              </w:rPr>
            </w:pPr>
            <w:hyperlink w:anchor="Seif13" w:tooltip="תשלום הענקה בטעות או שלא כדין" w:history="1">
              <w:r>
                <w:rPr>
                  <w:rStyle w:val="Hyperlink"/>
                </w:rPr>
                <w:t>Go</w:t>
              </w:r>
            </w:hyperlink>
          </w:p>
        </w:tc>
        <w:tc>
          <w:tcPr>
            <w:tcW w:w="5669" w:type="dxa"/>
          </w:tcPr>
          <w:p w14:paraId="795BF02A" w14:textId="77777777" w:rsidR="004329E6" w:rsidRDefault="004329E6">
            <w:pPr>
              <w:spacing w:line="240" w:lineRule="auto"/>
              <w:rPr>
                <w:sz w:val="24"/>
                <w:rtl/>
              </w:rPr>
            </w:pPr>
            <w:r>
              <w:rPr>
                <w:sz w:val="24"/>
                <w:rtl/>
              </w:rPr>
              <w:t>תשלום הענקה בטעות או שלא כדין</w:t>
            </w:r>
          </w:p>
        </w:tc>
        <w:tc>
          <w:tcPr>
            <w:tcW w:w="1247" w:type="dxa"/>
          </w:tcPr>
          <w:p w14:paraId="57197CF5" w14:textId="77777777" w:rsidR="004329E6" w:rsidRDefault="004329E6">
            <w:pPr>
              <w:spacing w:line="240" w:lineRule="auto"/>
              <w:rPr>
                <w:sz w:val="24"/>
              </w:rPr>
            </w:pPr>
            <w:r>
              <w:rPr>
                <w:sz w:val="24"/>
                <w:rtl/>
              </w:rPr>
              <w:t xml:space="preserve">סעיף 14 </w:t>
            </w:r>
          </w:p>
        </w:tc>
      </w:tr>
      <w:tr w:rsidR="004329E6" w14:paraId="73F33CC3" w14:textId="77777777">
        <w:tblPrEx>
          <w:tblCellMar>
            <w:top w:w="0" w:type="dxa"/>
            <w:bottom w:w="0" w:type="dxa"/>
          </w:tblCellMar>
        </w:tblPrEx>
        <w:tc>
          <w:tcPr>
            <w:tcW w:w="850" w:type="dxa"/>
          </w:tcPr>
          <w:p w14:paraId="1189C036"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C9F82D9" w14:textId="77777777" w:rsidR="004329E6" w:rsidRDefault="004329E6">
            <w:pPr>
              <w:spacing w:line="240" w:lineRule="auto"/>
              <w:rPr>
                <w:sz w:val="24"/>
              </w:rPr>
            </w:pPr>
            <w:hyperlink w:anchor="Seif14" w:tooltip="שיפוי המוסד" w:history="1">
              <w:r>
                <w:rPr>
                  <w:rStyle w:val="Hyperlink"/>
                </w:rPr>
                <w:t>Go</w:t>
              </w:r>
            </w:hyperlink>
          </w:p>
        </w:tc>
        <w:tc>
          <w:tcPr>
            <w:tcW w:w="5669" w:type="dxa"/>
          </w:tcPr>
          <w:p w14:paraId="3E6BB79E" w14:textId="77777777" w:rsidR="004329E6" w:rsidRDefault="004329E6">
            <w:pPr>
              <w:spacing w:line="240" w:lineRule="auto"/>
              <w:rPr>
                <w:sz w:val="24"/>
                <w:rtl/>
              </w:rPr>
            </w:pPr>
            <w:r>
              <w:rPr>
                <w:sz w:val="24"/>
                <w:rtl/>
              </w:rPr>
              <w:t>שיפוי המוסד</w:t>
            </w:r>
          </w:p>
        </w:tc>
        <w:tc>
          <w:tcPr>
            <w:tcW w:w="1247" w:type="dxa"/>
          </w:tcPr>
          <w:p w14:paraId="456FFABF" w14:textId="77777777" w:rsidR="004329E6" w:rsidRDefault="004329E6">
            <w:pPr>
              <w:spacing w:line="240" w:lineRule="auto"/>
              <w:rPr>
                <w:sz w:val="24"/>
              </w:rPr>
            </w:pPr>
            <w:r>
              <w:rPr>
                <w:sz w:val="24"/>
                <w:rtl/>
              </w:rPr>
              <w:t xml:space="preserve">סעיף 14א </w:t>
            </w:r>
          </w:p>
        </w:tc>
      </w:tr>
      <w:tr w:rsidR="004329E6" w14:paraId="2A7710F6" w14:textId="77777777">
        <w:tblPrEx>
          <w:tblCellMar>
            <w:top w:w="0" w:type="dxa"/>
            <w:bottom w:w="0" w:type="dxa"/>
          </w:tblCellMar>
        </w:tblPrEx>
        <w:tc>
          <w:tcPr>
            <w:tcW w:w="850" w:type="dxa"/>
          </w:tcPr>
          <w:p w14:paraId="556EFAB3"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D949A98" w14:textId="77777777" w:rsidR="004329E6" w:rsidRDefault="004329E6">
            <w:pPr>
              <w:spacing w:line="240" w:lineRule="auto"/>
              <w:rPr>
                <w:sz w:val="24"/>
              </w:rPr>
            </w:pPr>
            <w:hyperlink w:anchor="Seif15" w:tooltip="תובענה" w:history="1">
              <w:r>
                <w:rPr>
                  <w:rStyle w:val="Hyperlink"/>
                </w:rPr>
                <w:t>Go</w:t>
              </w:r>
            </w:hyperlink>
          </w:p>
        </w:tc>
        <w:tc>
          <w:tcPr>
            <w:tcW w:w="5669" w:type="dxa"/>
          </w:tcPr>
          <w:p w14:paraId="68FB6C78" w14:textId="77777777" w:rsidR="004329E6" w:rsidRDefault="004329E6">
            <w:pPr>
              <w:spacing w:line="240" w:lineRule="auto"/>
              <w:rPr>
                <w:sz w:val="24"/>
                <w:rtl/>
              </w:rPr>
            </w:pPr>
            <w:r>
              <w:rPr>
                <w:sz w:val="24"/>
                <w:rtl/>
              </w:rPr>
              <w:t>תובענה</w:t>
            </w:r>
          </w:p>
        </w:tc>
        <w:tc>
          <w:tcPr>
            <w:tcW w:w="1247" w:type="dxa"/>
          </w:tcPr>
          <w:p w14:paraId="107D1ABA" w14:textId="77777777" w:rsidR="004329E6" w:rsidRDefault="004329E6">
            <w:pPr>
              <w:spacing w:line="240" w:lineRule="auto"/>
              <w:rPr>
                <w:sz w:val="24"/>
              </w:rPr>
            </w:pPr>
            <w:r>
              <w:rPr>
                <w:sz w:val="24"/>
                <w:rtl/>
              </w:rPr>
              <w:t xml:space="preserve">סעיף 14ב </w:t>
            </w:r>
          </w:p>
        </w:tc>
      </w:tr>
      <w:tr w:rsidR="004329E6" w14:paraId="06EBFF64" w14:textId="77777777">
        <w:tblPrEx>
          <w:tblCellMar>
            <w:top w:w="0" w:type="dxa"/>
            <w:bottom w:w="0" w:type="dxa"/>
          </w:tblCellMar>
        </w:tblPrEx>
        <w:tc>
          <w:tcPr>
            <w:tcW w:w="850" w:type="dxa"/>
          </w:tcPr>
          <w:p w14:paraId="34D27A78"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9B123EA" w14:textId="77777777" w:rsidR="004329E6" w:rsidRDefault="004329E6">
            <w:pPr>
              <w:spacing w:line="240" w:lineRule="auto"/>
              <w:rPr>
                <w:sz w:val="24"/>
              </w:rPr>
            </w:pPr>
            <w:hyperlink w:anchor="Seif16" w:tooltip="תחילה" w:history="1">
              <w:r>
                <w:rPr>
                  <w:rStyle w:val="Hyperlink"/>
                </w:rPr>
                <w:t>Go</w:t>
              </w:r>
            </w:hyperlink>
          </w:p>
        </w:tc>
        <w:tc>
          <w:tcPr>
            <w:tcW w:w="5669" w:type="dxa"/>
          </w:tcPr>
          <w:p w14:paraId="6BBB8512" w14:textId="77777777" w:rsidR="004329E6" w:rsidRDefault="004329E6">
            <w:pPr>
              <w:spacing w:line="240" w:lineRule="auto"/>
              <w:rPr>
                <w:sz w:val="24"/>
                <w:rtl/>
              </w:rPr>
            </w:pPr>
            <w:r>
              <w:rPr>
                <w:sz w:val="24"/>
                <w:rtl/>
              </w:rPr>
              <w:t>תחילה</w:t>
            </w:r>
          </w:p>
        </w:tc>
        <w:tc>
          <w:tcPr>
            <w:tcW w:w="1247" w:type="dxa"/>
          </w:tcPr>
          <w:p w14:paraId="13ED052B" w14:textId="77777777" w:rsidR="004329E6" w:rsidRDefault="004329E6">
            <w:pPr>
              <w:spacing w:line="240" w:lineRule="auto"/>
              <w:rPr>
                <w:sz w:val="24"/>
              </w:rPr>
            </w:pPr>
            <w:r>
              <w:rPr>
                <w:sz w:val="24"/>
                <w:rtl/>
              </w:rPr>
              <w:t xml:space="preserve">סעיף 15 </w:t>
            </w:r>
          </w:p>
        </w:tc>
      </w:tr>
      <w:tr w:rsidR="004329E6" w14:paraId="3E0F8EA0" w14:textId="77777777">
        <w:tblPrEx>
          <w:tblCellMar>
            <w:top w:w="0" w:type="dxa"/>
            <w:bottom w:w="0" w:type="dxa"/>
          </w:tblCellMar>
        </w:tblPrEx>
        <w:tc>
          <w:tcPr>
            <w:tcW w:w="850" w:type="dxa"/>
          </w:tcPr>
          <w:p w14:paraId="26B15EB8" w14:textId="77777777" w:rsidR="004329E6" w:rsidRDefault="004329E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D8B85F1" w14:textId="77777777" w:rsidR="004329E6" w:rsidRDefault="004329E6">
            <w:pPr>
              <w:spacing w:line="240" w:lineRule="auto"/>
              <w:rPr>
                <w:sz w:val="24"/>
              </w:rPr>
            </w:pPr>
            <w:hyperlink w:anchor="Seif17" w:tooltip="השם" w:history="1">
              <w:r>
                <w:rPr>
                  <w:rStyle w:val="Hyperlink"/>
                </w:rPr>
                <w:t>Go</w:t>
              </w:r>
            </w:hyperlink>
          </w:p>
        </w:tc>
        <w:tc>
          <w:tcPr>
            <w:tcW w:w="5669" w:type="dxa"/>
          </w:tcPr>
          <w:p w14:paraId="6C9E6B3B" w14:textId="77777777" w:rsidR="004329E6" w:rsidRDefault="004329E6">
            <w:pPr>
              <w:spacing w:line="240" w:lineRule="auto"/>
              <w:rPr>
                <w:sz w:val="24"/>
                <w:rtl/>
              </w:rPr>
            </w:pPr>
            <w:r>
              <w:rPr>
                <w:sz w:val="24"/>
                <w:rtl/>
              </w:rPr>
              <w:t>השם</w:t>
            </w:r>
          </w:p>
        </w:tc>
        <w:tc>
          <w:tcPr>
            <w:tcW w:w="1247" w:type="dxa"/>
          </w:tcPr>
          <w:p w14:paraId="148499DE" w14:textId="77777777" w:rsidR="004329E6" w:rsidRDefault="004329E6">
            <w:pPr>
              <w:spacing w:line="240" w:lineRule="auto"/>
              <w:rPr>
                <w:sz w:val="24"/>
              </w:rPr>
            </w:pPr>
            <w:r>
              <w:rPr>
                <w:sz w:val="24"/>
                <w:rtl/>
              </w:rPr>
              <w:t xml:space="preserve">סעיף 16 </w:t>
            </w:r>
          </w:p>
        </w:tc>
      </w:tr>
    </w:tbl>
    <w:p w14:paraId="75DF53B5" w14:textId="77777777" w:rsidR="004329E6" w:rsidRDefault="004329E6">
      <w:pPr>
        <w:pStyle w:val="big-header"/>
        <w:ind w:left="0" w:right="1134"/>
        <w:rPr>
          <w:rFonts w:cs="FrankRuehl"/>
          <w:sz w:val="32"/>
          <w:rtl/>
        </w:rPr>
      </w:pPr>
    </w:p>
    <w:p w14:paraId="139B40D1" w14:textId="77777777" w:rsidR="004329E6" w:rsidRPr="004329E6" w:rsidRDefault="004329E6" w:rsidP="004329E6">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תק</w:t>
      </w:r>
      <w:r>
        <w:rPr>
          <w:rFonts w:cs="FrankRuehl" w:hint="cs"/>
          <w:sz w:val="32"/>
          <w:rtl/>
        </w:rPr>
        <w:t>נות ההענקות לחיילים ולבני-משפחותיהם, תש"ל</w:t>
      </w:r>
      <w:r>
        <w:rPr>
          <w:rFonts w:cs="FrankRuehl"/>
          <w:sz w:val="32"/>
          <w:rtl/>
        </w:rPr>
        <w:t>–1970</w:t>
      </w:r>
      <w:r>
        <w:rPr>
          <w:rStyle w:val="super"/>
          <w:rFonts w:cs="Miriam"/>
          <w:noProof w:val="0"/>
          <w:rtl/>
          <w:lang w:eastAsia="he-IL"/>
        </w:rPr>
        <w:t>(16)</w:t>
      </w:r>
    </w:p>
    <w:p w14:paraId="4612415B"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40(ב1)(2) לחוק החיילים המשוחררים (החזרה לעבודה), תש"ט</w:t>
      </w:r>
      <w:r>
        <w:rPr>
          <w:rStyle w:val="default"/>
          <w:rFonts w:cs="FrankRuehl"/>
          <w:rtl/>
        </w:rPr>
        <w:t xml:space="preserve">–1949, </w:t>
      </w:r>
      <w:r>
        <w:rPr>
          <w:rStyle w:val="default"/>
          <w:rFonts w:cs="FrankRuehl" w:hint="cs"/>
          <w:rtl/>
        </w:rPr>
        <w:t>בהתייעצות עם שר האוצר ובאישור ועדת הכספים של הכנסת, אני מתקין תקנות אלה:</w:t>
      </w:r>
    </w:p>
    <w:p w14:paraId="45621913" w14:textId="77777777" w:rsidR="004329E6" w:rsidRDefault="004329E6">
      <w:pPr>
        <w:pStyle w:val="P00"/>
        <w:spacing w:before="72"/>
        <w:ind w:left="0" w:right="1134"/>
        <w:rPr>
          <w:rStyle w:val="default"/>
          <w:rFonts w:cs="FrankRuehl"/>
          <w:rtl/>
        </w:rPr>
      </w:pPr>
      <w:bookmarkStart w:id="0" w:name="Seif0"/>
      <w:bookmarkEnd w:id="0"/>
      <w:r>
        <w:rPr>
          <w:lang w:val="he-IL"/>
        </w:rPr>
        <w:pict w14:anchorId="0F378990">
          <v:rect id="_x0000_s1026" style="position:absolute;left:0;text-align:left;margin-left:464.5pt;margin-top:8.05pt;width:75.05pt;height:8pt;z-index:251646976" o:allowincell="f" filled="f" stroked="f" strokecolor="lime" strokeweight=".25pt">
            <v:textbox inset="0,0,0,0">
              <w:txbxContent>
                <w:p w14:paraId="5B78D5BD" w14:textId="77777777" w:rsidR="004329E6" w:rsidRDefault="004329E6">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תקנות אלה </w:t>
      </w:r>
      <w:r>
        <w:rPr>
          <w:rStyle w:val="default"/>
          <w:rFonts w:cs="FrankRuehl"/>
          <w:rtl/>
        </w:rPr>
        <w:t>—</w:t>
      </w:r>
    </w:p>
    <w:p w14:paraId="5F68BFA6"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ייל" </w:t>
      </w:r>
      <w:r>
        <w:rPr>
          <w:rStyle w:val="default"/>
          <w:rFonts w:cs="FrankRuehl"/>
          <w:rtl/>
        </w:rPr>
        <w:t xml:space="preserve">— </w:t>
      </w:r>
      <w:r>
        <w:rPr>
          <w:rStyle w:val="default"/>
          <w:rFonts w:cs="FrankRuehl" w:hint="cs"/>
          <w:rtl/>
        </w:rPr>
        <w:t>כמשמעותו בסעיף 40(ב1)(1) לחוק;</w:t>
      </w:r>
    </w:p>
    <w:p w14:paraId="508D23A9" w14:textId="77777777" w:rsidR="004329E6" w:rsidRDefault="004329E6">
      <w:pPr>
        <w:pStyle w:val="P00"/>
        <w:spacing w:before="72"/>
        <w:ind w:left="0" w:right="1134"/>
        <w:rPr>
          <w:rStyle w:val="default"/>
          <w:rFonts w:cs="FrankRuehl"/>
          <w:rtl/>
        </w:rPr>
      </w:pPr>
      <w:r>
        <w:rPr>
          <w:lang w:val="he-IL"/>
        </w:rPr>
        <w:pict w14:anchorId="60A5212B">
          <v:rect id="_x0000_s1027" style="position:absolute;left:0;text-align:left;margin-left:464.5pt;margin-top:8.05pt;width:75.05pt;height:8pt;z-index:251648000" o:allowincell="f" filled="f" stroked="f" strokecolor="lime" strokeweight=".25pt">
            <v:textbox inset="0,0,0,0">
              <w:txbxContent>
                <w:p w14:paraId="08B46E0E"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Pr>
          <w:rFonts w:cs="FrankRuehl"/>
          <w:sz w:val="26"/>
          <w:rtl/>
        </w:rPr>
        <w:tab/>
      </w:r>
      <w:r>
        <w:rPr>
          <w:rStyle w:val="default"/>
          <w:rFonts w:cs="FrankRuehl"/>
          <w:rtl/>
        </w:rPr>
        <w:t>"ב</w:t>
      </w:r>
      <w:r>
        <w:rPr>
          <w:rStyle w:val="default"/>
          <w:rFonts w:cs="FrankRuehl" w:hint="cs"/>
          <w:rtl/>
        </w:rPr>
        <w:t xml:space="preserve">ן משפחה" </w:t>
      </w:r>
      <w:r>
        <w:rPr>
          <w:rStyle w:val="default"/>
          <w:rFonts w:cs="FrankRuehl"/>
          <w:rtl/>
        </w:rPr>
        <w:t xml:space="preserve">— </w:t>
      </w:r>
      <w:r>
        <w:rPr>
          <w:rStyle w:val="default"/>
          <w:rFonts w:cs="FrankRuehl" w:hint="cs"/>
          <w:rtl/>
        </w:rPr>
        <w:t>כל אחד מאלה:</w:t>
      </w:r>
    </w:p>
    <w:p w14:paraId="519DFADC" w14:textId="77777777" w:rsidR="004329E6" w:rsidRDefault="004329E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ן זוג, ילדים או הורים של חייל;</w:t>
      </w:r>
    </w:p>
    <w:p w14:paraId="34ADBC6A" w14:textId="77777777" w:rsidR="004329E6" w:rsidRDefault="004329E6">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 או אחות של חייל שנתקיימו בהם שניים אלה:</w:t>
      </w:r>
    </w:p>
    <w:p w14:paraId="0821F6F8" w14:textId="77777777" w:rsidR="004329E6" w:rsidRDefault="004329E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עדה רפואית קבעה לפי סעיף 5(ג) לחוק שירות בטחון [נוסח משולב], תשמ"ו</w:t>
      </w:r>
      <w:r>
        <w:rPr>
          <w:rStyle w:val="default"/>
          <w:rFonts w:cs="FrankRuehl"/>
          <w:rtl/>
        </w:rPr>
        <w:t xml:space="preserve">–1986, </w:t>
      </w:r>
      <w:r>
        <w:rPr>
          <w:rStyle w:val="default"/>
          <w:rFonts w:cs="FrankRuehl" w:hint="cs"/>
          <w:rtl/>
        </w:rPr>
        <w:t>כי הם בל</w:t>
      </w:r>
      <w:r>
        <w:rPr>
          <w:rStyle w:val="default"/>
          <w:rFonts w:cs="FrankRuehl"/>
          <w:rtl/>
        </w:rPr>
        <w:t>ת</w:t>
      </w:r>
      <w:r>
        <w:rPr>
          <w:rStyle w:val="default"/>
          <w:rFonts w:cs="FrankRuehl" w:hint="cs"/>
          <w:rtl/>
        </w:rPr>
        <w:t>י</w:t>
      </w:r>
      <w:r>
        <w:rPr>
          <w:rFonts w:cs="FrankRuehl"/>
          <w:sz w:val="26"/>
          <w:rtl/>
        </w:rPr>
        <w:t> </w:t>
      </w:r>
      <w:r>
        <w:rPr>
          <w:rStyle w:val="default"/>
          <w:rFonts w:cs="FrankRuehl"/>
          <w:rtl/>
        </w:rPr>
        <w:t xml:space="preserve"> כ</w:t>
      </w:r>
      <w:r>
        <w:rPr>
          <w:rStyle w:val="default"/>
          <w:rFonts w:cs="FrankRuehl" w:hint="cs"/>
          <w:rtl/>
        </w:rPr>
        <w:t>שירים לשירות;</w:t>
      </w:r>
    </w:p>
    <w:p w14:paraId="1A0C2E03" w14:textId="77777777" w:rsidR="004329E6" w:rsidRDefault="004329E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כנסתם מהמקורות המפורטים בסעיף 2 לפקודת מס הכנסה אינה עולה על סכום השווה לפעמיים השכר הממוצע כמשמעותו בחוק הביטוח הלאומי [נוסח משולב], תשכ"ח</w:t>
      </w:r>
      <w:r>
        <w:rPr>
          <w:rStyle w:val="default"/>
          <w:rFonts w:cs="FrankRuehl"/>
          <w:rtl/>
        </w:rPr>
        <w:t xml:space="preserve">–1968, </w:t>
      </w:r>
      <w:r>
        <w:rPr>
          <w:rStyle w:val="default"/>
          <w:rFonts w:cs="FrankRuehl" w:hint="cs"/>
          <w:rtl/>
        </w:rPr>
        <w:t xml:space="preserve">אם יש לו שלושה ילדים, ובתוספת סכום השווה למחצית השכר הממוצע כאמור </w:t>
      </w:r>
      <w:r>
        <w:rPr>
          <w:rStyle w:val="default"/>
          <w:rFonts w:cs="FrankRuehl"/>
          <w:rtl/>
        </w:rPr>
        <w:t xml:space="preserve">— </w:t>
      </w:r>
      <w:r>
        <w:rPr>
          <w:rStyle w:val="default"/>
          <w:rFonts w:cs="FrankRuehl" w:hint="cs"/>
          <w:rtl/>
        </w:rPr>
        <w:t>בעד כל ילד נוסף;</w:t>
      </w:r>
    </w:p>
    <w:p w14:paraId="604DD91E"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ענקה" </w:t>
      </w:r>
      <w:r>
        <w:rPr>
          <w:rStyle w:val="default"/>
          <w:rFonts w:cs="FrankRuehl"/>
          <w:rtl/>
        </w:rPr>
        <w:t xml:space="preserve">— </w:t>
      </w:r>
      <w:r>
        <w:rPr>
          <w:rStyle w:val="default"/>
          <w:rFonts w:cs="FrankRuehl" w:hint="cs"/>
          <w:rtl/>
        </w:rPr>
        <w:t>תשלום חדש</w:t>
      </w:r>
      <w:r>
        <w:rPr>
          <w:rStyle w:val="default"/>
          <w:rFonts w:cs="FrankRuehl"/>
          <w:rtl/>
        </w:rPr>
        <w:t xml:space="preserve">י </w:t>
      </w:r>
      <w:r>
        <w:rPr>
          <w:rStyle w:val="default"/>
          <w:rFonts w:cs="FrankRuehl" w:hint="cs"/>
          <w:rtl/>
        </w:rPr>
        <w:t>לחייל או לבן-משפחה בעד ילדיהם;</w:t>
      </w:r>
    </w:p>
    <w:p w14:paraId="258F3E4C"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לד" </w:t>
      </w:r>
      <w:r>
        <w:rPr>
          <w:rStyle w:val="default"/>
          <w:rFonts w:cs="FrankRuehl"/>
          <w:rtl/>
        </w:rPr>
        <w:t xml:space="preserve">— </w:t>
      </w:r>
      <w:r>
        <w:rPr>
          <w:rStyle w:val="default"/>
          <w:rFonts w:cs="FrankRuehl" w:hint="cs"/>
          <w:rtl/>
        </w:rPr>
        <w:t xml:space="preserve">לרבות </w:t>
      </w:r>
      <w:r>
        <w:rPr>
          <w:rStyle w:val="default"/>
          <w:rFonts w:cs="FrankRuehl"/>
          <w:rtl/>
        </w:rPr>
        <w:t>—</w:t>
      </w:r>
    </w:p>
    <w:p w14:paraId="0355C0C1" w14:textId="77777777" w:rsidR="004329E6" w:rsidRDefault="004329E6">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לד חורג או ילד מאומץ;</w:t>
      </w:r>
    </w:p>
    <w:p w14:paraId="0BD0691C" w14:textId="77777777" w:rsidR="004329E6" w:rsidRDefault="004329E6">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כד שכל פרנסתו על החייל או על בן-המשפחה;</w:t>
      </w:r>
    </w:p>
    <w:p w14:paraId="555D051A" w14:textId="77777777" w:rsidR="004329E6" w:rsidRDefault="004329E6">
      <w:pPr>
        <w:pStyle w:val="P00"/>
        <w:spacing w:before="72"/>
        <w:ind w:left="0" w:right="1134"/>
        <w:rPr>
          <w:rFonts w:cs="FrankRuehl"/>
          <w:sz w:val="26"/>
          <w:rtl/>
        </w:rPr>
      </w:pPr>
      <w:r>
        <w:rPr>
          <w:rFonts w:cs="FrankRuehl"/>
          <w:sz w:val="26"/>
          <w:rtl/>
        </w:rPr>
        <w:t>------------</w:t>
      </w:r>
    </w:p>
    <w:p w14:paraId="6C999D8B"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(16)</w:t>
      </w:r>
      <w:r>
        <w:rPr>
          <w:rFonts w:cs="FrankRuehl"/>
          <w:rtl/>
        </w:rPr>
        <w:t> </w:t>
      </w:r>
      <w:r>
        <w:rPr>
          <w:rFonts w:cs="FrankRuehl"/>
          <w:rtl/>
        </w:rPr>
        <w:t>פו</w:t>
      </w:r>
      <w:r>
        <w:rPr>
          <w:rFonts w:cs="FrankRuehl" w:hint="cs"/>
          <w:rtl/>
        </w:rPr>
        <w:t>רסמו ק"ת מס' 2605 מיום כ"ה באב תש"ל (27.8.1970) עמ' 2180.</w:t>
      </w:r>
    </w:p>
    <w:p w14:paraId="5C3DDB4D"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קנו ק"ת מס' 2783 מיום כ"ד בכסלו תשל"ב (12.12.1971) עמ'</w:t>
      </w:r>
      <w:r>
        <w:rPr>
          <w:rFonts w:cs="FrankRuehl"/>
          <w:rtl/>
        </w:rPr>
        <w:t xml:space="preserve"> 382.</w:t>
      </w:r>
    </w:p>
    <w:p w14:paraId="4C12F1EA"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3022 מיום כ"א בסיון תשל"ג (21.6.1973) עמ' 1519.</w:t>
      </w:r>
    </w:p>
    <w:p w14:paraId="0DD768CA"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3150 מיום ד' בניסן תשל"ד (27.3.1974) עמ' 832.</w:t>
      </w:r>
    </w:p>
    <w:p w14:paraId="1BDBCB80"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3193 מיום י"ב בתמוז תשל"ד (2.7.1974) עמ' 1420.</w:t>
      </w:r>
    </w:p>
    <w:p w14:paraId="5A1AB73A"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3298 מיום י"ד באדר תשל"ה (25.2.1975) עמ' 1001.</w:t>
      </w:r>
    </w:p>
    <w:p w14:paraId="4DF42215"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337</w:t>
      </w:r>
      <w:r>
        <w:rPr>
          <w:rFonts w:cs="FrankRuehl"/>
          <w:rtl/>
        </w:rPr>
        <w:t xml:space="preserve">7 </w:t>
      </w:r>
      <w:r>
        <w:rPr>
          <w:rFonts w:cs="FrankRuehl" w:hint="cs"/>
          <w:rtl/>
        </w:rPr>
        <w:t>מיום כ"ג באב תשל"</w:t>
      </w:r>
      <w:r>
        <w:rPr>
          <w:rFonts w:cs="FrankRuehl"/>
          <w:rtl/>
        </w:rPr>
        <w:t xml:space="preserve">ה (31.7.1975) </w:t>
      </w:r>
      <w:r>
        <w:rPr>
          <w:rFonts w:cs="FrankRuehl" w:hint="cs"/>
          <w:rtl/>
        </w:rPr>
        <w:t>עמ' 2413.</w:t>
      </w:r>
    </w:p>
    <w:p w14:paraId="29CC5CB1"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3644 מיום ט' בטבת תשל"ז (30.12.1976) עמ' 643.</w:t>
      </w:r>
    </w:p>
    <w:p w14:paraId="200CBCB5"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תשמ"ג מס' 4478 מיום 1.4.1983 עמ' 1069.</w:t>
      </w:r>
    </w:p>
    <w:p w14:paraId="23B02D65"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תשמ"ד מס' 4665 מיום 12.7.1984 עמ' 1955.</w:t>
      </w:r>
    </w:p>
    <w:p w14:paraId="38CA33AA" w14:textId="77777777" w:rsidR="004329E6" w:rsidRDefault="004329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תשמ"ז מס' 5052 מיום 3.9.1987 עמ' 1255; תחילתן באחד בחודש שלאחר פרסומ</w:t>
      </w:r>
      <w:r>
        <w:rPr>
          <w:rFonts w:cs="FrankRuehl"/>
          <w:rtl/>
        </w:rPr>
        <w:t>ן</w:t>
      </w:r>
      <w:r>
        <w:rPr>
          <w:rFonts w:cs="FrankRuehl" w:hint="cs"/>
          <w:rtl/>
        </w:rPr>
        <w:t>.</w:t>
      </w:r>
    </w:p>
    <w:p w14:paraId="402CCE89" w14:textId="77777777" w:rsidR="004329E6" w:rsidRDefault="004329E6">
      <w:pPr>
        <w:pStyle w:val="page"/>
        <w:widowControl/>
        <w:ind w:right="1134"/>
        <w:rPr>
          <w:rFonts w:cs="David"/>
          <w:position w:val="0"/>
          <w:sz w:val="22"/>
          <w:rtl/>
        </w:rPr>
      </w:pPr>
      <w:r>
        <w:rPr>
          <w:rFonts w:cs="David"/>
          <w:position w:val="0"/>
          <w:sz w:val="22"/>
          <w:rtl/>
        </w:rPr>
        <w:t xml:space="preserve"> </w:t>
      </w:r>
    </w:p>
    <w:p w14:paraId="11FC2614" w14:textId="77777777" w:rsidR="004329E6" w:rsidRDefault="004329E6">
      <w:pPr>
        <w:pStyle w:val="P22"/>
        <w:spacing w:before="72"/>
        <w:ind w:left="1021" w:right="1134"/>
        <w:rPr>
          <w:rStyle w:val="default"/>
          <w:rFonts w:cs="FrankRuehl"/>
          <w:rtl/>
        </w:rPr>
      </w:pPr>
      <w:r>
        <w:rPr>
          <w:lang w:val="he-IL"/>
        </w:rPr>
        <w:pict w14:anchorId="39F64FE1">
          <v:rect id="_x0000_s1028" style="position:absolute;left:0;text-align:left;margin-left:464.5pt;margin-top:8.05pt;width:75.05pt;height:16pt;z-index:251649024" o:allowincell="f" filled="f" stroked="f" strokecolor="lime" strokeweight=".25pt">
            <v:textbox inset="0,0,0,0">
              <w:txbxContent>
                <w:p w14:paraId="3D3AF08A"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192AADEF" w14:textId="77777777" w:rsidR="004329E6" w:rsidRDefault="004329E6">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Style w:val="default"/>
          <w:rFonts w:cs="FrankRuehl"/>
          <w:rtl/>
        </w:rPr>
        <w:t>(3)</w:t>
      </w:r>
      <w:r>
        <w:rPr>
          <w:rStyle w:val="default"/>
          <w:rFonts w:cs="FrankRuehl"/>
          <w:rtl/>
        </w:rPr>
        <w:tab/>
        <w:t>מ</w:t>
      </w:r>
      <w:r>
        <w:rPr>
          <w:rStyle w:val="default"/>
          <w:rFonts w:cs="FrankRuehl" w:hint="cs"/>
          <w:rtl/>
        </w:rPr>
        <w:t>י שאינו ילדו, אם הוכח כי בתקופה של שנים-עשר חדשים פרנסתו היתה על החייל או על בן-המשפחה;</w:t>
      </w:r>
    </w:p>
    <w:p w14:paraId="114D8B9C" w14:textId="77777777" w:rsidR="004329E6" w:rsidRDefault="004329E6">
      <w:pPr>
        <w:pStyle w:val="P11"/>
        <w:spacing w:before="72"/>
        <w:ind w:left="624" w:right="1134"/>
        <w:rPr>
          <w:rStyle w:val="default"/>
          <w:rFonts w:cs="FrankRuehl"/>
          <w:rtl/>
        </w:rPr>
      </w:pPr>
      <w:r>
        <w:rPr>
          <w:rStyle w:val="default"/>
          <w:rFonts w:cs="FrankRuehl"/>
          <w:rtl/>
        </w:rPr>
        <w:t>ול</w:t>
      </w:r>
      <w:r>
        <w:rPr>
          <w:rStyle w:val="default"/>
          <w:rFonts w:cs="FrankRuehl" w:hint="cs"/>
          <w:rtl/>
        </w:rPr>
        <w:t>מעט נערה נשואה, ובלבד שהילד נמצא בישראל ולא מלאו לו שמונה עשרה שנה.</w:t>
      </w:r>
    </w:p>
    <w:p w14:paraId="66F197F1" w14:textId="77777777" w:rsidR="004329E6" w:rsidRDefault="004329E6">
      <w:pPr>
        <w:pStyle w:val="P11"/>
        <w:spacing w:before="72"/>
        <w:ind w:left="624"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מונחים "אב" ו"אם" יתפרשו בהתאם לכך.</w:t>
      </w:r>
    </w:p>
    <w:p w14:paraId="5D5EE233"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יראו ילד כנמצא בחוץ-לארץ אם יצא את י</w:t>
      </w:r>
      <w:r>
        <w:rPr>
          <w:rStyle w:val="default"/>
          <w:rFonts w:cs="FrankRuehl"/>
          <w:rtl/>
        </w:rPr>
        <w:t>שר</w:t>
      </w:r>
      <w:r>
        <w:rPr>
          <w:rStyle w:val="default"/>
          <w:rFonts w:cs="FrankRuehl" w:hint="cs"/>
          <w:rtl/>
        </w:rPr>
        <w:t xml:space="preserve">אל לתקופה שאינה עולה על ששה חדשים, ואולם מי שהוסמך לבצע את תשלום ההענקה (להלן </w:t>
      </w:r>
      <w:r>
        <w:rPr>
          <w:rStyle w:val="default"/>
          <w:rFonts w:cs="FrankRuehl"/>
          <w:rtl/>
        </w:rPr>
        <w:t xml:space="preserve">— </w:t>
      </w:r>
      <w:r>
        <w:rPr>
          <w:rStyle w:val="default"/>
          <w:rFonts w:cs="FrankRuehl" w:hint="cs"/>
          <w:rtl/>
        </w:rPr>
        <w:t>הגוף המוסמך) רשאי לראותו כאילו הוא בישראל גם אם יצא את ישראל לתקופה העולה על ששה חדשים.</w:t>
      </w:r>
    </w:p>
    <w:p w14:paraId="1C189CB7" w14:textId="77777777" w:rsidR="004329E6" w:rsidRDefault="004329E6">
      <w:pPr>
        <w:pStyle w:val="P00"/>
        <w:spacing w:before="72"/>
        <w:ind w:left="0" w:right="1134"/>
        <w:rPr>
          <w:rStyle w:val="default"/>
          <w:rFonts w:cs="FrankRuehl"/>
          <w:rtl/>
        </w:rPr>
      </w:pPr>
      <w:bookmarkStart w:id="1" w:name="Seif1"/>
      <w:bookmarkEnd w:id="1"/>
      <w:r>
        <w:rPr>
          <w:lang w:val="he-IL"/>
        </w:rPr>
        <w:pict w14:anchorId="39633BBD">
          <v:rect id="_x0000_s1029" style="position:absolute;left:0;text-align:left;margin-left:464.5pt;margin-top:8.05pt;width:75.05pt;height:16pt;z-index:251650048" o:allowincell="f" filled="f" stroked="f" strokecolor="lime" strokeweight=".25pt">
            <v:textbox inset="0,0,0,0">
              <w:txbxContent>
                <w:p w14:paraId="091D6708" w14:textId="77777777" w:rsidR="004329E6" w:rsidRDefault="004329E6">
                  <w:pPr>
                    <w:spacing w:line="160" w:lineRule="exact"/>
                    <w:jc w:val="left"/>
                    <w:rPr>
                      <w:rFonts w:cs="Miriam"/>
                      <w:noProof/>
                      <w:sz w:val="18"/>
                      <w:szCs w:val="18"/>
                      <w:rtl/>
                    </w:rPr>
                  </w:pPr>
                  <w:r>
                    <w:rPr>
                      <w:rFonts w:cs="Miriam"/>
                      <w:sz w:val="18"/>
                      <w:szCs w:val="18"/>
                      <w:rtl/>
                    </w:rPr>
                    <w:t>הז</w:t>
                  </w:r>
                  <w:r>
                    <w:rPr>
                      <w:rFonts w:cs="Miriam" w:hint="cs"/>
                      <w:sz w:val="18"/>
                      <w:szCs w:val="18"/>
                      <w:rtl/>
                    </w:rPr>
                    <w:t>כאים להענקה</w:t>
                  </w:r>
                </w:p>
                <w:p w14:paraId="4806604B"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–1975</w:t>
                  </w:r>
                </w:p>
              </w:txbxContent>
            </v:textbox>
            <w10:anchorlock/>
          </v:rect>
        </w:pict>
      </w:r>
      <w:r>
        <w:rPr>
          <w:rStyle w:val="big-number"/>
          <w:rFonts w:cs="Miriam"/>
          <w:rtl/>
        </w:rPr>
        <w:t>2.</w:t>
      </w:r>
      <w:r>
        <w:rPr>
          <w:rStyle w:val="big-number"/>
          <w:rFonts w:cs="Miriam"/>
          <w:rtl/>
        </w:rPr>
        <w:tab/>
      </w:r>
      <w:r>
        <w:rPr>
          <w:rStyle w:val="default"/>
          <w:rFonts w:cs="FrankRuehl"/>
          <w:rtl/>
        </w:rPr>
        <w:t>חי</w:t>
      </w:r>
      <w:r>
        <w:rPr>
          <w:rStyle w:val="default"/>
          <w:rFonts w:cs="FrankRuehl" w:hint="cs"/>
          <w:rtl/>
        </w:rPr>
        <w:t xml:space="preserve">יל או בן משפחה זכאים להענקה בעד ילדם השלישי ובעד כל ילד נוסף כל זמן שיש להם עוד </w:t>
      </w:r>
      <w:r>
        <w:rPr>
          <w:rStyle w:val="default"/>
          <w:rFonts w:cs="FrankRuehl"/>
          <w:rtl/>
        </w:rPr>
        <w:t>שנ</w:t>
      </w:r>
      <w:r>
        <w:rPr>
          <w:rStyle w:val="default"/>
          <w:rFonts w:cs="FrankRuehl" w:hint="cs"/>
          <w:rtl/>
        </w:rPr>
        <w:t>י ילדים בכירים מהם.</w:t>
      </w:r>
    </w:p>
    <w:p w14:paraId="7740D851" w14:textId="77777777" w:rsidR="004329E6" w:rsidRDefault="004329E6">
      <w:pPr>
        <w:pStyle w:val="P00"/>
        <w:spacing w:before="72"/>
        <w:ind w:left="0" w:right="1134"/>
        <w:rPr>
          <w:rStyle w:val="default"/>
          <w:rFonts w:cs="FrankRuehl"/>
          <w:rtl/>
        </w:rPr>
      </w:pPr>
      <w:bookmarkStart w:id="2" w:name="Seif2"/>
      <w:bookmarkEnd w:id="2"/>
      <w:r>
        <w:rPr>
          <w:lang w:val="he-IL"/>
        </w:rPr>
        <w:pict w14:anchorId="2EF782B3">
          <v:rect id="_x0000_s1030" style="position:absolute;left:0;text-align:left;margin-left:464.5pt;margin-top:8.05pt;width:75.05pt;height:24pt;z-index:251651072" o:allowincell="f" filled="f" stroked="f" strokecolor="lime" strokeweight=".25pt">
            <v:textbox inset="0,0,0,0">
              <w:txbxContent>
                <w:p w14:paraId="67BA1D0F" w14:textId="77777777" w:rsidR="004329E6" w:rsidRDefault="004329E6">
                  <w:pPr>
                    <w:spacing w:line="160" w:lineRule="exact"/>
                    <w:jc w:val="left"/>
                    <w:rPr>
                      <w:rFonts w:cs="Miriam"/>
                      <w:noProof/>
                      <w:sz w:val="18"/>
                      <w:szCs w:val="18"/>
                      <w:rtl/>
                    </w:rPr>
                  </w:pPr>
                  <w:r>
                    <w:rPr>
                      <w:rFonts w:cs="Miriam"/>
                      <w:sz w:val="18"/>
                      <w:szCs w:val="18"/>
                      <w:rtl/>
                    </w:rPr>
                    <w:t>מנ</w:t>
                  </w:r>
                  <w:r>
                    <w:rPr>
                      <w:rFonts w:cs="Miriam" w:hint="cs"/>
                      <w:sz w:val="18"/>
                      <w:szCs w:val="18"/>
                      <w:rtl/>
                    </w:rPr>
                    <w:t>ין הילדים</w:t>
                  </w:r>
                </w:p>
                <w:p w14:paraId="69F9BADD"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2C829823" w14:textId="77777777" w:rsidR="004329E6" w:rsidRDefault="004329E6">
                  <w:pPr>
                    <w:spacing w:line="160" w:lineRule="exact"/>
                    <w:jc w:val="left"/>
                    <w:rPr>
                      <w:rFonts w:cs="Miriam"/>
                      <w:noProof/>
                      <w:sz w:val="18"/>
                      <w:szCs w:val="18"/>
                      <w:rtl/>
                    </w:rPr>
                  </w:pPr>
                  <w:r>
                    <w:rPr>
                      <w:rFonts w:cs="Miriam"/>
                      <w:sz w:val="18"/>
                      <w:szCs w:val="18"/>
                      <w:rtl/>
                    </w:rPr>
                    <w:t>תשל"</w:t>
                  </w:r>
                  <w:r>
                    <w:rPr>
                      <w:rFonts w:cs="Miriam" w:hint="cs"/>
                      <w:sz w:val="18"/>
                      <w:szCs w:val="18"/>
                      <w:rtl/>
                    </w:rPr>
                    <w:t>ה</w:t>
                  </w:r>
                  <w:r>
                    <w:rPr>
                      <w:rFonts w:cs="Miriam"/>
                      <w:sz w:val="18"/>
                      <w:szCs w:val="18"/>
                      <w:rtl/>
                    </w:rPr>
                    <w:t>–1975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יבוא ילד בפרק זמן אחד במנין ילדים של יותר מזכאי אחד.</w:t>
      </w:r>
    </w:p>
    <w:p w14:paraId="0DB79257"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לד שיש לו שני הורים יבוא במנין האב הזכאי זולת אם הוא</w:t>
      </w:r>
      <w:r>
        <w:rPr>
          <w:rStyle w:val="default"/>
          <w:rFonts w:cs="FrankRuehl"/>
          <w:rtl/>
        </w:rPr>
        <w:t xml:space="preserve"> </w:t>
      </w:r>
      <w:r>
        <w:rPr>
          <w:rStyle w:val="default"/>
          <w:rFonts w:cs="FrankRuehl" w:hint="cs"/>
          <w:rtl/>
        </w:rPr>
        <w:t>נמצא עם האם בלבד.</w:t>
      </w:r>
    </w:p>
    <w:p w14:paraId="5675D145" w14:textId="77777777" w:rsidR="004329E6" w:rsidRDefault="004329E6">
      <w:pPr>
        <w:pStyle w:val="P00"/>
        <w:spacing w:before="72"/>
        <w:ind w:left="0" w:right="1134"/>
        <w:rPr>
          <w:rStyle w:val="default"/>
          <w:rFonts w:cs="FrankRuehl"/>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לד שיש לו הורה טבעי והורה אחר </w:t>
      </w:r>
      <w:r>
        <w:rPr>
          <w:rStyle w:val="default"/>
          <w:rFonts w:cs="FrankRuehl"/>
          <w:rtl/>
        </w:rPr>
        <w:t xml:space="preserve">— </w:t>
      </w:r>
      <w:r>
        <w:rPr>
          <w:rStyle w:val="default"/>
          <w:rFonts w:cs="FrankRuehl" w:hint="cs"/>
          <w:rtl/>
        </w:rPr>
        <w:t>יבוא במנין ילדי ההורה הזכאי שעמו הוא נמצא.</w:t>
      </w:r>
    </w:p>
    <w:p w14:paraId="00EA30B7" w14:textId="77777777" w:rsidR="004329E6" w:rsidRDefault="004329E6">
      <w:pPr>
        <w:pStyle w:val="P00"/>
        <w:spacing w:before="72"/>
        <w:ind w:left="0" w:right="1134"/>
        <w:rPr>
          <w:rStyle w:val="default"/>
          <w:rFonts w:cs="FrankRuehl"/>
          <w:rtl/>
        </w:rPr>
      </w:pPr>
      <w:bookmarkStart w:id="3" w:name="Seif3"/>
      <w:bookmarkEnd w:id="3"/>
      <w:r>
        <w:rPr>
          <w:lang w:val="he-IL"/>
        </w:rPr>
        <w:pict w14:anchorId="685DD9FA">
          <v:rect id="_x0000_s1031" style="position:absolute;left:0;text-align:left;margin-left:464.5pt;margin-top:8.05pt;width:75.05pt;height:16pt;z-index:251652096" o:allowincell="f" filled="f" stroked="f" strokecolor="lime" strokeweight=".25pt">
            <v:textbox inset="0,0,0,0">
              <w:txbxContent>
                <w:p w14:paraId="639BF98D" w14:textId="77777777" w:rsidR="004329E6" w:rsidRDefault="004329E6">
                  <w:pPr>
                    <w:spacing w:line="160" w:lineRule="exact"/>
                    <w:jc w:val="left"/>
                    <w:rPr>
                      <w:rFonts w:cs="Miriam"/>
                      <w:noProof/>
                      <w:sz w:val="18"/>
                      <w:szCs w:val="18"/>
                      <w:rtl/>
                    </w:rPr>
                  </w:pPr>
                  <w:r>
                    <w:rPr>
                      <w:rFonts w:cs="Miriam"/>
                      <w:sz w:val="18"/>
                      <w:szCs w:val="18"/>
                      <w:rtl/>
                    </w:rPr>
                    <w:t>שי</w:t>
                  </w:r>
                  <w:r>
                    <w:rPr>
                      <w:rFonts w:cs="Miriam" w:hint="cs"/>
                      <w:sz w:val="18"/>
                      <w:szCs w:val="18"/>
                      <w:rtl/>
                    </w:rPr>
                    <w:t>עורי הענקה</w:t>
                  </w:r>
                </w:p>
                <w:p w14:paraId="71C18424"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יעו</w:t>
      </w:r>
      <w:r>
        <w:rPr>
          <w:rStyle w:val="default"/>
          <w:rFonts w:cs="FrankRuehl"/>
          <w:rtl/>
        </w:rPr>
        <w:t>רי</w:t>
      </w:r>
      <w:r>
        <w:rPr>
          <w:rStyle w:val="default"/>
          <w:rFonts w:cs="FrankRuehl" w:hint="cs"/>
          <w:rtl/>
        </w:rPr>
        <w:t xml:space="preserve"> ההענקה לילד (להלן </w:t>
      </w:r>
      <w:r>
        <w:rPr>
          <w:rStyle w:val="default"/>
          <w:rFonts w:cs="FrankRuehl"/>
          <w:rtl/>
        </w:rPr>
        <w:t xml:space="preserve">— </w:t>
      </w:r>
      <w:r>
        <w:rPr>
          <w:rStyle w:val="default"/>
          <w:rFonts w:cs="FrankRuehl" w:hint="cs"/>
          <w:rtl/>
        </w:rPr>
        <w:t>בר-הענקה), יהיו כלהלן:</w:t>
      </w:r>
    </w:p>
    <w:p w14:paraId="335B9E7E" w14:textId="77777777" w:rsidR="004329E6" w:rsidRDefault="004329E6">
      <w:pPr>
        <w:pStyle w:val="P44"/>
        <w:spacing w:before="72"/>
        <w:ind w:left="1928" w:right="1134"/>
        <w:rPr>
          <w:rStyle w:val="default"/>
          <w:rFonts w:cs="FrankRuehl"/>
          <w:rtl/>
        </w:rPr>
      </w:pPr>
      <w:r w:rsidRPr="004329E6">
        <w:rPr>
          <w:rStyle w:val="default"/>
          <w:rFonts w:cs="FrankRuehl"/>
          <w:u w:val="single"/>
          <w:rtl/>
        </w:rPr>
        <w:t>הי</w:t>
      </w:r>
      <w:r w:rsidRPr="004329E6">
        <w:rPr>
          <w:rStyle w:val="default"/>
          <w:rFonts w:cs="FrankRuehl" w:hint="cs"/>
          <w:u w:val="single"/>
          <w:rtl/>
        </w:rPr>
        <w:t>לד</w:t>
      </w:r>
      <w:r>
        <w:rPr>
          <w:rStyle w:val="default"/>
          <w:rFonts w:cs="FrankRuehl" w:hint="cs"/>
          <w:rtl/>
        </w:rPr>
        <w:tab/>
      </w:r>
      <w:r>
        <w:rPr>
          <w:rStyle w:val="default"/>
          <w:rFonts w:cs="FrankRuehl" w:hint="cs"/>
          <w:rtl/>
        </w:rPr>
        <w:tab/>
      </w:r>
      <w:r>
        <w:rPr>
          <w:rStyle w:val="default"/>
          <w:rFonts w:cs="FrankRuehl" w:hint="cs"/>
          <w:rtl/>
        </w:rPr>
        <w:tab/>
        <w:t xml:space="preserve">                                         </w:t>
      </w:r>
      <w:r w:rsidRPr="004329E6">
        <w:rPr>
          <w:rStyle w:val="default"/>
          <w:rFonts w:cs="FrankRuehl" w:hint="cs"/>
          <w:u w:val="single"/>
          <w:rtl/>
        </w:rPr>
        <w:t>נקודות קיצבה</w:t>
      </w:r>
    </w:p>
    <w:p w14:paraId="5CDC2296" w14:textId="77777777" w:rsidR="004329E6" w:rsidRDefault="004329E6">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 xml:space="preserve">1. </w:t>
      </w:r>
      <w:r>
        <w:rPr>
          <w:rStyle w:val="default"/>
          <w:rFonts w:cs="FrankRuehl"/>
          <w:rtl/>
        </w:rPr>
        <w:tab/>
        <w:t>ה</w:t>
      </w:r>
      <w:r>
        <w:rPr>
          <w:rStyle w:val="default"/>
          <w:rFonts w:cs="FrankRuehl" w:hint="cs"/>
          <w:rtl/>
        </w:rPr>
        <w:t>שלישי</w:t>
      </w:r>
      <w:r>
        <w:rPr>
          <w:rFonts w:cs="FrankRuehl"/>
          <w:sz w:val="26"/>
          <w:rtl/>
        </w:rPr>
        <w:t> </w:t>
      </w:r>
      <w:r>
        <w:rPr>
          <w:rFonts w:cs="FrankRuehl" w:hint="cs"/>
          <w:sz w:val="26"/>
          <w:rtl/>
        </w:rPr>
        <w:tab/>
      </w:r>
      <w:r>
        <w:rPr>
          <w:rFonts w:cs="FrankRuehl" w:hint="cs"/>
          <w:sz w:val="26"/>
          <w:rtl/>
        </w:rPr>
        <w:tab/>
        <w:t xml:space="preserve">                                                         </w:t>
      </w:r>
      <w:r>
        <w:rPr>
          <w:rStyle w:val="default"/>
          <w:rFonts w:cs="FrankRuehl"/>
          <w:rtl/>
        </w:rPr>
        <w:t>3/4</w:t>
      </w:r>
    </w:p>
    <w:p w14:paraId="0427BF88" w14:textId="77777777" w:rsidR="004329E6" w:rsidRDefault="004329E6">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2.</w:t>
      </w:r>
      <w:r>
        <w:rPr>
          <w:rStyle w:val="default"/>
          <w:rFonts w:cs="FrankRuehl"/>
          <w:rtl/>
        </w:rPr>
        <w:tab/>
        <w:t>ה</w:t>
      </w:r>
      <w:r>
        <w:rPr>
          <w:rStyle w:val="default"/>
          <w:rFonts w:cs="FrankRuehl" w:hint="cs"/>
          <w:rtl/>
        </w:rPr>
        <w:t>רביעי</w:t>
      </w:r>
      <w:r>
        <w:rPr>
          <w:rFonts w:cs="FrankRuehl" w:hint="cs"/>
          <w:sz w:val="26"/>
          <w:rtl/>
        </w:rPr>
        <w:tab/>
      </w:r>
      <w:r>
        <w:rPr>
          <w:rFonts w:cs="FrankRuehl" w:hint="cs"/>
          <w:sz w:val="26"/>
          <w:rtl/>
        </w:rPr>
        <w:tab/>
        <w:t xml:space="preserve">                                                          </w:t>
      </w:r>
      <w:r>
        <w:rPr>
          <w:rFonts w:cs="FrankRuehl"/>
          <w:sz w:val="26"/>
          <w:rtl/>
        </w:rPr>
        <w:t> </w:t>
      </w:r>
      <w:r>
        <w:rPr>
          <w:rStyle w:val="default"/>
          <w:rFonts w:cs="FrankRuehl"/>
          <w:rtl/>
        </w:rPr>
        <w:t>2</w:t>
      </w:r>
    </w:p>
    <w:p w14:paraId="03EB76E9" w14:textId="77777777" w:rsidR="004329E6" w:rsidRDefault="004329E6">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3.</w:t>
      </w:r>
      <w:r>
        <w:rPr>
          <w:rStyle w:val="default"/>
          <w:rFonts w:cs="FrankRuehl"/>
          <w:rtl/>
        </w:rPr>
        <w:tab/>
        <w:t>ה</w:t>
      </w:r>
      <w:r>
        <w:rPr>
          <w:rStyle w:val="default"/>
          <w:rFonts w:cs="FrankRuehl" w:hint="cs"/>
          <w:rtl/>
        </w:rPr>
        <w:t>חמישי</w:t>
      </w:r>
      <w:r>
        <w:rPr>
          <w:rFonts w:cs="FrankRuehl"/>
          <w:sz w:val="26"/>
          <w:rtl/>
        </w:rPr>
        <w:t> </w:t>
      </w:r>
      <w:r>
        <w:rPr>
          <w:rFonts w:cs="FrankRuehl" w:hint="cs"/>
          <w:sz w:val="26"/>
          <w:rtl/>
        </w:rPr>
        <w:tab/>
      </w:r>
      <w:r>
        <w:rPr>
          <w:rFonts w:cs="FrankRuehl" w:hint="cs"/>
          <w:sz w:val="26"/>
          <w:rtl/>
        </w:rPr>
        <w:tab/>
        <w:t xml:space="preserve">                                                            </w:t>
      </w:r>
      <w:r>
        <w:rPr>
          <w:rStyle w:val="default"/>
          <w:rFonts w:cs="FrankRuehl"/>
          <w:rtl/>
        </w:rPr>
        <w:t>2</w:t>
      </w:r>
    </w:p>
    <w:p w14:paraId="7B3D8C74" w14:textId="77777777" w:rsidR="004329E6" w:rsidRDefault="004329E6">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4.</w:t>
      </w:r>
      <w:r>
        <w:rPr>
          <w:rStyle w:val="default"/>
          <w:rFonts w:cs="FrankRuehl"/>
          <w:rtl/>
        </w:rPr>
        <w:tab/>
        <w:t>ב</w:t>
      </w:r>
      <w:r>
        <w:rPr>
          <w:rStyle w:val="default"/>
          <w:rFonts w:cs="FrankRuehl" w:hint="cs"/>
          <w:rtl/>
        </w:rPr>
        <w:t>עד כל ילד נוסף</w:t>
      </w:r>
      <w:r>
        <w:rPr>
          <w:rFonts w:cs="FrankRuehl"/>
          <w:sz w:val="26"/>
          <w:rtl/>
        </w:rPr>
        <w:t> </w:t>
      </w:r>
      <w:r>
        <w:rPr>
          <w:rFonts w:cs="FrankRuehl" w:hint="cs"/>
          <w:sz w:val="26"/>
          <w:rtl/>
        </w:rPr>
        <w:tab/>
        <w:t xml:space="preserve">                                            </w:t>
      </w:r>
      <w:r>
        <w:rPr>
          <w:rStyle w:val="default"/>
          <w:rFonts w:cs="FrankRuehl"/>
          <w:rtl/>
        </w:rPr>
        <w:t>21/4</w:t>
      </w:r>
    </w:p>
    <w:p w14:paraId="034226BF" w14:textId="77777777" w:rsidR="004329E6" w:rsidRDefault="004329E6">
      <w:pPr>
        <w:pStyle w:val="P00"/>
        <w:spacing w:before="72"/>
        <w:ind w:left="0" w:right="1134"/>
        <w:rPr>
          <w:rStyle w:val="default"/>
          <w:rFonts w:cs="FrankRuehl"/>
          <w:rtl/>
        </w:rPr>
      </w:pPr>
      <w:r>
        <w:rPr>
          <w:lang w:val="he-IL"/>
        </w:rPr>
        <w:pict w14:anchorId="73803A90">
          <v:rect id="_x0000_s1032" style="position:absolute;left:0;text-align:left;margin-left:464.5pt;margin-top:8.05pt;width:75.05pt;height:8pt;z-index:251653120" o:allowincell="f" filled="f" stroked="f" strokecolor="lime" strokeweight=".25pt">
            <v:textbox inset="0,0,0,0">
              <w:txbxContent>
                <w:p w14:paraId="54183448"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שתלמת הענקה בעד ארבעה ילדים או יותר, יוגדל שיעור ההענקה בעד הילד השלישי הקבוע בתקנת משנה (א) ב-1/2 נקודת קיצבה.</w:t>
      </w:r>
    </w:p>
    <w:p w14:paraId="1BD51061" w14:textId="77777777" w:rsidR="004329E6" w:rsidRDefault="004329E6">
      <w:pPr>
        <w:pStyle w:val="P00"/>
        <w:spacing w:before="72"/>
        <w:ind w:left="0" w:right="1134"/>
        <w:rPr>
          <w:rStyle w:val="default"/>
          <w:rFonts w:cs="FrankRuehl"/>
          <w:rtl/>
        </w:rPr>
      </w:pPr>
      <w:r>
        <w:rPr>
          <w:lang w:val="he-IL"/>
        </w:rPr>
        <w:pict w14:anchorId="195391FD">
          <v:rect id="_x0000_s1033" style="position:absolute;left:0;text-align:left;margin-left:464.5pt;margin-top:8.05pt;width:75.05pt;height:8pt;z-index:251654144" o:allowincell="f" filled="f" stroked="f" strokecolor="lime" strokeweight=".25pt">
            <v:textbox inset="0,0,0,0">
              <w:txbxContent>
                <w:p w14:paraId="2A45866F"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תקנה זו, "נקודת קיצבה" </w:t>
      </w:r>
      <w:r>
        <w:rPr>
          <w:rStyle w:val="default"/>
          <w:rFonts w:cs="FrankRuehl"/>
          <w:rtl/>
        </w:rPr>
        <w:t xml:space="preserve">— </w:t>
      </w:r>
      <w:r>
        <w:rPr>
          <w:rStyle w:val="default"/>
          <w:rFonts w:cs="FrankRuehl" w:hint="cs"/>
          <w:rtl/>
        </w:rPr>
        <w:t>כמשמעותה בסעיף 33א לפקודת מס הכנסה.</w:t>
      </w:r>
    </w:p>
    <w:p w14:paraId="57E22C69" w14:textId="77777777" w:rsidR="004329E6" w:rsidRDefault="004329E6">
      <w:pPr>
        <w:pStyle w:val="P00"/>
        <w:spacing w:before="72"/>
        <w:ind w:left="0" w:right="1134"/>
        <w:rPr>
          <w:rStyle w:val="default"/>
          <w:rFonts w:cs="FrankRuehl"/>
          <w:rtl/>
        </w:rPr>
      </w:pPr>
      <w:bookmarkStart w:id="4" w:name="Seif4"/>
      <w:bookmarkEnd w:id="4"/>
      <w:r>
        <w:rPr>
          <w:lang w:val="he-IL"/>
        </w:rPr>
        <w:pict w14:anchorId="36144B23">
          <v:rect id="_x0000_s1034" style="position:absolute;left:0;text-align:left;margin-left:464.5pt;margin-top:8.05pt;width:75.05pt;height:8pt;z-index:251655168" o:allowincell="f" filled="f" stroked="f" strokecolor="lime" strokeweight=".25pt">
            <v:textbox inset="0,0,0,0">
              <w:txbxContent>
                <w:p w14:paraId="520ED1F1" w14:textId="77777777" w:rsidR="004329E6" w:rsidRDefault="004329E6">
                  <w:pPr>
                    <w:spacing w:line="160" w:lineRule="exact"/>
                    <w:jc w:val="left"/>
                    <w:rPr>
                      <w:rFonts w:cs="Miriam"/>
                      <w:noProof/>
                      <w:sz w:val="18"/>
                      <w:szCs w:val="18"/>
                      <w:rtl/>
                    </w:rPr>
                  </w:pPr>
                  <w:r>
                    <w:rPr>
                      <w:rFonts w:cs="Miriam"/>
                      <w:sz w:val="18"/>
                      <w:szCs w:val="18"/>
                      <w:rtl/>
                    </w:rPr>
                    <w:t>מק</w:t>
                  </w:r>
                  <w:r>
                    <w:rPr>
                      <w:rFonts w:cs="Miriam" w:hint="cs"/>
                      <w:sz w:val="18"/>
                      <w:szCs w:val="18"/>
                      <w:rtl/>
                    </w:rPr>
                    <w:t>בל ה</w:t>
                  </w:r>
                  <w:r>
                    <w:rPr>
                      <w:rFonts w:cs="Miriam"/>
                      <w:sz w:val="18"/>
                      <w:szCs w:val="18"/>
                      <w:rtl/>
                    </w:rPr>
                    <w:t>ה</w:t>
                  </w:r>
                  <w:r>
                    <w:rPr>
                      <w:rFonts w:cs="Miriam" w:hint="cs"/>
                      <w:sz w:val="18"/>
                      <w:szCs w:val="18"/>
                      <w:rtl/>
                    </w:rPr>
                    <w:t>ענקה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הענקה תשולם לאמו של בר ההענקה, אולם אם בר-ההענקה נמצא עם האב בלבד תשולם ההענקה לאב; ביקש ההורה שמשתלמת לו ההענקה לשלמה להורה השני </w:t>
      </w:r>
      <w:r>
        <w:rPr>
          <w:rStyle w:val="default"/>
          <w:rFonts w:cs="FrankRuehl"/>
          <w:rtl/>
        </w:rPr>
        <w:t xml:space="preserve">— </w:t>
      </w:r>
      <w:r>
        <w:rPr>
          <w:rStyle w:val="default"/>
          <w:rFonts w:cs="FrankRuehl" w:hint="cs"/>
          <w:rtl/>
        </w:rPr>
        <w:t xml:space="preserve">תשולם ההענקה לפי המבוקש; באין הורים </w:t>
      </w:r>
      <w:r>
        <w:rPr>
          <w:rStyle w:val="default"/>
          <w:rFonts w:cs="FrankRuehl"/>
          <w:rtl/>
        </w:rPr>
        <w:t xml:space="preserve">— </w:t>
      </w:r>
      <w:r>
        <w:rPr>
          <w:rStyle w:val="default"/>
          <w:rFonts w:cs="FrankRuehl" w:hint="cs"/>
          <w:rtl/>
        </w:rPr>
        <w:t>תשו</w:t>
      </w:r>
      <w:r>
        <w:rPr>
          <w:rStyle w:val="default"/>
          <w:rFonts w:cs="FrankRuehl"/>
          <w:rtl/>
        </w:rPr>
        <w:t>לם</w:t>
      </w:r>
      <w:r>
        <w:rPr>
          <w:rStyle w:val="default"/>
          <w:rFonts w:cs="FrankRuehl" w:hint="cs"/>
          <w:rtl/>
        </w:rPr>
        <w:t xml:space="preserve"> ההענקה לאפוטרופוס.</w:t>
      </w:r>
    </w:p>
    <w:p w14:paraId="1ACE9A74" w14:textId="77777777" w:rsidR="004329E6" w:rsidRDefault="004329E6">
      <w:pPr>
        <w:pStyle w:val="page"/>
        <w:widowControl/>
        <w:ind w:right="1134"/>
        <w:rPr>
          <w:rFonts w:cs="David"/>
          <w:position w:val="0"/>
          <w:sz w:val="22"/>
          <w:rtl/>
        </w:rPr>
      </w:pPr>
      <w:r>
        <w:rPr>
          <w:rFonts w:cs="David"/>
          <w:position w:val="0"/>
          <w:sz w:val="22"/>
          <w:rtl/>
        </w:rPr>
        <w:t xml:space="preserve"> </w:t>
      </w:r>
    </w:p>
    <w:p w14:paraId="0308139C"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הגוף המוסמך לשלם את ההענקה למינהלת המקום שבו מוחזק בר-ההענקה וכל החזקתו על אותו המקום.</w:t>
      </w:r>
    </w:p>
    <w:p w14:paraId="67E4F560" w14:textId="77777777" w:rsidR="004329E6" w:rsidRDefault="004329E6">
      <w:pPr>
        <w:pStyle w:val="P00"/>
        <w:spacing w:before="72"/>
        <w:ind w:left="0" w:right="1134"/>
        <w:rPr>
          <w:rStyle w:val="default"/>
          <w:rFonts w:cs="FrankRuehl"/>
          <w:rtl/>
        </w:rPr>
      </w:pPr>
      <w:bookmarkStart w:id="5" w:name="Seif5"/>
      <w:bookmarkEnd w:id="5"/>
      <w:r>
        <w:rPr>
          <w:lang w:val="he-IL"/>
        </w:rPr>
        <w:pict w14:anchorId="43934858">
          <v:rect id="_x0000_s1035" style="position:absolute;left:0;text-align:left;margin-left:464.5pt;margin-top:8.05pt;width:75.05pt;height:32pt;z-index:251656192" o:allowincell="f" filled="f" stroked="f" strokecolor="lime" strokeweight=".25pt">
            <v:textbox inset="0,0,0,0">
              <w:txbxContent>
                <w:p w14:paraId="0C39D09E" w14:textId="77777777" w:rsidR="004329E6" w:rsidRDefault="004329E6">
                  <w:pPr>
                    <w:spacing w:line="160" w:lineRule="exact"/>
                    <w:jc w:val="left"/>
                    <w:rPr>
                      <w:rFonts w:cs="Miriam"/>
                      <w:noProof/>
                      <w:sz w:val="18"/>
                      <w:szCs w:val="18"/>
                      <w:rtl/>
                    </w:rPr>
                  </w:pPr>
                  <w:r>
                    <w:rPr>
                      <w:rFonts w:cs="Miriam"/>
                      <w:sz w:val="18"/>
                      <w:szCs w:val="18"/>
                      <w:rtl/>
                    </w:rPr>
                    <w:t>מו</w:t>
                  </w:r>
                  <w:r>
                    <w:rPr>
                      <w:rFonts w:cs="Miriam" w:hint="cs"/>
                      <w:sz w:val="18"/>
                      <w:szCs w:val="18"/>
                      <w:rtl/>
                    </w:rPr>
                    <w:t>עד תחילת</w:t>
                  </w:r>
                </w:p>
                <w:p w14:paraId="2104F5BF" w14:textId="77777777" w:rsidR="004329E6" w:rsidRDefault="004329E6">
                  <w:pPr>
                    <w:spacing w:line="160" w:lineRule="exact"/>
                    <w:jc w:val="left"/>
                    <w:rPr>
                      <w:rFonts w:cs="Miriam"/>
                      <w:noProof/>
                      <w:sz w:val="18"/>
                      <w:szCs w:val="18"/>
                      <w:rtl/>
                    </w:rPr>
                  </w:pPr>
                  <w:r>
                    <w:rPr>
                      <w:rFonts w:cs="Miriam"/>
                      <w:sz w:val="18"/>
                      <w:szCs w:val="18"/>
                      <w:rtl/>
                    </w:rPr>
                    <w:t>הת</w:t>
                  </w:r>
                  <w:r>
                    <w:rPr>
                      <w:rFonts w:cs="Miriam" w:hint="cs"/>
                      <w:sz w:val="18"/>
                      <w:szCs w:val="18"/>
                      <w:rtl/>
                    </w:rPr>
                    <w:t>שלום והפסקתו</w:t>
                  </w:r>
                </w:p>
                <w:p w14:paraId="56546AA4"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7F8BEFA3" w14:textId="77777777" w:rsidR="004329E6" w:rsidRDefault="004329E6">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Style w:val="big-number"/>
          <w:rFonts w:cs="Miriam"/>
          <w:rtl/>
        </w:rPr>
        <w:t>6.</w:t>
      </w:r>
      <w:r>
        <w:rPr>
          <w:rStyle w:val="big-number"/>
          <w:rFonts w:cs="Miriam"/>
          <w:rtl/>
        </w:rPr>
        <w:tab/>
      </w:r>
      <w:r>
        <w:rPr>
          <w:rStyle w:val="default"/>
          <w:rFonts w:cs="FrankRuehl"/>
          <w:rtl/>
        </w:rPr>
        <w:t>הה</w:t>
      </w:r>
      <w:r>
        <w:rPr>
          <w:rStyle w:val="default"/>
          <w:rFonts w:cs="FrankRuehl" w:hint="cs"/>
          <w:rtl/>
        </w:rPr>
        <w:t>ענקה תשולם בעד התקופה המתחילה באחד בחודש שבו נוצרה הזכאות והמסתיימת ביום האחרו</w:t>
      </w:r>
      <w:r>
        <w:rPr>
          <w:rStyle w:val="default"/>
          <w:rFonts w:cs="FrankRuehl"/>
          <w:rtl/>
        </w:rPr>
        <w:t xml:space="preserve">ן </w:t>
      </w:r>
      <w:r>
        <w:rPr>
          <w:rStyle w:val="default"/>
          <w:rFonts w:cs="FrankRuehl" w:hint="cs"/>
          <w:rtl/>
        </w:rPr>
        <w:t xml:space="preserve">של החודש שבו </w:t>
      </w:r>
      <w:r>
        <w:rPr>
          <w:rStyle w:val="default"/>
          <w:rFonts w:cs="FrankRuehl"/>
          <w:rtl/>
        </w:rPr>
        <w:t>נ</w:t>
      </w:r>
      <w:r>
        <w:rPr>
          <w:rStyle w:val="default"/>
          <w:rFonts w:cs="FrankRuehl" w:hint="cs"/>
          <w:rtl/>
        </w:rPr>
        <w:t>פסקת הזכאות, אולם אם נפטר ילד שבעדו שולמה הענקה ימשיכו בתשלום ההענקה שלושה חדשים לאחר הפטירה.</w:t>
      </w:r>
    </w:p>
    <w:p w14:paraId="55A65C70" w14:textId="77777777" w:rsidR="004329E6" w:rsidRDefault="004329E6">
      <w:pPr>
        <w:pStyle w:val="P00"/>
        <w:spacing w:before="72"/>
        <w:ind w:left="0" w:right="1134"/>
        <w:rPr>
          <w:rStyle w:val="default"/>
          <w:rFonts w:cs="FrankRuehl"/>
          <w:rtl/>
        </w:rPr>
      </w:pPr>
      <w:bookmarkStart w:id="6" w:name="Seif6"/>
      <w:bookmarkEnd w:id="6"/>
      <w:r>
        <w:rPr>
          <w:lang w:val="he-IL"/>
        </w:rPr>
        <w:pict w14:anchorId="044B2E84">
          <v:rect id="_x0000_s1036" style="position:absolute;left:0;text-align:left;margin-left:464.5pt;margin-top:8.05pt;width:75.05pt;height:56pt;z-index:251657216" o:allowincell="f" filled="f" stroked="f" strokecolor="lime" strokeweight=".25pt">
            <v:textbox inset="0,0,0,0">
              <w:txbxContent>
                <w:p w14:paraId="4D1DC4A2" w14:textId="77777777" w:rsidR="004329E6" w:rsidRDefault="004329E6">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p>
                <w:p w14:paraId="0A0D512C" w14:textId="77777777" w:rsidR="004329E6" w:rsidRDefault="004329E6">
                  <w:pPr>
                    <w:spacing w:line="160" w:lineRule="exact"/>
                    <w:jc w:val="left"/>
                    <w:rPr>
                      <w:rFonts w:cs="Miriam"/>
                      <w:noProof/>
                      <w:sz w:val="18"/>
                      <w:szCs w:val="18"/>
                      <w:rtl/>
                    </w:rPr>
                  </w:pPr>
                  <w:r>
                    <w:rPr>
                      <w:rFonts w:cs="Miriam"/>
                      <w:sz w:val="18"/>
                      <w:szCs w:val="18"/>
                      <w:rtl/>
                    </w:rPr>
                    <w:t>לח</w:t>
                  </w:r>
                  <w:r>
                    <w:rPr>
                      <w:rFonts w:cs="Miriam" w:hint="cs"/>
                      <w:sz w:val="18"/>
                      <w:szCs w:val="18"/>
                      <w:rtl/>
                    </w:rPr>
                    <w:t>ישוב גיל</w:t>
                  </w:r>
                </w:p>
                <w:p w14:paraId="3BEFC20D"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–1975</w:t>
                  </w:r>
                </w:p>
                <w:p w14:paraId="77F447FB"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717A7186" w14:textId="77777777" w:rsidR="004329E6" w:rsidRDefault="004329E6">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14:paraId="01621FF0"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בוטלה).</w:t>
      </w:r>
    </w:p>
    <w:p w14:paraId="6A350921"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הוכח יום לידתו של בר-הענקה, חזקה עליו שנולד ב-15 בחודש לידתו; לא הוכח החודש </w:t>
      </w:r>
      <w:r>
        <w:rPr>
          <w:rStyle w:val="default"/>
          <w:rFonts w:cs="FrankRuehl"/>
          <w:rtl/>
        </w:rPr>
        <w:t xml:space="preserve">— </w:t>
      </w:r>
      <w:r>
        <w:rPr>
          <w:rStyle w:val="default"/>
          <w:rFonts w:cs="FrankRuehl" w:hint="cs"/>
          <w:rtl/>
        </w:rPr>
        <w:t>חזקה שנולד ב-1 באפריל של שנת לידתו.</w:t>
      </w:r>
    </w:p>
    <w:p w14:paraId="0FAC2C08" w14:textId="77777777" w:rsidR="004329E6" w:rsidRDefault="004329E6">
      <w:pPr>
        <w:pStyle w:val="P00"/>
        <w:spacing w:before="72"/>
        <w:ind w:left="0" w:right="1134"/>
        <w:rPr>
          <w:rStyle w:val="default"/>
          <w:rFonts w:cs="FrankRuehl"/>
          <w:rtl/>
        </w:rPr>
      </w:pPr>
      <w:bookmarkStart w:id="7" w:name="Seif7"/>
      <w:bookmarkEnd w:id="7"/>
      <w:r>
        <w:rPr>
          <w:lang w:val="he-IL"/>
        </w:rPr>
        <w:pict w14:anchorId="5344298F">
          <v:rect id="_x0000_s1037" style="position:absolute;left:0;text-align:left;margin-left:464.5pt;margin-top:8.05pt;width:75.05pt;height:8pt;z-index:251658240" o:allowincell="f" filled="f" stroked="f" strokecolor="lime" strokeweight=".25pt">
            <v:textbox inset="0,0,0,0">
              <w:txbxContent>
                <w:p w14:paraId="5D5F2008" w14:textId="77777777" w:rsidR="004329E6" w:rsidRDefault="004329E6">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8.</w:t>
      </w:r>
      <w:r>
        <w:rPr>
          <w:rStyle w:val="big-number"/>
          <w:rFonts w:cs="Miriam"/>
          <w:rtl/>
        </w:rPr>
        <w:tab/>
      </w:r>
      <w:r>
        <w:rPr>
          <w:rStyle w:val="default"/>
          <w:rFonts w:cs="FrankRuehl"/>
          <w:rtl/>
        </w:rPr>
        <w:t>בק</w:t>
      </w:r>
      <w:r>
        <w:rPr>
          <w:rStyle w:val="default"/>
          <w:rFonts w:cs="FrankRuehl" w:hint="cs"/>
          <w:rtl/>
        </w:rPr>
        <w:t>ש</w:t>
      </w:r>
      <w:r>
        <w:rPr>
          <w:rStyle w:val="default"/>
          <w:rFonts w:cs="FrankRuehl"/>
          <w:rtl/>
        </w:rPr>
        <w:t xml:space="preserve">ה </w:t>
      </w:r>
      <w:r>
        <w:rPr>
          <w:rStyle w:val="default"/>
          <w:rFonts w:cs="FrankRuehl" w:hint="cs"/>
          <w:rtl/>
        </w:rPr>
        <w:t>להענקה תוגש לגוף המוסמך בטופס שנקבע לכך.</w:t>
      </w:r>
    </w:p>
    <w:p w14:paraId="5B21D7BE" w14:textId="77777777" w:rsidR="004329E6" w:rsidRDefault="004329E6">
      <w:pPr>
        <w:pStyle w:val="P00"/>
        <w:spacing w:before="72"/>
        <w:ind w:left="0" w:right="1134"/>
        <w:rPr>
          <w:rStyle w:val="default"/>
          <w:rFonts w:cs="FrankRuehl"/>
          <w:rtl/>
        </w:rPr>
      </w:pPr>
      <w:bookmarkStart w:id="8" w:name="Seif8"/>
      <w:bookmarkEnd w:id="8"/>
      <w:r>
        <w:rPr>
          <w:lang w:val="he-IL"/>
        </w:rPr>
        <w:pict w14:anchorId="78FB4835">
          <v:rect id="_x0000_s1038" style="position:absolute;left:0;text-align:left;margin-left:464.5pt;margin-top:8.05pt;width:75.05pt;height:8pt;z-index:251659264" o:allowincell="f" filled="f" stroked="f" strokecolor="lime" strokeweight=".25pt">
            <v:textbox inset="0,0,0,0">
              <w:txbxContent>
                <w:p w14:paraId="730392FF" w14:textId="77777777" w:rsidR="004329E6" w:rsidRDefault="004329E6">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הענקה יצרף לבקשה את המסמכים הדרושים להוכחת הזכאות או יציג אותם בפני הגוף המוסמך.</w:t>
      </w:r>
    </w:p>
    <w:p w14:paraId="3C5E6DA3" w14:textId="77777777" w:rsidR="004329E6" w:rsidRDefault="004329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גוף המוסמך רשאי לדרוש מהמבקש מסמכי</w:t>
      </w:r>
      <w:r>
        <w:rPr>
          <w:rStyle w:val="default"/>
          <w:rFonts w:cs="FrankRuehl"/>
          <w:rtl/>
        </w:rPr>
        <w:t>ם</w:t>
      </w:r>
      <w:r>
        <w:rPr>
          <w:rStyle w:val="default"/>
          <w:rFonts w:cs="FrankRuehl" w:hint="cs"/>
          <w:rtl/>
        </w:rPr>
        <w:t xml:space="preserve"> נוספים או</w:t>
      </w:r>
      <w:r>
        <w:rPr>
          <w:rFonts w:cs="FrankRuehl"/>
          <w:sz w:val="26"/>
          <w:rtl/>
        </w:rPr>
        <w:t> </w:t>
      </w:r>
      <w:r>
        <w:rPr>
          <w:rStyle w:val="default"/>
          <w:rFonts w:cs="FrankRuehl"/>
          <w:rtl/>
        </w:rPr>
        <w:t xml:space="preserve"> ר</w:t>
      </w:r>
      <w:r>
        <w:rPr>
          <w:rStyle w:val="default"/>
          <w:rFonts w:cs="FrankRuehl" w:hint="cs"/>
          <w:rtl/>
        </w:rPr>
        <w:t>איות אחרות הנראים לו מועילים לבירור הבקשה.</w:t>
      </w:r>
    </w:p>
    <w:p w14:paraId="0DA0E959" w14:textId="77777777" w:rsidR="004329E6" w:rsidRDefault="004329E6">
      <w:pPr>
        <w:pStyle w:val="P00"/>
        <w:spacing w:before="72"/>
        <w:ind w:left="0" w:right="1134"/>
        <w:rPr>
          <w:rStyle w:val="default"/>
          <w:rFonts w:cs="FrankRuehl"/>
          <w:rtl/>
        </w:rPr>
      </w:pPr>
      <w:bookmarkStart w:id="9" w:name="Seif9"/>
      <w:bookmarkEnd w:id="9"/>
      <w:r>
        <w:rPr>
          <w:lang w:val="he-IL"/>
        </w:rPr>
        <w:pict w14:anchorId="5B0E23B8">
          <v:rect id="_x0000_s1039" style="position:absolute;left:0;text-align:left;margin-left:464.5pt;margin-top:8.05pt;width:75.05pt;height:16pt;z-index:251660288" o:allowincell="f" filled="f" stroked="f" strokecolor="lime" strokeweight=".25pt">
            <v:textbox inset="0,0,0,0">
              <w:txbxContent>
                <w:p w14:paraId="760A0259" w14:textId="77777777" w:rsidR="004329E6" w:rsidRDefault="004329E6">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w:t>
                  </w:r>
                </w:p>
                <w:p w14:paraId="79090E49" w14:textId="77777777" w:rsidR="004329E6" w:rsidRDefault="004329E6">
                  <w:pPr>
                    <w:spacing w:line="160" w:lineRule="exact"/>
                    <w:jc w:val="left"/>
                    <w:rPr>
                      <w:rFonts w:cs="Miriam"/>
                      <w:noProof/>
                      <w:sz w:val="18"/>
                      <w:szCs w:val="18"/>
                      <w:rtl/>
                    </w:rPr>
                  </w:pPr>
                  <w:r>
                    <w:rPr>
                      <w:rFonts w:cs="Miriam"/>
                      <w:sz w:val="18"/>
                      <w:szCs w:val="18"/>
                      <w:rtl/>
                    </w:rPr>
                    <w:t>בק</w:t>
                  </w:r>
                  <w:r>
                    <w:rPr>
                      <w:rFonts w:cs="Miriam" w:hint="cs"/>
                      <w:sz w:val="18"/>
                      <w:szCs w:val="18"/>
                      <w:rtl/>
                    </w:rPr>
                    <w:t>שה</w:t>
                  </w:r>
                </w:p>
              </w:txbxContent>
            </v:textbox>
            <w10:anchorlock/>
          </v:rect>
        </w:pict>
      </w:r>
      <w:r>
        <w:rPr>
          <w:rStyle w:val="big-number"/>
          <w:rFonts w:cs="Miriam"/>
          <w:rtl/>
        </w:rPr>
        <w:t>10.</w:t>
      </w:r>
      <w:r>
        <w:rPr>
          <w:rStyle w:val="big-number"/>
          <w:rFonts w:cs="Miriam"/>
          <w:rtl/>
        </w:rPr>
        <w:tab/>
      </w:r>
      <w:r>
        <w:rPr>
          <w:rStyle w:val="default"/>
          <w:rFonts w:cs="FrankRuehl"/>
          <w:rtl/>
        </w:rPr>
        <w:t>הב</w:t>
      </w:r>
      <w:r>
        <w:rPr>
          <w:rStyle w:val="default"/>
          <w:rFonts w:cs="FrankRuehl" w:hint="cs"/>
          <w:rtl/>
        </w:rPr>
        <w:t>קשה תוגש תוך ש</w:t>
      </w:r>
      <w:r>
        <w:rPr>
          <w:rStyle w:val="default"/>
          <w:rFonts w:cs="FrankRuehl"/>
          <w:rtl/>
        </w:rPr>
        <w:t>ני</w:t>
      </w:r>
      <w:r>
        <w:rPr>
          <w:rStyle w:val="default"/>
          <w:rFonts w:cs="FrankRuehl" w:hint="cs"/>
          <w:rtl/>
        </w:rPr>
        <w:t>ם-עשר חדשים מיום תחילת תקנות אלה או מיום שנוצרה עילת הבקשה, לפי המועד המאוחר יותר, אולם הגוף המוסמך רשאי לתת הענקה, כולה או מקצתה, אף אם הוגשה הבקשה אחרי המועד האמור.</w:t>
      </w:r>
    </w:p>
    <w:p w14:paraId="7124BAB8" w14:textId="77777777" w:rsidR="004329E6" w:rsidRDefault="004329E6">
      <w:pPr>
        <w:pStyle w:val="P00"/>
        <w:spacing w:before="72"/>
        <w:ind w:left="0" w:right="1134"/>
        <w:rPr>
          <w:rStyle w:val="default"/>
          <w:rFonts w:cs="FrankRuehl"/>
          <w:rtl/>
        </w:rPr>
      </w:pPr>
      <w:bookmarkStart w:id="10" w:name="Seif10"/>
      <w:bookmarkEnd w:id="10"/>
      <w:r>
        <w:rPr>
          <w:lang w:val="he-IL"/>
        </w:rPr>
        <w:pict w14:anchorId="487D3D75">
          <v:rect id="_x0000_s1040" style="position:absolute;left:0;text-align:left;margin-left:464.5pt;margin-top:8.05pt;width:75.05pt;height:16pt;z-index:251661312" o:allowincell="f" filled="f" stroked="f" strokecolor="lime" strokeweight=".25pt">
            <v:textbox inset="0,0,0,0">
              <w:txbxContent>
                <w:p w14:paraId="262124AB" w14:textId="77777777" w:rsidR="004329E6" w:rsidRDefault="004329E6">
                  <w:pPr>
                    <w:spacing w:line="160" w:lineRule="exact"/>
                    <w:jc w:val="left"/>
                    <w:rPr>
                      <w:rFonts w:cs="Miriam"/>
                      <w:noProof/>
                      <w:sz w:val="18"/>
                      <w:szCs w:val="18"/>
                      <w:rtl/>
                    </w:rPr>
                  </w:pPr>
                  <w:r>
                    <w:rPr>
                      <w:rFonts w:cs="Miriam"/>
                      <w:sz w:val="18"/>
                      <w:szCs w:val="18"/>
                      <w:rtl/>
                    </w:rPr>
                    <w:t>מו</w:t>
                  </w:r>
                  <w:r>
                    <w:rPr>
                      <w:rFonts w:cs="Miriam" w:hint="cs"/>
                      <w:sz w:val="18"/>
                      <w:szCs w:val="18"/>
                      <w:rtl/>
                    </w:rPr>
                    <w:t>עד התשלום</w:t>
                  </w:r>
                </w:p>
                <w:p w14:paraId="60887A07" w14:textId="77777777" w:rsidR="004329E6" w:rsidRDefault="004329E6">
                  <w:pPr>
                    <w:spacing w:line="160" w:lineRule="exact"/>
                    <w:jc w:val="left"/>
                    <w:rPr>
                      <w:rFonts w:cs="Miriam"/>
                      <w:noProof/>
                      <w:sz w:val="18"/>
                      <w:szCs w:val="18"/>
                      <w:rtl/>
                    </w:rPr>
                  </w:pPr>
                  <w:r>
                    <w:rPr>
                      <w:rFonts w:cs="Miriam"/>
                      <w:sz w:val="18"/>
                      <w:szCs w:val="18"/>
                      <w:rtl/>
                    </w:rPr>
                    <w:t>תק' ת</w:t>
                  </w:r>
                  <w:r>
                    <w:rPr>
                      <w:rFonts w:cs="Miriam" w:hint="cs"/>
                      <w:sz w:val="18"/>
                      <w:szCs w:val="18"/>
                      <w:rtl/>
                    </w:rPr>
                    <w:t>של"ב</w:t>
                  </w:r>
                  <w:r>
                    <w:rPr>
                      <w:rFonts w:cs="Miriam"/>
                      <w:sz w:val="18"/>
                      <w:szCs w:val="18"/>
                      <w:rtl/>
                    </w:rPr>
                    <w:t>–1971</w:t>
                  </w:r>
                </w:p>
              </w:txbxContent>
            </v:textbox>
            <w10:anchorlock/>
          </v:rect>
        </w:pict>
      </w:r>
      <w:r>
        <w:rPr>
          <w:rStyle w:val="big-number"/>
          <w:rFonts w:cs="Miriam"/>
          <w:rtl/>
        </w:rPr>
        <w:t>11.</w:t>
      </w:r>
      <w:r>
        <w:rPr>
          <w:rStyle w:val="big-number"/>
          <w:rFonts w:cs="Miriam"/>
          <w:rtl/>
        </w:rPr>
        <w:tab/>
      </w:r>
      <w:r>
        <w:rPr>
          <w:rStyle w:val="default"/>
          <w:rFonts w:cs="FrankRuehl"/>
          <w:rtl/>
        </w:rPr>
        <w:t>הה</w:t>
      </w:r>
      <w:r>
        <w:rPr>
          <w:rStyle w:val="default"/>
          <w:rFonts w:cs="FrankRuehl" w:hint="cs"/>
          <w:rtl/>
        </w:rPr>
        <w:t>ענקה תשולם אחת לשני חדשים בעד החדשים שבעדם קיימת זכאות להענקה.</w:t>
      </w:r>
    </w:p>
    <w:p w14:paraId="291C184F" w14:textId="77777777" w:rsidR="004329E6" w:rsidRDefault="004329E6">
      <w:pPr>
        <w:pStyle w:val="P00"/>
        <w:spacing w:before="72"/>
        <w:ind w:left="0" w:right="1134"/>
        <w:rPr>
          <w:rStyle w:val="default"/>
          <w:rFonts w:cs="FrankRuehl"/>
          <w:rtl/>
        </w:rPr>
      </w:pPr>
      <w:bookmarkStart w:id="11" w:name="Seif11"/>
      <w:bookmarkEnd w:id="11"/>
      <w:r>
        <w:rPr>
          <w:lang w:val="he-IL"/>
        </w:rPr>
        <w:pict w14:anchorId="07AB95C3">
          <v:rect id="_x0000_s1041" style="position:absolute;left:0;text-align:left;margin-left:464.5pt;margin-top:8.05pt;width:75.05pt;height:8pt;z-index:251662336" o:allowincell="f" filled="f" stroked="f" strokecolor="lime" strokeweight=".25pt">
            <v:textbox inset="0,0,0,0">
              <w:txbxContent>
                <w:p w14:paraId="153A9A1C" w14:textId="77777777" w:rsidR="004329E6" w:rsidRDefault="004329E6">
                  <w:pPr>
                    <w:spacing w:line="160" w:lineRule="exact"/>
                    <w:jc w:val="left"/>
                    <w:rPr>
                      <w:rFonts w:cs="Miriam"/>
                      <w:noProof/>
                      <w:sz w:val="18"/>
                      <w:szCs w:val="18"/>
                      <w:rtl/>
                    </w:rPr>
                  </w:pPr>
                  <w:r>
                    <w:rPr>
                      <w:rFonts w:cs="Miriam"/>
                      <w:sz w:val="18"/>
                      <w:szCs w:val="18"/>
                      <w:rtl/>
                    </w:rPr>
                    <w:t>שי</w:t>
                  </w:r>
                  <w:r>
                    <w:rPr>
                      <w:rFonts w:cs="Miriam" w:hint="cs"/>
                      <w:sz w:val="18"/>
                      <w:szCs w:val="18"/>
                      <w:rtl/>
                    </w:rPr>
                    <w:t>נויים</w:t>
                  </w:r>
                </w:p>
              </w:txbxContent>
            </v:textbox>
            <w10:anchorlock/>
          </v:rect>
        </w:pict>
      </w:r>
      <w:r>
        <w:rPr>
          <w:rStyle w:val="big-number"/>
          <w:rFonts w:cs="Miriam"/>
          <w:rtl/>
        </w:rPr>
        <w:t>12.</w:t>
      </w:r>
      <w:r>
        <w:rPr>
          <w:rStyle w:val="big-number"/>
          <w:rFonts w:cs="Miriam"/>
          <w:rtl/>
        </w:rPr>
        <w:tab/>
      </w:r>
      <w:r>
        <w:rPr>
          <w:rStyle w:val="default"/>
          <w:rFonts w:cs="FrankRuehl"/>
          <w:rtl/>
        </w:rPr>
        <w:t>מי</w:t>
      </w:r>
      <w:r>
        <w:rPr>
          <w:rStyle w:val="default"/>
          <w:rFonts w:cs="FrankRuehl" w:hint="cs"/>
          <w:rtl/>
        </w:rPr>
        <w:t xml:space="preserve"> שמשתלמת ל</w:t>
      </w:r>
      <w:r>
        <w:rPr>
          <w:rStyle w:val="default"/>
          <w:rFonts w:cs="FrankRuehl"/>
          <w:rtl/>
        </w:rPr>
        <w:t xml:space="preserve">ו </w:t>
      </w:r>
      <w:r>
        <w:rPr>
          <w:rStyle w:val="default"/>
          <w:rFonts w:cs="FrankRuehl" w:hint="cs"/>
          <w:rtl/>
        </w:rPr>
        <w:t>הענקה חייב למסור לגוף המוסמך הודעה, בציון מענו ומספר זהותו, על כל שינוי במקום מגוריו ובמספר ילדיו ועל כל שינוי אחר העלול להשפיע על הזכאות להענקה; ההודעה תימסר תוך שלושים יום מתאריך השינוי.</w:t>
      </w:r>
    </w:p>
    <w:p w14:paraId="35DD6518" w14:textId="77777777" w:rsidR="004329E6" w:rsidRDefault="004329E6">
      <w:pPr>
        <w:pStyle w:val="P00"/>
        <w:spacing w:before="72"/>
        <w:ind w:left="0" w:right="1134"/>
        <w:rPr>
          <w:rStyle w:val="default"/>
          <w:rFonts w:cs="FrankRuehl"/>
          <w:rtl/>
        </w:rPr>
      </w:pPr>
      <w:bookmarkStart w:id="12" w:name="Seif12"/>
      <w:bookmarkEnd w:id="12"/>
      <w:r>
        <w:rPr>
          <w:lang w:val="he-IL"/>
        </w:rPr>
        <w:pict w14:anchorId="5C9D0EAA">
          <v:rect id="_x0000_s1042" style="position:absolute;left:0;text-align:left;margin-left:464.5pt;margin-top:8.05pt;width:75.05pt;height:8pt;z-index:251663360" o:allowincell="f" filled="f" stroked="f" strokecolor="lime" strokeweight=".25pt">
            <v:textbox inset="0,0,0,0">
              <w:txbxContent>
                <w:p w14:paraId="47914640" w14:textId="77777777" w:rsidR="004329E6" w:rsidRDefault="004329E6">
                  <w:pPr>
                    <w:spacing w:line="160" w:lineRule="exact"/>
                    <w:jc w:val="left"/>
                    <w:rPr>
                      <w:rFonts w:cs="Miriam"/>
                      <w:noProof/>
                      <w:sz w:val="18"/>
                      <w:szCs w:val="18"/>
                      <w:rtl/>
                    </w:rPr>
                  </w:pPr>
                  <w:r>
                    <w:rPr>
                      <w:rFonts w:cs="Miriam"/>
                      <w:sz w:val="18"/>
                      <w:szCs w:val="18"/>
                      <w:rtl/>
                    </w:rPr>
                    <w:t>הע</w:t>
                  </w:r>
                  <w:r>
                    <w:rPr>
                      <w:rFonts w:cs="Miriam" w:hint="cs"/>
                      <w:sz w:val="18"/>
                      <w:szCs w:val="18"/>
                      <w:rtl/>
                    </w:rPr>
                    <w:t>נקה שבספק</w:t>
                  </w:r>
                </w:p>
              </w:txbxContent>
            </v:textbox>
            <w10:anchorlock/>
          </v:rect>
        </w:pict>
      </w:r>
      <w:r>
        <w:rPr>
          <w:rStyle w:val="big-number"/>
          <w:rFonts w:cs="Miriam"/>
          <w:rtl/>
        </w:rPr>
        <w:t>13.</w:t>
      </w:r>
      <w:r>
        <w:rPr>
          <w:rStyle w:val="big-number"/>
          <w:rFonts w:cs="Miriam"/>
          <w:rtl/>
        </w:rPr>
        <w:tab/>
      </w:r>
      <w:r>
        <w:rPr>
          <w:rStyle w:val="default"/>
          <w:rFonts w:cs="FrankRuehl"/>
          <w:rtl/>
        </w:rPr>
        <w:t>הת</w:t>
      </w:r>
      <w:r>
        <w:rPr>
          <w:rStyle w:val="default"/>
          <w:rFonts w:cs="FrankRuehl" w:hint="cs"/>
          <w:rtl/>
        </w:rPr>
        <w:t>עורר ספק בקיום התנאים להמשך מתן הענקה, כולה או מקצתה, רשאי</w:t>
      </w:r>
      <w:r>
        <w:rPr>
          <w:rStyle w:val="default"/>
          <w:rFonts w:cs="FrankRuehl"/>
          <w:rtl/>
        </w:rPr>
        <w:t xml:space="preserve"> ה</w:t>
      </w:r>
      <w:r>
        <w:rPr>
          <w:rStyle w:val="default"/>
          <w:rFonts w:cs="FrankRuehl" w:hint="cs"/>
          <w:rtl/>
        </w:rPr>
        <w:t>גוף המוסמך לדרוש מאדם שמשתלמת ההענקה לו או מכוחו פרטים וראיות בקשר לתשלום ההענקה, ולהשהות תשלומה עד לביר</w:t>
      </w:r>
      <w:r>
        <w:rPr>
          <w:rStyle w:val="default"/>
          <w:rFonts w:cs="FrankRuehl"/>
          <w:rtl/>
        </w:rPr>
        <w:t>ו</w:t>
      </w:r>
      <w:r>
        <w:rPr>
          <w:rStyle w:val="default"/>
          <w:rFonts w:cs="FrankRuehl" w:hint="cs"/>
          <w:rtl/>
        </w:rPr>
        <w:t>ר הספק אך לא יותר מתשעים יום לאחר שהתעורר הספק.</w:t>
      </w:r>
    </w:p>
    <w:p w14:paraId="097C0DC2" w14:textId="77777777" w:rsidR="004329E6" w:rsidRDefault="004329E6">
      <w:pPr>
        <w:pStyle w:val="page"/>
        <w:widowControl/>
        <w:ind w:right="1134"/>
        <w:rPr>
          <w:rFonts w:cs="David"/>
          <w:position w:val="0"/>
          <w:sz w:val="22"/>
          <w:rtl/>
        </w:rPr>
      </w:pPr>
      <w:r>
        <w:rPr>
          <w:rFonts w:cs="David"/>
          <w:position w:val="0"/>
          <w:sz w:val="22"/>
          <w:rtl/>
        </w:rPr>
        <w:t xml:space="preserve"> </w:t>
      </w:r>
    </w:p>
    <w:p w14:paraId="77287C40" w14:textId="77777777" w:rsidR="004329E6" w:rsidRDefault="004329E6">
      <w:pPr>
        <w:pStyle w:val="P00"/>
        <w:spacing w:before="72"/>
        <w:ind w:left="0" w:right="1134"/>
        <w:rPr>
          <w:rStyle w:val="default"/>
          <w:rFonts w:cs="FrankRuehl"/>
          <w:rtl/>
        </w:rPr>
      </w:pPr>
      <w:bookmarkStart w:id="13" w:name="Seif13"/>
      <w:bookmarkEnd w:id="13"/>
      <w:r>
        <w:rPr>
          <w:lang w:val="he-IL"/>
        </w:rPr>
        <w:pict w14:anchorId="10486BC6">
          <v:rect id="_x0000_s1043" style="position:absolute;left:0;text-align:left;margin-left:464.5pt;margin-top:8.05pt;width:75.05pt;height:24pt;z-index:251664384" o:allowincell="f" filled="f" stroked="f" strokecolor="lime" strokeweight=".25pt">
            <v:textbox inset="0,0,0,0">
              <w:txbxContent>
                <w:p w14:paraId="750B6C62" w14:textId="77777777" w:rsidR="004329E6" w:rsidRDefault="004329E6">
                  <w:pPr>
                    <w:spacing w:line="160" w:lineRule="exact"/>
                    <w:jc w:val="left"/>
                    <w:rPr>
                      <w:rFonts w:cs="Miriam"/>
                      <w:noProof/>
                      <w:sz w:val="18"/>
                      <w:szCs w:val="18"/>
                      <w:rtl/>
                    </w:rPr>
                  </w:pPr>
                  <w:r>
                    <w:rPr>
                      <w:rFonts w:cs="Miriam"/>
                      <w:sz w:val="18"/>
                      <w:szCs w:val="18"/>
                      <w:rtl/>
                    </w:rPr>
                    <w:t>תש</w:t>
                  </w:r>
                  <w:r>
                    <w:rPr>
                      <w:rFonts w:cs="Miriam" w:hint="cs"/>
                      <w:sz w:val="18"/>
                      <w:szCs w:val="18"/>
                      <w:rtl/>
                    </w:rPr>
                    <w:t>לום הענקה</w:t>
                  </w:r>
                </w:p>
                <w:p w14:paraId="5249E669" w14:textId="77777777" w:rsidR="004329E6" w:rsidRDefault="004329E6">
                  <w:pPr>
                    <w:spacing w:line="160" w:lineRule="exact"/>
                    <w:jc w:val="left"/>
                    <w:rPr>
                      <w:rFonts w:cs="Miriam"/>
                      <w:noProof/>
                      <w:sz w:val="18"/>
                      <w:szCs w:val="18"/>
                      <w:rtl/>
                    </w:rPr>
                  </w:pPr>
                  <w:r>
                    <w:rPr>
                      <w:rFonts w:cs="Miriam"/>
                      <w:sz w:val="18"/>
                      <w:szCs w:val="18"/>
                      <w:rtl/>
                    </w:rPr>
                    <w:t>בט</w:t>
                  </w:r>
                  <w:r>
                    <w:rPr>
                      <w:rFonts w:cs="Miriam" w:hint="cs"/>
                      <w:sz w:val="18"/>
                      <w:szCs w:val="18"/>
                      <w:rtl/>
                    </w:rPr>
                    <w:t>עות או</w:t>
                  </w:r>
                </w:p>
                <w:p w14:paraId="781918E4" w14:textId="77777777" w:rsidR="004329E6" w:rsidRDefault="004329E6">
                  <w:pPr>
                    <w:spacing w:line="160" w:lineRule="exact"/>
                    <w:jc w:val="left"/>
                    <w:rPr>
                      <w:rFonts w:cs="Miriam"/>
                      <w:noProof/>
                      <w:sz w:val="18"/>
                      <w:szCs w:val="18"/>
                      <w:rtl/>
                    </w:rPr>
                  </w:pPr>
                  <w:r>
                    <w:rPr>
                      <w:rFonts w:cs="Miriam"/>
                      <w:sz w:val="18"/>
                      <w:szCs w:val="18"/>
                      <w:rtl/>
                    </w:rPr>
                    <w:t>של</w:t>
                  </w:r>
                  <w:r>
                    <w:rPr>
                      <w:rFonts w:cs="Miriam" w:hint="cs"/>
                      <w:sz w:val="18"/>
                      <w:szCs w:val="18"/>
                      <w:rtl/>
                    </w:rPr>
                    <w:t>א כדין</w:t>
                  </w:r>
                </w:p>
              </w:txbxContent>
            </v:textbox>
            <w10:anchorlock/>
          </v:rect>
        </w:pict>
      </w:r>
      <w:r>
        <w:rPr>
          <w:rStyle w:val="big-number"/>
          <w:rFonts w:cs="Miriam"/>
          <w:rtl/>
        </w:rPr>
        <w:t>14.</w:t>
      </w:r>
      <w:r>
        <w:rPr>
          <w:rStyle w:val="big-number"/>
          <w:rFonts w:cs="Miriam"/>
          <w:rtl/>
        </w:rPr>
        <w:tab/>
      </w:r>
      <w:r>
        <w:rPr>
          <w:rStyle w:val="default"/>
          <w:rFonts w:cs="FrankRuehl"/>
          <w:rtl/>
        </w:rPr>
        <w:t>שו</w:t>
      </w:r>
      <w:r>
        <w:rPr>
          <w:rStyle w:val="default"/>
          <w:rFonts w:cs="FrankRuehl" w:hint="cs"/>
          <w:rtl/>
        </w:rPr>
        <w:t>למה הענקה בטעות או שלא כדין, רשאי הגוף המוסמך לנכות את כל הסכומים שש</w:t>
      </w:r>
      <w:r>
        <w:rPr>
          <w:rStyle w:val="default"/>
          <w:rFonts w:cs="FrankRuehl"/>
          <w:rtl/>
        </w:rPr>
        <w:t>יל</w:t>
      </w:r>
      <w:r>
        <w:rPr>
          <w:rStyle w:val="default"/>
          <w:rFonts w:cs="FrankRuehl" w:hint="cs"/>
          <w:rtl/>
        </w:rPr>
        <w:t>ם כאמור מכל תשלום שיגיע ממנו, בין בבת-אחת ובין בתשלומים בשיעורים.</w:t>
      </w:r>
    </w:p>
    <w:p w14:paraId="6733ACF7" w14:textId="77777777" w:rsidR="004329E6" w:rsidRDefault="004329E6">
      <w:pPr>
        <w:pStyle w:val="P00"/>
        <w:spacing w:before="72"/>
        <w:ind w:left="0" w:right="1134"/>
        <w:rPr>
          <w:rStyle w:val="default"/>
          <w:rFonts w:cs="FrankRuehl"/>
          <w:rtl/>
        </w:rPr>
      </w:pPr>
      <w:bookmarkStart w:id="14" w:name="Seif14"/>
      <w:bookmarkEnd w:id="14"/>
      <w:r>
        <w:rPr>
          <w:lang w:val="he-IL"/>
        </w:rPr>
        <w:pict w14:anchorId="455B4081">
          <v:rect id="_x0000_s1044" style="position:absolute;left:0;text-align:left;margin-left:464.5pt;margin-top:8.05pt;width:75.05pt;height:16pt;z-index:251665408" o:allowincell="f" filled="f" stroked="f" strokecolor="lime" strokeweight=".25pt">
            <v:textbox inset="0,0,0,0">
              <w:txbxContent>
                <w:p w14:paraId="3571A211" w14:textId="77777777" w:rsidR="004329E6" w:rsidRDefault="004329E6">
                  <w:pPr>
                    <w:spacing w:line="160" w:lineRule="exact"/>
                    <w:jc w:val="left"/>
                    <w:rPr>
                      <w:rFonts w:cs="Miriam"/>
                      <w:noProof/>
                      <w:sz w:val="18"/>
                      <w:szCs w:val="18"/>
                      <w:rtl/>
                    </w:rPr>
                  </w:pPr>
                  <w:r>
                    <w:rPr>
                      <w:rFonts w:cs="Miriam"/>
                      <w:sz w:val="18"/>
                      <w:szCs w:val="18"/>
                      <w:rtl/>
                    </w:rPr>
                    <w:t>שי</w:t>
                  </w:r>
                  <w:r>
                    <w:rPr>
                      <w:rFonts w:cs="Miriam" w:hint="cs"/>
                      <w:sz w:val="18"/>
                      <w:szCs w:val="18"/>
                      <w:rtl/>
                    </w:rPr>
                    <w:t>פוי המוסד</w:t>
                  </w:r>
                </w:p>
                <w:p w14:paraId="63633154"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–1976</w:t>
                  </w:r>
                </w:p>
              </w:txbxContent>
            </v:textbox>
            <w10:anchorlock/>
          </v:rect>
        </w:pict>
      </w:r>
      <w:r>
        <w:rPr>
          <w:rStyle w:val="big-number"/>
          <w:rFonts w:cs="Miriam"/>
          <w:rtl/>
        </w:rPr>
        <w:t>14</w:t>
      </w:r>
      <w:r>
        <w:rPr>
          <w:rStyle w:val="default"/>
          <w:rFonts w:cs="FrankRuehl"/>
          <w:rtl/>
        </w:rPr>
        <w:t>א.</w:t>
      </w:r>
      <w:r>
        <w:rPr>
          <w:rStyle w:val="default"/>
          <w:rFonts w:cs="FrankRuehl"/>
          <w:rtl/>
        </w:rPr>
        <w:tab/>
        <w:t>א</w:t>
      </w:r>
      <w:r>
        <w:rPr>
          <w:rStyle w:val="default"/>
          <w:rFonts w:cs="FrankRuehl" w:hint="cs"/>
          <w:rtl/>
        </w:rPr>
        <w:t>וצר המדינה ישפה את המוסד, על פי דרישתו, על כל הוצאה</w:t>
      </w:r>
      <w:r>
        <w:rPr>
          <w:rFonts w:cs="FrankRuehl"/>
          <w:sz w:val="26"/>
          <w:rtl/>
        </w:rPr>
        <w:t> </w:t>
      </w:r>
      <w:r>
        <w:rPr>
          <w:rStyle w:val="default"/>
          <w:rFonts w:cs="FrankRuehl"/>
          <w:rtl/>
        </w:rPr>
        <w:t xml:space="preserve"> ש</w:t>
      </w:r>
      <w:r>
        <w:rPr>
          <w:rStyle w:val="default"/>
          <w:rFonts w:cs="FrankRuehl" w:hint="cs"/>
          <w:rtl/>
        </w:rPr>
        <w:t>הוציא למתן הענקה ואת החלק היחסי מההוצאות המינהליות של המוסד הנובע מביצוע החוק.</w:t>
      </w:r>
    </w:p>
    <w:p w14:paraId="447F7A8A" w14:textId="77777777" w:rsidR="004329E6" w:rsidRDefault="004329E6">
      <w:pPr>
        <w:pStyle w:val="P00"/>
        <w:spacing w:before="72"/>
        <w:ind w:left="0" w:right="1134"/>
        <w:rPr>
          <w:rStyle w:val="default"/>
          <w:rFonts w:cs="FrankRuehl"/>
          <w:rtl/>
        </w:rPr>
      </w:pPr>
      <w:bookmarkStart w:id="15" w:name="Seif15"/>
      <w:bookmarkEnd w:id="15"/>
      <w:r>
        <w:rPr>
          <w:lang w:val="he-IL"/>
        </w:rPr>
        <w:pict w14:anchorId="58C669D5">
          <v:rect id="_x0000_s1045" style="position:absolute;left:0;text-align:left;margin-left:464.5pt;margin-top:8.05pt;width:75.05pt;height:16pt;z-index:251666432" o:allowincell="f" filled="f" stroked="f" strokecolor="lime" strokeweight=".25pt">
            <v:textbox inset="0,0,0,0">
              <w:txbxContent>
                <w:p w14:paraId="0E17B173" w14:textId="77777777" w:rsidR="004329E6" w:rsidRDefault="004329E6">
                  <w:pPr>
                    <w:spacing w:line="160" w:lineRule="exact"/>
                    <w:jc w:val="left"/>
                    <w:rPr>
                      <w:rFonts w:cs="Miriam"/>
                      <w:noProof/>
                      <w:sz w:val="18"/>
                      <w:szCs w:val="18"/>
                      <w:rtl/>
                    </w:rPr>
                  </w:pPr>
                  <w:r>
                    <w:rPr>
                      <w:rFonts w:cs="Miriam"/>
                      <w:sz w:val="18"/>
                      <w:szCs w:val="18"/>
                      <w:rtl/>
                    </w:rPr>
                    <w:t>תו</w:t>
                  </w:r>
                  <w:r>
                    <w:rPr>
                      <w:rFonts w:cs="Miriam" w:hint="cs"/>
                      <w:sz w:val="18"/>
                      <w:szCs w:val="18"/>
                      <w:rtl/>
                    </w:rPr>
                    <w:t>בענה</w:t>
                  </w:r>
                </w:p>
                <w:p w14:paraId="3DFF3403" w14:textId="77777777" w:rsidR="004329E6" w:rsidRDefault="004329E6">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–1976</w:t>
                  </w:r>
                </w:p>
              </w:txbxContent>
            </v:textbox>
            <w10:anchorlock/>
          </v:rect>
        </w:pict>
      </w:r>
      <w:r>
        <w:rPr>
          <w:rStyle w:val="big-number"/>
          <w:rFonts w:cs="Miriam"/>
          <w:rtl/>
        </w:rPr>
        <w:t>14</w:t>
      </w:r>
      <w:r>
        <w:rPr>
          <w:rStyle w:val="default"/>
          <w:rFonts w:cs="FrankRuehl"/>
          <w:rtl/>
        </w:rPr>
        <w:t>ב.</w:t>
      </w:r>
      <w:r>
        <w:rPr>
          <w:rStyle w:val="default"/>
          <w:rFonts w:cs="FrankRuehl"/>
          <w:rtl/>
        </w:rPr>
        <w:tab/>
        <w:t>ת</w:t>
      </w:r>
      <w:r>
        <w:rPr>
          <w:rStyle w:val="default"/>
          <w:rFonts w:cs="FrankRuehl" w:hint="cs"/>
          <w:rtl/>
        </w:rPr>
        <w:t>ובענה בשל הענקה לחייל או לבן משפחה לפי תק</w:t>
      </w:r>
      <w:r>
        <w:rPr>
          <w:rStyle w:val="default"/>
          <w:rFonts w:cs="FrankRuehl"/>
          <w:rtl/>
        </w:rPr>
        <w:t>נו</w:t>
      </w:r>
      <w:r>
        <w:rPr>
          <w:rStyle w:val="default"/>
          <w:rFonts w:cs="FrankRuehl" w:hint="cs"/>
          <w:rtl/>
        </w:rPr>
        <w:t>ת אלה תהיה בסמכותו הייחודית של בית הדין האזורי לעבודה ותוגש תוך ששה חדשים מהיום שדחה הגוף המוסמך את תביעתם.</w:t>
      </w:r>
    </w:p>
    <w:p w14:paraId="698CCECE" w14:textId="77777777" w:rsidR="004329E6" w:rsidRDefault="004329E6">
      <w:pPr>
        <w:pStyle w:val="P00"/>
        <w:spacing w:before="72"/>
        <w:ind w:left="0" w:right="1134"/>
        <w:rPr>
          <w:rStyle w:val="default"/>
          <w:rFonts w:cs="FrankRuehl"/>
          <w:rtl/>
        </w:rPr>
      </w:pPr>
      <w:bookmarkStart w:id="16" w:name="Seif16"/>
      <w:bookmarkEnd w:id="16"/>
      <w:r>
        <w:rPr>
          <w:lang w:val="he-IL"/>
        </w:rPr>
        <w:pict w14:anchorId="4ED6E978">
          <v:rect id="_x0000_s1046" style="position:absolute;left:0;text-align:left;margin-left:464.5pt;margin-top:8.05pt;width:75.05pt;height:8pt;z-index:251667456" o:allowincell="f" filled="f" stroked="f" strokecolor="lime" strokeweight=".25pt">
            <v:textbox inset="0,0,0,0">
              <w:txbxContent>
                <w:p w14:paraId="49F458F0" w14:textId="77777777" w:rsidR="004329E6" w:rsidRDefault="004329E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15.</w:t>
      </w:r>
      <w:r>
        <w:rPr>
          <w:rStyle w:val="big-number"/>
          <w:rFonts w:cs="Miriam"/>
          <w:rtl/>
        </w:rPr>
        <w:tab/>
      </w:r>
      <w:r>
        <w:rPr>
          <w:rStyle w:val="default"/>
          <w:rFonts w:cs="FrankRuehl"/>
          <w:rtl/>
        </w:rPr>
        <w:t>תח</w:t>
      </w:r>
      <w:r>
        <w:rPr>
          <w:rStyle w:val="default"/>
          <w:rFonts w:cs="FrankRuehl" w:hint="cs"/>
          <w:rtl/>
        </w:rPr>
        <w:t>ילתן של תקנות אלה ביום כ"ז בסיון תש"ל (1 ביולי 1970).</w:t>
      </w:r>
    </w:p>
    <w:p w14:paraId="59E6AA66" w14:textId="77777777" w:rsidR="004329E6" w:rsidRDefault="004329E6">
      <w:pPr>
        <w:pStyle w:val="P00"/>
        <w:spacing w:before="72"/>
        <w:ind w:left="0" w:right="1134"/>
        <w:rPr>
          <w:rStyle w:val="default"/>
          <w:rFonts w:cs="FrankRuehl"/>
          <w:rtl/>
        </w:rPr>
      </w:pPr>
      <w:bookmarkStart w:id="17" w:name="Seif17"/>
      <w:bookmarkEnd w:id="17"/>
      <w:r>
        <w:rPr>
          <w:lang w:val="he-IL"/>
        </w:rPr>
        <w:pict w14:anchorId="25C77950">
          <v:rect id="_x0000_s1047" style="position:absolute;left:0;text-align:left;margin-left:464.5pt;margin-top:8.05pt;width:75.05pt;height:8pt;z-index:251668480" o:allowincell="f" filled="f" stroked="f" strokecolor="lime" strokeweight=".25pt">
            <v:textbox inset="0,0,0,0">
              <w:txbxContent>
                <w:p w14:paraId="5676332D" w14:textId="77777777" w:rsidR="004329E6" w:rsidRDefault="004329E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16.</w:t>
      </w:r>
      <w:r>
        <w:rPr>
          <w:rStyle w:val="big-number"/>
          <w:rFonts w:cs="Miriam"/>
          <w:rtl/>
        </w:rPr>
        <w:tab/>
      </w:r>
      <w:r>
        <w:rPr>
          <w:rStyle w:val="default"/>
          <w:rFonts w:cs="FrankRuehl"/>
          <w:rtl/>
        </w:rPr>
        <w:t>לת</w:t>
      </w:r>
      <w:r>
        <w:rPr>
          <w:rStyle w:val="default"/>
          <w:rFonts w:cs="FrankRuehl" w:hint="cs"/>
          <w:rtl/>
        </w:rPr>
        <w:t>קנות אלה ייקרא "תקנות ההענקות לחיילים ולבני-משפחותיהם,  תש"ל</w:t>
      </w:r>
      <w:r>
        <w:rPr>
          <w:rStyle w:val="default"/>
          <w:rFonts w:cs="FrankRuehl"/>
          <w:rtl/>
        </w:rPr>
        <w:t>–1970".</w:t>
      </w:r>
    </w:p>
    <w:p w14:paraId="0123E4AC" w14:textId="77777777" w:rsidR="004329E6" w:rsidRDefault="004329E6">
      <w:pPr>
        <w:pStyle w:val="P00"/>
        <w:spacing w:before="72"/>
        <w:ind w:left="0" w:right="1134"/>
        <w:rPr>
          <w:rStyle w:val="default"/>
          <w:rFonts w:cs="FrankRuehl"/>
          <w:rtl/>
        </w:rPr>
      </w:pPr>
    </w:p>
    <w:p w14:paraId="59085740" w14:textId="77777777" w:rsidR="004329E6" w:rsidRDefault="004329E6">
      <w:pPr>
        <w:pStyle w:val="sig-0"/>
        <w:ind w:left="0" w:right="1134"/>
        <w:rPr>
          <w:rFonts w:cs="FrankRuehl"/>
          <w:sz w:val="26"/>
          <w:rtl/>
        </w:rPr>
      </w:pPr>
      <w:r>
        <w:rPr>
          <w:rFonts w:cs="FrankRuehl"/>
          <w:sz w:val="26"/>
          <w:rtl/>
        </w:rPr>
        <w:t xml:space="preserve">ב' </w:t>
      </w:r>
      <w:r>
        <w:rPr>
          <w:rFonts w:cs="FrankRuehl" w:hint="cs"/>
          <w:sz w:val="26"/>
          <w:rtl/>
        </w:rPr>
        <w:t>באב תש</w:t>
      </w:r>
      <w:r>
        <w:rPr>
          <w:rFonts w:cs="FrankRuehl"/>
          <w:sz w:val="26"/>
          <w:rtl/>
        </w:rPr>
        <w:t>"ל</w:t>
      </w:r>
      <w:r>
        <w:rPr>
          <w:rFonts w:cs="FrankRuehl" w:hint="cs"/>
          <w:sz w:val="26"/>
          <w:rtl/>
        </w:rPr>
        <w:t xml:space="preserve"> (4 באוגוסט 1970)</w:t>
      </w:r>
      <w:r>
        <w:rPr>
          <w:rFonts w:cs="FrankRuehl"/>
          <w:sz w:val="26"/>
          <w:rtl/>
        </w:rPr>
        <w:tab/>
        <w:t>י</w:t>
      </w:r>
      <w:r>
        <w:rPr>
          <w:rFonts w:cs="FrankRuehl" w:hint="cs"/>
          <w:sz w:val="26"/>
          <w:rtl/>
        </w:rPr>
        <w:t>וסף אלמוגי</w:t>
      </w:r>
    </w:p>
    <w:p w14:paraId="30081801" w14:textId="77777777" w:rsidR="004329E6" w:rsidRDefault="004329E6">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w:t>
      </w:r>
    </w:p>
    <w:p w14:paraId="418DB6EE" w14:textId="77777777" w:rsidR="004329E6" w:rsidRDefault="004329E6">
      <w:pPr>
        <w:ind w:right="1134"/>
        <w:rPr>
          <w:rFonts w:cs="David"/>
          <w:sz w:val="24"/>
          <w:rtl/>
        </w:rPr>
      </w:pPr>
      <w:bookmarkStart w:id="18" w:name="LawPartEnd"/>
    </w:p>
    <w:bookmarkEnd w:id="18"/>
    <w:p w14:paraId="74AF96C2" w14:textId="77777777" w:rsidR="004329E6" w:rsidRDefault="004329E6">
      <w:pPr>
        <w:ind w:right="1134"/>
        <w:rPr>
          <w:rFonts w:cs="David"/>
          <w:sz w:val="24"/>
          <w:rtl/>
        </w:rPr>
      </w:pPr>
    </w:p>
    <w:sectPr w:rsidR="004329E6">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B9F3" w14:textId="77777777" w:rsidR="000D5BFC" w:rsidRDefault="000D5BFC">
      <w:r>
        <w:separator/>
      </w:r>
    </w:p>
  </w:endnote>
  <w:endnote w:type="continuationSeparator" w:id="0">
    <w:p w14:paraId="27EC0668" w14:textId="77777777" w:rsidR="000D5BFC" w:rsidRDefault="000D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7C27" w14:textId="77777777" w:rsidR="004329E6" w:rsidRDefault="004329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609639" w14:textId="77777777" w:rsidR="004329E6" w:rsidRDefault="004329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6FC912" w14:textId="77777777" w:rsidR="004329E6" w:rsidRDefault="004329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M:\0a-lishca\law\gideon-03-02-13\law01\150_015.doc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25F8" w14:textId="77777777" w:rsidR="004329E6" w:rsidRDefault="004329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6625">
      <w:rPr>
        <w:rFonts w:hAnsi="FrankRuehl" w:cs="FrankRuehl"/>
        <w:noProof/>
        <w:sz w:val="24"/>
        <w:szCs w:val="24"/>
        <w:rtl/>
      </w:rPr>
      <w:t>2</w:t>
    </w:r>
    <w:r>
      <w:rPr>
        <w:rFonts w:hAnsi="FrankRuehl" w:cs="FrankRuehl"/>
        <w:sz w:val="24"/>
        <w:szCs w:val="24"/>
        <w:rtl/>
      </w:rPr>
      <w:fldChar w:fldCharType="end"/>
    </w:r>
  </w:p>
  <w:p w14:paraId="73638364" w14:textId="77777777" w:rsidR="004329E6" w:rsidRDefault="004329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BB48D89" w14:textId="77777777" w:rsidR="004329E6" w:rsidRDefault="004329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M:\0a-lishca\law\gideon-03-02-13\law01\150_015.doc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7B69" w14:textId="77777777" w:rsidR="004329E6" w:rsidRDefault="004329E6">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5A7EF" w14:textId="77777777" w:rsidR="000D5BFC" w:rsidRDefault="000D5BFC">
      <w:r>
        <w:separator/>
      </w:r>
    </w:p>
  </w:footnote>
  <w:footnote w:type="continuationSeparator" w:id="0">
    <w:p w14:paraId="56BDA4E0" w14:textId="77777777" w:rsidR="000D5BFC" w:rsidRDefault="000D5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8A0E" w14:textId="77777777" w:rsidR="004329E6" w:rsidRDefault="004329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ההענקות לחיילים ולבני-משפחותיהם, תש"ל–1970</w:t>
    </w:r>
  </w:p>
  <w:p w14:paraId="09B1021F" w14:textId="77777777" w:rsidR="004329E6" w:rsidRDefault="004329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AB1A3A" w14:textId="77777777" w:rsidR="004329E6" w:rsidRDefault="004329E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2955" w14:textId="77777777" w:rsidR="004329E6" w:rsidRDefault="004329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ההענקות לחיילים ולבני-משפחותיהם, תש"ל–1970</w:t>
    </w:r>
  </w:p>
  <w:p w14:paraId="15BE9592" w14:textId="77777777" w:rsidR="004329E6" w:rsidRDefault="004329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7CC6E6" w14:textId="77777777" w:rsidR="004329E6" w:rsidRDefault="004329E6">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9345" w14:textId="77777777" w:rsidR="004329E6" w:rsidRDefault="004329E6">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29E6"/>
    <w:rsid w:val="000D5BFC"/>
    <w:rsid w:val="001D6ABC"/>
    <w:rsid w:val="00423B6C"/>
    <w:rsid w:val="004329E6"/>
    <w:rsid w:val="00843A3F"/>
    <w:rsid w:val="00BC0EF3"/>
    <w:rsid w:val="00CC6625"/>
    <w:rsid w:val="00E2793B"/>
    <w:rsid w:val="00F643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F709D4"/>
  <w15:chartTrackingRefBased/>
  <w15:docId w15:val="{F97154F6-06DE-402A-B623-B89905B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4">
    <w:name w:val="P04"/>
    <w:basedOn w:val="P00"/>
    <w:pPr>
      <w:ind w:right="1928" w:hanging="1928"/>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150</vt:lpstr>
    </vt:vector>
  </TitlesOfParts>
  <Company/>
  <LinksUpToDate>false</LinksUpToDate>
  <CharactersWithSpaces>6844</CharactersWithSpaces>
  <SharedDoc>false</SharedDoc>
  <HLinks>
    <vt:vector size="108" baseType="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150</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0150</vt:lpwstr>
  </property>
  <property fmtid="{D5CDD505-2E9C-101B-9397-08002B2CF9AE}" pid="3" name="CHNAME">
    <vt:lpwstr>חיילים משוחררים</vt:lpwstr>
  </property>
  <property fmtid="{D5CDD505-2E9C-101B-9397-08002B2CF9AE}" pid="4" name="LAWNAME">
    <vt:lpwstr>תקנות ההענקות לחיילים ולבני-משפחותיהם, תש"ל–1970</vt:lpwstr>
  </property>
  <property fmtid="{D5CDD505-2E9C-101B-9397-08002B2CF9AE}" pid="5" name="LAWNUMBER">
    <vt:lpwstr>0015</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חיילים משוחררים</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קיצבאות והענקות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החיילים המשוחררים (החזרה לעבודה)</vt:lpwstr>
  </property>
  <property fmtid="{D5CDD505-2E9C-101B-9397-08002B2CF9AE}" pid="48" name="MEKOR_SAIF1">
    <vt:lpwstr>40Xב1X2X</vt:lpwstr>
  </property>
</Properties>
</file>